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63" w:rsidRDefault="000867AA" w:rsidP="00542051">
      <w:pPr>
        <w:pStyle w:val="berschrift1"/>
      </w:pPr>
      <w:r>
        <w:t>Wechsel Artikelgruppe zu MFF</w:t>
      </w:r>
    </w:p>
    <w:p w:rsidR="00542051" w:rsidRDefault="000867AA" w:rsidP="00542051">
      <w:pPr>
        <w:pStyle w:val="berschrift2"/>
      </w:pPr>
      <w:r>
        <w:t>Vorbemerkung</w:t>
      </w:r>
    </w:p>
    <w:p w:rsidR="00EE4DE4" w:rsidRDefault="000A733D" w:rsidP="000A733D">
      <w:r>
        <w:t xml:space="preserve">Über die </w:t>
      </w:r>
      <w:r w:rsidR="000867AA">
        <w:t>Artikelgruppe wird in Verbindung mit dem WinBack-AddIn unterschieden zwischen:</w:t>
      </w:r>
    </w:p>
    <w:p w:rsidR="000867AA" w:rsidRDefault="000867AA" w:rsidP="000A733D"/>
    <w:p w:rsidR="000867AA" w:rsidRDefault="000867AA" w:rsidP="000867AA">
      <w:pPr>
        <w:pStyle w:val="Listenabsatz"/>
        <w:numPr>
          <w:ilvl w:val="0"/>
          <w:numId w:val="1"/>
        </w:numPr>
      </w:pPr>
      <w:r>
        <w:t>WinBack-Verkaufsartikel</w:t>
      </w:r>
    </w:p>
    <w:p w:rsidR="000867AA" w:rsidRDefault="000867AA" w:rsidP="000867AA">
      <w:pPr>
        <w:pStyle w:val="Listenabsatz"/>
        <w:numPr>
          <w:ilvl w:val="0"/>
          <w:numId w:val="1"/>
        </w:numPr>
      </w:pPr>
      <w:r>
        <w:t>WinBack-Rohstoff</w:t>
      </w:r>
    </w:p>
    <w:p w:rsidR="000867AA" w:rsidRDefault="000867AA" w:rsidP="000867AA">
      <w:pPr>
        <w:pStyle w:val="Listenabsatz"/>
        <w:numPr>
          <w:ilvl w:val="0"/>
          <w:numId w:val="1"/>
        </w:numPr>
      </w:pPr>
      <w:r>
        <w:t>Kein WinBack-Artikel</w:t>
      </w:r>
    </w:p>
    <w:p w:rsidR="000867AA" w:rsidRDefault="000867AA" w:rsidP="000A733D"/>
    <w:p w:rsidR="000867AA" w:rsidRDefault="000867AA" w:rsidP="000A733D">
      <w:r>
        <w:t>Die entsprechenden Artikel-Gruppen werden in den Festwerten definiert:</w:t>
      </w:r>
    </w:p>
    <w:p w:rsidR="000867AA" w:rsidRDefault="000867AA" w:rsidP="000A733D"/>
    <w:p w:rsidR="000867AA" w:rsidRDefault="000867AA" w:rsidP="000867AA">
      <w:pPr>
        <w:ind w:left="709"/>
      </w:pPr>
      <w:r w:rsidRPr="000867AA">
        <w:rPr>
          <w:noProof/>
        </w:rPr>
        <w:drawing>
          <wp:inline distT="0" distB="0" distL="0" distR="0" wp14:anchorId="562946C2" wp14:editId="27B9D28F">
            <wp:extent cx="4586400" cy="1090800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E4" w:rsidRDefault="00EE4DE4" w:rsidP="00EE4DE4">
      <w:pPr>
        <w:pStyle w:val="Abbildungen"/>
        <w:ind w:left="709"/>
        <w:rPr>
          <w:rStyle w:val="SchwacheHervorhebung"/>
        </w:rPr>
      </w:pPr>
      <w:r w:rsidRPr="006B224B">
        <w:rPr>
          <w:rStyle w:val="SchwacheHervorhebung"/>
        </w:rPr>
        <w:t xml:space="preserve">Abbildung </w:t>
      </w:r>
      <w:r w:rsidRPr="006B224B">
        <w:rPr>
          <w:rStyle w:val="SchwacheHervorhebung"/>
        </w:rPr>
        <w:fldChar w:fldCharType="begin"/>
      </w:r>
      <w:r w:rsidRPr="006B224B">
        <w:rPr>
          <w:rStyle w:val="SchwacheHervorhebung"/>
        </w:rPr>
        <w:instrText xml:space="preserve"> SEQ Abbildung \* ARABIC</w:instrText>
      </w:r>
      <w:r w:rsidRPr="006B224B">
        <w:rPr>
          <w:rStyle w:val="SchwacheHervorhebung"/>
        </w:rPr>
        <w:fldChar w:fldCharType="separate"/>
      </w:r>
      <w:r w:rsidR="006005B5">
        <w:rPr>
          <w:rStyle w:val="SchwacheHervorhebung"/>
          <w:noProof/>
        </w:rPr>
        <w:t>1</w:t>
      </w:r>
      <w:r w:rsidRPr="006B224B">
        <w:rPr>
          <w:rStyle w:val="SchwacheHervorhebung"/>
        </w:rPr>
        <w:fldChar w:fldCharType="end"/>
      </w:r>
      <w:r w:rsidR="000867AA">
        <w:rPr>
          <w:rStyle w:val="SchwacheHervorhebung"/>
        </w:rPr>
        <w:t>: Festwerte Artikelgruppe</w:t>
      </w:r>
    </w:p>
    <w:p w:rsidR="000A733D" w:rsidRDefault="000A733D" w:rsidP="00EE4DE4">
      <w:pPr>
        <w:pStyle w:val="Abbildungen"/>
        <w:ind w:left="709"/>
        <w:rPr>
          <w:rStyle w:val="SchwacheHervorhebung"/>
        </w:rPr>
      </w:pPr>
    </w:p>
    <w:p w:rsidR="006D43DB" w:rsidRDefault="006D43DB" w:rsidP="006D43DB">
      <w:pPr>
        <w:rPr>
          <w:rStyle w:val="SchwacheHervorhebung"/>
        </w:rPr>
      </w:pPr>
    </w:p>
    <w:p w:rsidR="00D4445D" w:rsidRDefault="00C73004" w:rsidP="00C73004">
      <w:pPr>
        <w:rPr>
          <w:rStyle w:val="SchwacheHervorhebung"/>
        </w:rPr>
      </w:pPr>
      <w:r>
        <w:rPr>
          <w:rStyle w:val="SchwacheHervorhebung"/>
        </w:rPr>
        <w:t>Die Artikelgruppen sind per Default festgelegt:</w:t>
      </w:r>
    </w:p>
    <w:p w:rsidR="00C73004" w:rsidRDefault="00C73004" w:rsidP="00C73004">
      <w:pPr>
        <w:rPr>
          <w:rStyle w:val="SchwacheHervorhebung"/>
        </w:rPr>
      </w:pPr>
    </w:p>
    <w:p w:rsidR="00C73004" w:rsidRDefault="00C73004" w:rsidP="00C73004">
      <w:r>
        <w:rPr>
          <w:rStyle w:val="SchwacheHervorhebung"/>
        </w:rPr>
        <w:tab/>
        <w:t>Artikelgruppe 10</w:t>
      </w:r>
      <w:r>
        <w:rPr>
          <w:rStyle w:val="SchwacheHervorhebung"/>
        </w:rPr>
        <w:tab/>
        <w:t>-</w:t>
      </w:r>
      <w:r>
        <w:rPr>
          <w:rStyle w:val="SchwacheHervorhebung"/>
        </w:rPr>
        <w:tab/>
        <w:t>Verkaufsartikel</w:t>
      </w:r>
    </w:p>
    <w:p w:rsidR="00C73004" w:rsidRDefault="00C73004" w:rsidP="00C73004">
      <w:r>
        <w:rPr>
          <w:rStyle w:val="SchwacheHervorhebung"/>
        </w:rPr>
        <w:tab/>
        <w:t>Artikelgruppe 20</w:t>
      </w:r>
      <w:r>
        <w:rPr>
          <w:rStyle w:val="SchwacheHervorhebung"/>
        </w:rPr>
        <w:tab/>
        <w:t>-</w:t>
      </w:r>
      <w:r>
        <w:rPr>
          <w:rStyle w:val="SchwacheHervorhebung"/>
        </w:rPr>
        <w:tab/>
        <w:t>Rohstoffe</w:t>
      </w:r>
    </w:p>
    <w:p w:rsidR="00C73004" w:rsidRDefault="00C73004" w:rsidP="00C73004"/>
    <w:p w:rsidR="00C73004" w:rsidRDefault="00C73004" w:rsidP="00C73004">
      <w:pPr>
        <w:rPr>
          <w:rFonts w:ascii="Calibri" w:hAnsi="Calibri"/>
          <w:sz w:val="22"/>
        </w:rPr>
      </w:pPr>
      <w:r>
        <w:t>Ziel ist, aus gegebenem Anlass (Projekt Märkisches Landbrot) grundsätzlich die Verwendung der Artikelgruppe hinsichtlich dem WinBack-Add-In „wieder frei zu geben“.</w:t>
      </w:r>
    </w:p>
    <w:p w:rsidR="00C73004" w:rsidRDefault="00C73004" w:rsidP="00C73004">
      <w:r>
        <w:t xml:space="preserve">Die Überlegung ist nun, dies in Zukunft über ein MFF im Artikel zu bewerkstelligen. </w:t>
      </w:r>
    </w:p>
    <w:p w:rsidR="00C73004" w:rsidRDefault="00C73004" w:rsidP="00C73004"/>
    <w:p w:rsidR="00C73004" w:rsidRDefault="00C73004" w:rsidP="00C73004">
      <w:pPr>
        <w:pStyle w:val="berschrift2"/>
      </w:pPr>
      <w:r>
        <w:t>Probleme</w:t>
      </w:r>
    </w:p>
    <w:p w:rsidR="00C73004" w:rsidRDefault="00C73004" w:rsidP="00C73004">
      <w:pPr>
        <w:pStyle w:val="Listenabsatz"/>
        <w:numPr>
          <w:ilvl w:val="0"/>
          <w:numId w:val="2"/>
        </w:numPr>
      </w:pPr>
      <w:r>
        <w:t>Für Bestandskunden muss die Datenbank entsprechend angepasst werden</w:t>
      </w:r>
    </w:p>
    <w:p w:rsidR="00C73004" w:rsidRDefault="00C73004" w:rsidP="00C73004">
      <w:pPr>
        <w:pStyle w:val="Listenabsatz"/>
        <w:numPr>
          <w:ilvl w:val="0"/>
          <w:numId w:val="2"/>
        </w:numPr>
      </w:pPr>
      <w:r>
        <w:t>Für den Zeitraum der Umstellung ist das AddIn nicht mehr abwärtskompatibel</w:t>
      </w:r>
    </w:p>
    <w:p w:rsidR="00C73004" w:rsidRDefault="00C73004" w:rsidP="00C73004">
      <w:pPr>
        <w:pStyle w:val="Listenabsatz"/>
        <w:numPr>
          <w:ilvl w:val="1"/>
          <w:numId w:val="2"/>
        </w:numPr>
      </w:pPr>
      <w:r>
        <w:t xml:space="preserve">Alle OrgaBack-Installationen </w:t>
      </w:r>
      <w:r w:rsidRPr="00C73004">
        <w:rPr>
          <w:b/>
        </w:rPr>
        <w:t>MÜSSEN</w:t>
      </w:r>
      <w:r>
        <w:t xml:space="preserve"> auf eine neue Version updaten</w:t>
      </w:r>
    </w:p>
    <w:p w:rsidR="00C73004" w:rsidRPr="00C73004" w:rsidRDefault="00C73004" w:rsidP="00C73004">
      <w:pPr>
        <w:pStyle w:val="Listenabsatz"/>
        <w:numPr>
          <w:ilvl w:val="1"/>
          <w:numId w:val="2"/>
        </w:numPr>
      </w:pPr>
      <w:r>
        <w:t xml:space="preserve">Das Update </w:t>
      </w:r>
      <w:r w:rsidR="00662ADD">
        <w:t xml:space="preserve">OrgaBack/Signum/Datenbank </w:t>
      </w:r>
      <w:r>
        <w:t>muss nahezu zeitgleich erfolgen</w:t>
      </w:r>
    </w:p>
    <w:p w:rsidR="00C73004" w:rsidRDefault="00C73004">
      <w:r>
        <w:br w:type="page"/>
      </w:r>
    </w:p>
    <w:p w:rsidR="00C73004" w:rsidRDefault="00C73004" w:rsidP="00C73004">
      <w:pPr>
        <w:pStyle w:val="berschrift2"/>
      </w:pPr>
      <w:r>
        <w:lastRenderedPageBreak/>
        <w:t>Lösungsansatz/Aufgaben</w:t>
      </w:r>
    </w:p>
    <w:p w:rsidR="00662ADD" w:rsidRPr="00662ADD" w:rsidRDefault="00662ADD" w:rsidP="00662ADD"/>
    <w:tbl>
      <w:tblPr>
        <w:tblStyle w:val="Tabellenraster"/>
        <w:tblW w:w="9038" w:type="dxa"/>
        <w:tblInd w:w="596" w:type="dxa"/>
        <w:tblLook w:val="04A0" w:firstRow="1" w:lastRow="0" w:firstColumn="1" w:lastColumn="0" w:noHBand="0" w:noVBand="1"/>
      </w:tblPr>
      <w:tblGrid>
        <w:gridCol w:w="4786"/>
        <w:gridCol w:w="1708"/>
        <w:gridCol w:w="2544"/>
      </w:tblGrid>
      <w:tr w:rsidR="00662ADD" w:rsidRPr="00662ADD" w:rsidTr="00662ADD">
        <w:trPr>
          <w:trHeight w:val="745"/>
        </w:trPr>
        <w:tc>
          <w:tcPr>
            <w:tcW w:w="4786" w:type="dxa"/>
            <w:vAlign w:val="center"/>
          </w:tcPr>
          <w:p w:rsidR="00662ADD" w:rsidRPr="00662ADD" w:rsidRDefault="00662ADD" w:rsidP="00662ADD">
            <w:pPr>
              <w:rPr>
                <w:b/>
              </w:rPr>
            </w:pPr>
            <w:r w:rsidRPr="00662ADD">
              <w:rPr>
                <w:b/>
              </w:rPr>
              <w:t>TODO</w:t>
            </w:r>
          </w:p>
        </w:tc>
        <w:tc>
          <w:tcPr>
            <w:tcW w:w="1708" w:type="dxa"/>
            <w:vAlign w:val="center"/>
          </w:tcPr>
          <w:p w:rsidR="00662ADD" w:rsidRPr="00662ADD" w:rsidRDefault="00662ADD" w:rsidP="00662ADD">
            <w:pPr>
              <w:jc w:val="center"/>
              <w:rPr>
                <w:b/>
              </w:rPr>
            </w:pPr>
            <w:r w:rsidRPr="00662ADD">
              <w:rPr>
                <w:b/>
              </w:rPr>
              <w:t>Wer</w:t>
            </w:r>
          </w:p>
        </w:tc>
        <w:tc>
          <w:tcPr>
            <w:tcW w:w="2544" w:type="dxa"/>
            <w:vAlign w:val="center"/>
          </w:tcPr>
          <w:p w:rsidR="00662ADD" w:rsidRPr="00662ADD" w:rsidRDefault="00662ADD" w:rsidP="00662ADD">
            <w:pPr>
              <w:jc w:val="center"/>
              <w:rPr>
                <w:b/>
              </w:rPr>
            </w:pPr>
            <w:r w:rsidRPr="00662ADD">
              <w:rPr>
                <w:b/>
              </w:rPr>
              <w:t>Termin</w:t>
            </w:r>
          </w:p>
        </w:tc>
      </w:tr>
      <w:tr w:rsidR="00662ADD" w:rsidTr="00662ADD">
        <w:trPr>
          <w:trHeight w:val="397"/>
        </w:trPr>
        <w:tc>
          <w:tcPr>
            <w:tcW w:w="4786" w:type="dxa"/>
            <w:vAlign w:val="center"/>
          </w:tcPr>
          <w:p w:rsidR="00662ADD" w:rsidRDefault="00662ADD" w:rsidP="00662ADD">
            <w:r>
              <w:t>MFF definieren</w:t>
            </w:r>
          </w:p>
        </w:tc>
        <w:tc>
          <w:tcPr>
            <w:tcW w:w="1708" w:type="dxa"/>
            <w:vAlign w:val="center"/>
          </w:tcPr>
          <w:p w:rsidR="00662ADD" w:rsidRDefault="00662ADD" w:rsidP="00662ADD">
            <w:pPr>
              <w:jc w:val="center"/>
            </w:pPr>
            <w:r>
              <w:t>Signum</w:t>
            </w:r>
          </w:p>
        </w:tc>
        <w:tc>
          <w:tcPr>
            <w:tcW w:w="2544" w:type="dxa"/>
            <w:vAlign w:val="center"/>
          </w:tcPr>
          <w:p w:rsidR="00662ADD" w:rsidRDefault="00662ADD" w:rsidP="00662ADD">
            <w:pPr>
              <w:jc w:val="center"/>
            </w:pPr>
          </w:p>
        </w:tc>
      </w:tr>
      <w:tr w:rsidR="00662ADD" w:rsidTr="00662ADD">
        <w:trPr>
          <w:trHeight w:val="397"/>
        </w:trPr>
        <w:tc>
          <w:tcPr>
            <w:tcW w:w="4786" w:type="dxa"/>
            <w:vAlign w:val="center"/>
          </w:tcPr>
          <w:p w:rsidR="00662ADD" w:rsidRDefault="00662ADD" w:rsidP="00662ADD">
            <w:r>
              <w:t>AddIn Software-Anpassung</w:t>
            </w:r>
          </w:p>
        </w:tc>
        <w:tc>
          <w:tcPr>
            <w:tcW w:w="1708" w:type="dxa"/>
            <w:vAlign w:val="center"/>
          </w:tcPr>
          <w:p w:rsidR="00662ADD" w:rsidRDefault="00662ADD" w:rsidP="00662ADD">
            <w:pPr>
              <w:jc w:val="center"/>
            </w:pPr>
            <w:r>
              <w:t>WinBack</w:t>
            </w:r>
          </w:p>
        </w:tc>
        <w:tc>
          <w:tcPr>
            <w:tcW w:w="2544" w:type="dxa"/>
            <w:vAlign w:val="center"/>
          </w:tcPr>
          <w:p w:rsidR="00662ADD" w:rsidRDefault="00662ADD" w:rsidP="00662ADD">
            <w:pPr>
              <w:jc w:val="center"/>
            </w:pPr>
          </w:p>
        </w:tc>
      </w:tr>
      <w:tr w:rsidR="00184E80" w:rsidTr="00662ADD">
        <w:trPr>
          <w:trHeight w:val="397"/>
        </w:trPr>
        <w:tc>
          <w:tcPr>
            <w:tcW w:w="4786" w:type="dxa"/>
            <w:vAlign w:val="center"/>
          </w:tcPr>
          <w:p w:rsidR="00184E80" w:rsidRDefault="00184E80" w:rsidP="00184E80">
            <w:r>
              <w:t>Update-Script Artikelgruppe nach MFF</w:t>
            </w:r>
          </w:p>
        </w:tc>
        <w:tc>
          <w:tcPr>
            <w:tcW w:w="1708" w:type="dxa"/>
            <w:vAlign w:val="center"/>
          </w:tcPr>
          <w:p w:rsidR="00184E80" w:rsidRDefault="00184E80" w:rsidP="00184E80">
            <w:pPr>
              <w:jc w:val="center"/>
            </w:pPr>
            <w:r>
              <w:t>Signum</w:t>
            </w:r>
          </w:p>
        </w:tc>
        <w:tc>
          <w:tcPr>
            <w:tcW w:w="2544" w:type="dxa"/>
            <w:vAlign w:val="center"/>
          </w:tcPr>
          <w:p w:rsidR="00184E80" w:rsidRDefault="00184E80" w:rsidP="00184E80">
            <w:pPr>
              <w:jc w:val="center"/>
            </w:pPr>
          </w:p>
        </w:tc>
      </w:tr>
      <w:tr w:rsidR="00184E80" w:rsidTr="00662ADD">
        <w:trPr>
          <w:trHeight w:val="397"/>
        </w:trPr>
        <w:tc>
          <w:tcPr>
            <w:tcW w:w="4786" w:type="dxa"/>
            <w:vAlign w:val="center"/>
          </w:tcPr>
          <w:p w:rsidR="00184E80" w:rsidRDefault="00184E80" w:rsidP="00184E80">
            <w:r>
              <w:t>AddIn Test intern</w:t>
            </w:r>
          </w:p>
        </w:tc>
        <w:tc>
          <w:tcPr>
            <w:tcW w:w="1708" w:type="dxa"/>
            <w:vAlign w:val="center"/>
          </w:tcPr>
          <w:p w:rsidR="00184E80" w:rsidRDefault="00184E80" w:rsidP="00184E80">
            <w:pPr>
              <w:jc w:val="center"/>
            </w:pPr>
            <w:r>
              <w:t>WinBack</w:t>
            </w:r>
          </w:p>
        </w:tc>
        <w:tc>
          <w:tcPr>
            <w:tcW w:w="2544" w:type="dxa"/>
            <w:vAlign w:val="center"/>
          </w:tcPr>
          <w:p w:rsidR="00184E80" w:rsidRDefault="00184E80" w:rsidP="00184E80">
            <w:pPr>
              <w:jc w:val="center"/>
            </w:pPr>
          </w:p>
        </w:tc>
      </w:tr>
      <w:tr w:rsidR="00184E80" w:rsidTr="00662ADD">
        <w:trPr>
          <w:trHeight w:val="397"/>
        </w:trPr>
        <w:tc>
          <w:tcPr>
            <w:tcW w:w="4786" w:type="dxa"/>
            <w:vAlign w:val="center"/>
          </w:tcPr>
          <w:p w:rsidR="00184E80" w:rsidRDefault="00184E80" w:rsidP="00184E80">
            <w:bookmarkStart w:id="0" w:name="_GoBack"/>
            <w:bookmarkEnd w:id="0"/>
            <w:r>
              <w:t>Installation/Update bei allen OrgaBack Kunden</w:t>
            </w:r>
          </w:p>
        </w:tc>
        <w:tc>
          <w:tcPr>
            <w:tcW w:w="1708" w:type="dxa"/>
            <w:vAlign w:val="center"/>
          </w:tcPr>
          <w:p w:rsidR="00184E80" w:rsidRDefault="00184E80" w:rsidP="00184E80">
            <w:pPr>
              <w:jc w:val="center"/>
            </w:pPr>
            <w:r>
              <w:t>Signum</w:t>
            </w:r>
          </w:p>
        </w:tc>
        <w:tc>
          <w:tcPr>
            <w:tcW w:w="2544" w:type="dxa"/>
            <w:vAlign w:val="center"/>
          </w:tcPr>
          <w:p w:rsidR="00184E80" w:rsidRDefault="00184E80" w:rsidP="00184E80">
            <w:pPr>
              <w:jc w:val="center"/>
            </w:pPr>
          </w:p>
        </w:tc>
      </w:tr>
    </w:tbl>
    <w:p w:rsidR="00C73004" w:rsidRPr="00C73004" w:rsidRDefault="00C73004" w:rsidP="00C73004"/>
    <w:p w:rsidR="00662ADD" w:rsidRDefault="00662ADD" w:rsidP="00C73004">
      <w:pPr>
        <w:pStyle w:val="berschrift2"/>
      </w:pPr>
    </w:p>
    <w:p w:rsidR="00D4445D" w:rsidRDefault="00D4445D" w:rsidP="00C73004">
      <w:pPr>
        <w:pStyle w:val="berschrift2"/>
      </w:pPr>
      <w:r>
        <w:br w:type="page"/>
      </w:r>
    </w:p>
    <w:p w:rsidR="00D4445D" w:rsidRDefault="00D4445D" w:rsidP="00D4445D">
      <w:pPr>
        <w:pStyle w:val="berschrift2"/>
      </w:pPr>
      <w:r>
        <w:lastRenderedPageBreak/>
        <w:t>Update Ablauf</w:t>
      </w:r>
    </w:p>
    <w:p w:rsidR="00D4445D" w:rsidRDefault="00D4445D" w:rsidP="00D4445D">
      <w:r>
        <w:t xml:space="preserve">Die Update-Routine </w:t>
      </w:r>
      <w:r w:rsidR="002A740D">
        <w:t>lädt</w:t>
      </w:r>
      <w:r>
        <w:t xml:space="preserve"> im nächsten Schritt ein Hilfsprogramm, um das eigentliche Update durchzuführen (</w:t>
      </w:r>
      <w:r>
        <w:rPr>
          <w:i/>
        </w:rPr>
        <w:t xml:space="preserve">WinBackUpdate.exe). </w:t>
      </w:r>
      <w:r>
        <w:t>Diesem Programm wird die Liste der Dateinamen übergeben und das Hauptprogramm wird beendet.</w:t>
      </w:r>
    </w:p>
    <w:p w:rsidR="00D4445D" w:rsidRDefault="00D4445D" w:rsidP="00D4445D"/>
    <w:p w:rsidR="00D4445D" w:rsidRDefault="00D4445D" w:rsidP="00D4445D">
      <w:r>
        <w:t xml:space="preserve">Das Update-Programm </w:t>
      </w:r>
      <w:r w:rsidR="002A740D">
        <w:t>lädt</w:t>
      </w:r>
      <w:r>
        <w:t xml:space="preserve"> die einzelnen Files in den Zielordner, nachdem vorher die Original-Dateien umbenannt worden sind.</w:t>
      </w:r>
    </w:p>
    <w:p w:rsidR="00D4445D" w:rsidRDefault="00D4445D" w:rsidP="00D4445D">
      <w:r>
        <w:t>Nach dem erfolgreichen Update wird die Anwendung wieder neu gestartet.</w:t>
      </w:r>
    </w:p>
    <w:p w:rsidR="00D4445D" w:rsidRDefault="00D4445D" w:rsidP="00D4445D"/>
    <w:p w:rsidR="00D4445D" w:rsidRPr="00D4445D" w:rsidRDefault="00D4445D" w:rsidP="00D4445D">
      <w:r>
        <w:t xml:space="preserve">Falls noch weitere Aktionen nach dem Update notwendig sind (Datenbank-Update, List&amp;Label-Formulare …), werden diese </w:t>
      </w:r>
      <w:r w:rsidR="002A740D">
        <w:t>beim e</w:t>
      </w:r>
      <w:r>
        <w:t xml:space="preserve">rsten Start </w:t>
      </w:r>
      <w:r w:rsidR="002A740D">
        <w:t xml:space="preserve">nach dem Update </w:t>
      </w:r>
      <w:r>
        <w:t>nachgeladen.</w:t>
      </w:r>
    </w:p>
    <w:sectPr w:rsidR="00D4445D" w:rsidRPr="00D4445D" w:rsidSect="00A51CC3">
      <w:headerReference w:type="default" r:id="rId8"/>
      <w:footerReference w:type="default" r:id="rId9"/>
      <w:pgSz w:w="11906" w:h="16838" w:code="9"/>
      <w:pgMar w:top="1977" w:right="1077" w:bottom="1134" w:left="1077" w:header="8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78" w:rsidRDefault="005F6778" w:rsidP="00B8507B">
      <w:r>
        <w:separator/>
      </w:r>
    </w:p>
  </w:endnote>
  <w:endnote w:type="continuationSeparator" w:id="0">
    <w:p w:rsidR="005F6778" w:rsidRDefault="005F6778" w:rsidP="00B8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F13" w:rsidRPr="006A3039" w:rsidRDefault="00220F13" w:rsidP="0087752F">
    <w:pPr>
      <w:tabs>
        <w:tab w:val="right" w:pos="9720"/>
      </w:tabs>
      <w:ind w:right="-28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-62230</wp:posOffset>
              </wp:positionV>
              <wp:extent cx="6174105" cy="5080"/>
              <wp:effectExtent l="0" t="0" r="36195" b="33020"/>
              <wp:wrapNone/>
              <wp:docPr id="147" name="Gerader Verbinder 1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4105" cy="50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1E095" id="Gerader Verbinder 1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4.9pt" to="486.1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" strokecolor="black [3040]"/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6005B5">
      <w:rPr>
        <w:noProof/>
      </w:rPr>
      <w:t>Wechsel Artikelgruppe zu MFF</w:t>
    </w:r>
    <w:r>
      <w:rPr>
        <w:noProof/>
      </w:rP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005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78" w:rsidRDefault="005F6778" w:rsidP="00B8507B">
      <w:r>
        <w:separator/>
      </w:r>
    </w:p>
  </w:footnote>
  <w:footnote w:type="continuationSeparator" w:id="0">
    <w:p w:rsidR="005F6778" w:rsidRDefault="005F6778" w:rsidP="00B85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F13" w:rsidRPr="00AD6A99" w:rsidRDefault="00220F13" w:rsidP="00232862">
    <w:pPr>
      <w:pStyle w:val="Kopfzeile"/>
      <w:tabs>
        <w:tab w:val="clear" w:pos="4536"/>
        <w:tab w:val="clear" w:pos="9072"/>
        <w:tab w:val="center" w:pos="0"/>
        <w:tab w:val="center" w:pos="4860"/>
        <w:tab w:val="left" w:pos="8970"/>
      </w:tabs>
    </w:pPr>
    <w:r w:rsidRPr="006A3039">
      <w:rPr>
        <w:noProof/>
      </w:rPr>
      <w:drawing>
        <wp:anchor distT="0" distB="0" distL="114300" distR="114300" simplePos="0" relativeHeight="251664384" behindDoc="1" locked="0" layoutInCell="1" allowOverlap="1" wp14:anchorId="02AE88B0" wp14:editId="7CBE6C33">
          <wp:simplePos x="0" y="0"/>
          <wp:positionH relativeFrom="column">
            <wp:posOffset>-13335</wp:posOffset>
          </wp:positionH>
          <wp:positionV relativeFrom="page">
            <wp:posOffset>586740</wp:posOffset>
          </wp:positionV>
          <wp:extent cx="970280" cy="447675"/>
          <wp:effectExtent l="0" t="0" r="1270" b="9525"/>
          <wp:wrapNone/>
          <wp:docPr id="245" name="Grafik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inBack_oh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039">
      <w:rPr>
        <w:noProof/>
      </w:rPr>
      <w:drawing>
        <wp:anchor distT="0" distB="0" distL="114300" distR="114300" simplePos="0" relativeHeight="251663360" behindDoc="1" locked="0" layoutInCell="1" allowOverlap="1" wp14:anchorId="3049DD70" wp14:editId="1CC0D44D">
          <wp:simplePos x="0" y="0"/>
          <wp:positionH relativeFrom="column">
            <wp:posOffset>5596890</wp:posOffset>
          </wp:positionH>
          <wp:positionV relativeFrom="page">
            <wp:posOffset>511175</wp:posOffset>
          </wp:positionV>
          <wp:extent cx="581025" cy="581025"/>
          <wp:effectExtent l="0" t="0" r="9525" b="9525"/>
          <wp:wrapNone/>
          <wp:docPr id="244" name="Grafik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_branchenloesu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6A99">
      <w:tab/>
    </w:r>
    <w:r w:rsidRPr="00AD6A99">
      <w:tab/>
    </w:r>
    <w:r w:rsidR="005F6778">
      <w:fldChar w:fldCharType="begin"/>
    </w:r>
    <w:r w:rsidR="005F6778">
      <w:instrText xml:space="preserve"> INFO  Title  \* MERGEFORMAT </w:instrText>
    </w:r>
    <w:r w:rsidR="005F6778">
      <w:fldChar w:fldCharType="separate"/>
    </w:r>
    <w:r w:rsidR="006005B5">
      <w:t>Handbuch OrgaBack WinBack-AddIn</w:t>
    </w:r>
    <w:r w:rsidR="005F6778">
      <w:fldChar w:fldCharType="end"/>
    </w:r>
    <w:r w:rsidRPr="00AD6A9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6866"/>
    <w:multiLevelType w:val="hybridMultilevel"/>
    <w:tmpl w:val="16622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6812"/>
    <w:multiLevelType w:val="hybridMultilevel"/>
    <w:tmpl w:val="A6801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7B"/>
    <w:rsid w:val="000867AA"/>
    <w:rsid w:val="000A733D"/>
    <w:rsid w:val="0011046E"/>
    <w:rsid w:val="00184E80"/>
    <w:rsid w:val="001941F1"/>
    <w:rsid w:val="00220F13"/>
    <w:rsid w:val="00232862"/>
    <w:rsid w:val="002A740D"/>
    <w:rsid w:val="002C774E"/>
    <w:rsid w:val="00311859"/>
    <w:rsid w:val="00387394"/>
    <w:rsid w:val="00444EEA"/>
    <w:rsid w:val="004635A2"/>
    <w:rsid w:val="0049422D"/>
    <w:rsid w:val="00542051"/>
    <w:rsid w:val="0054690A"/>
    <w:rsid w:val="00552320"/>
    <w:rsid w:val="005F6778"/>
    <w:rsid w:val="006005B5"/>
    <w:rsid w:val="00662ADD"/>
    <w:rsid w:val="006A3039"/>
    <w:rsid w:val="006B224B"/>
    <w:rsid w:val="006D43DB"/>
    <w:rsid w:val="006F2FD8"/>
    <w:rsid w:val="00715382"/>
    <w:rsid w:val="00776E63"/>
    <w:rsid w:val="00827E41"/>
    <w:rsid w:val="0087752F"/>
    <w:rsid w:val="008840A5"/>
    <w:rsid w:val="008D693D"/>
    <w:rsid w:val="00912713"/>
    <w:rsid w:val="00973AB8"/>
    <w:rsid w:val="00A02E50"/>
    <w:rsid w:val="00A12180"/>
    <w:rsid w:val="00A51CC3"/>
    <w:rsid w:val="00A91FE0"/>
    <w:rsid w:val="00AD1FE0"/>
    <w:rsid w:val="00AD6A99"/>
    <w:rsid w:val="00B8507B"/>
    <w:rsid w:val="00BD4F6E"/>
    <w:rsid w:val="00C73004"/>
    <w:rsid w:val="00C921AC"/>
    <w:rsid w:val="00CC0861"/>
    <w:rsid w:val="00D4445D"/>
    <w:rsid w:val="00DE1A40"/>
    <w:rsid w:val="00E27259"/>
    <w:rsid w:val="00EE4DE4"/>
    <w:rsid w:val="00F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4A7B0C-0939-4B15-80EB-46029B8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4F6E"/>
    <w:rPr>
      <w:rFonts w:ascii="Arial Narrow" w:hAnsi="Arial Narrow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6A3039"/>
    <w:pPr>
      <w:keepNext/>
      <w:spacing w:before="240" w:after="60"/>
      <w:outlineLvl w:val="0"/>
    </w:pPr>
    <w:rPr>
      <w:rFonts w:ascii="Arial Rounded MT Bold" w:hAnsi="Arial Rounded MT Bold"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27259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A3039"/>
    <w:rPr>
      <w:rFonts w:ascii="Arial Rounded MT Bold" w:hAnsi="Arial Rounded MT Bold"/>
      <w:kern w:val="28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E27259"/>
    <w:rPr>
      <w:rFonts w:ascii="Arial" w:hAnsi="Arial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72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einLeerraum">
    <w:name w:val="No Spacing"/>
    <w:uiPriority w:val="1"/>
    <w:qFormat/>
    <w:rsid w:val="00E2725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E2725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725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7259"/>
    <w:rPr>
      <w:rFonts w:ascii="Arial" w:hAnsi="Arial"/>
      <w:i/>
      <w:iCs/>
      <w:color w:val="000000" w:themeColor="tex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B850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507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850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507B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286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2862"/>
    <w:rPr>
      <w:rFonts w:ascii="Segoe UI" w:hAnsi="Segoe UI" w:cs="Segoe UI"/>
      <w:sz w:val="18"/>
      <w:szCs w:val="18"/>
    </w:rPr>
  </w:style>
  <w:style w:type="paragraph" w:customStyle="1" w:styleId="Abbildungen">
    <w:name w:val="Abbildungen"/>
    <w:basedOn w:val="Standard"/>
    <w:rsid w:val="006B224B"/>
    <w:pPr>
      <w:jc w:val="both"/>
    </w:pPr>
    <w:rPr>
      <w:rFonts w:ascii="Arial" w:hAnsi="Arial"/>
      <w:i/>
      <w:sz w:val="20"/>
    </w:rPr>
  </w:style>
  <w:style w:type="character" w:styleId="SchwacheHervorhebung">
    <w:name w:val="Subtle Emphasis"/>
    <w:basedOn w:val="Absatz-Standardschriftart"/>
    <w:uiPriority w:val="19"/>
    <w:qFormat/>
    <w:rsid w:val="006B224B"/>
    <w:rPr>
      <w:rFonts w:ascii="Arial Narrow" w:hAnsi="Arial Narrow"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62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Handbuch OrgaBack WinBack-AddIn</vt:lpstr>
    </vt:vector>
  </TitlesOfParts>
  <Company>Frost-RL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OrgaBack WinBack-AddIn</dc:title>
  <dc:subject/>
  <dc:creator>Jörg Will</dc:creator>
  <cp:keywords/>
  <dc:description/>
  <cp:lastModifiedBy>Jörg Will</cp:lastModifiedBy>
  <cp:revision>8</cp:revision>
  <cp:lastPrinted>2022-03-30T12:50:00Z</cp:lastPrinted>
  <dcterms:created xsi:type="dcterms:W3CDTF">2022-03-28T06:58:00Z</dcterms:created>
  <dcterms:modified xsi:type="dcterms:W3CDTF">2022-03-30T12:50:00Z</dcterms:modified>
</cp:coreProperties>
</file>