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C66A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</w:pPr>
      <w:r>
        <w:t>Aufbau Bachelorarbeit:</w:t>
      </w:r>
    </w:p>
    <w:p w14:paraId="6080C465" w14:textId="7595E785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br/>
      </w: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1. Abstract</w:t>
      </w:r>
    </w:p>
    <w:p w14:paraId="46FB4942" w14:textId="77777777" w:rsidR="00E84CF1" w:rsidRDefault="00E84CF1" w:rsidP="00E84CF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Kurzfassung der Arbeit: Ziel, Methode, zentrale Ergebnisse, Schlussfolgerungen.</w:t>
      </w:r>
    </w:p>
    <w:p w14:paraId="31363867" w14:textId="77777777" w:rsidR="00E84CF1" w:rsidRDefault="00E84CF1" w:rsidP="00E84CF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Umfang: ca. 150–250 Wörter.</w:t>
      </w:r>
    </w:p>
    <w:p w14:paraId="081E8F94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2. Einleitung</w:t>
      </w:r>
    </w:p>
    <w:p w14:paraId="1776D12C" w14:textId="77777777" w:rsidR="00E84CF1" w:rsidRDefault="00E84CF1" w:rsidP="00E84CF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Motivation: Warum automatische Metriken (z. B.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>) vs. menschliche Bewertung bei LLM-Ausgaben relevant sind.</w:t>
      </w:r>
    </w:p>
    <w:p w14:paraId="4443457F" w14:textId="77777777" w:rsidR="00E84CF1" w:rsidRDefault="00E84CF1" w:rsidP="00E84CF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Problemstellung: Lücke zwischen automatischen Ähnlichkeitsmaßen und subjektiver Qualität (z. B. Verständlichkeit, Nützlichkeit, Korrektheit).</w:t>
      </w:r>
    </w:p>
    <w:p w14:paraId="63CE0209" w14:textId="77777777" w:rsidR="00E84CF1" w:rsidRDefault="00E84CF1" w:rsidP="00E84CF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Zielsetzung: Klärung, wie gut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mit menschlicher Wahrnehmung korreliert.</w:t>
      </w:r>
    </w:p>
    <w:p w14:paraId="7130F87F" w14:textId="77777777" w:rsidR="00E84CF1" w:rsidRDefault="00E84CF1" w:rsidP="00E84CF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Beitrag der Arbeit: Datensatz/Protokoll, systematische Studie, Empfehlungen für den Einsatz von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>.</w:t>
      </w:r>
    </w:p>
    <w:p w14:paraId="7EBA092F" w14:textId="77777777" w:rsidR="00E84CF1" w:rsidRDefault="00E84CF1" w:rsidP="00E84CF1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Struktur der Arbeit: kurzer Überblick über die Kapitel.</w:t>
      </w:r>
    </w:p>
    <w:p w14:paraId="41FF433D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3. Hintergrund und verwandte Arbeiten</w:t>
      </w:r>
    </w:p>
    <w:p w14:paraId="78C35C0A" w14:textId="77777777" w:rsidR="00E84CF1" w:rsidRDefault="00E84CF1" w:rsidP="00E84CF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LLMs und Textbewertung:</w:t>
      </w:r>
      <w:r>
        <w:rPr>
          <w:rFonts w:ascii="Arial" w:hAnsi="Arial" w:cs="Arial"/>
          <w:color w:val="121418"/>
          <w:kern w:val="0"/>
        </w:rPr>
        <w:t xml:space="preserve"> Überblick über gängige Evaluationsdimensionen (z. B. </w:t>
      </w:r>
      <w:proofErr w:type="spellStart"/>
      <w:r>
        <w:rPr>
          <w:rFonts w:ascii="Arial" w:hAnsi="Arial" w:cs="Arial"/>
          <w:color w:val="121418"/>
          <w:kern w:val="0"/>
        </w:rPr>
        <w:t>Fluency</w:t>
      </w:r>
      <w:proofErr w:type="spellEnd"/>
      <w:r>
        <w:rPr>
          <w:rFonts w:ascii="Arial" w:hAnsi="Arial" w:cs="Arial"/>
          <w:color w:val="121418"/>
          <w:kern w:val="0"/>
        </w:rPr>
        <w:t xml:space="preserve">, </w:t>
      </w:r>
      <w:proofErr w:type="spellStart"/>
      <w:r>
        <w:rPr>
          <w:rFonts w:ascii="Arial" w:hAnsi="Arial" w:cs="Arial"/>
          <w:color w:val="121418"/>
          <w:kern w:val="0"/>
        </w:rPr>
        <w:t>Adequacy</w:t>
      </w:r>
      <w:proofErr w:type="spellEnd"/>
      <w:r>
        <w:rPr>
          <w:rFonts w:ascii="Arial" w:hAnsi="Arial" w:cs="Arial"/>
          <w:color w:val="121418"/>
          <w:kern w:val="0"/>
        </w:rPr>
        <w:t xml:space="preserve">, </w:t>
      </w:r>
      <w:proofErr w:type="spellStart"/>
      <w:r>
        <w:rPr>
          <w:rFonts w:ascii="Arial" w:hAnsi="Arial" w:cs="Arial"/>
          <w:color w:val="121418"/>
          <w:kern w:val="0"/>
        </w:rPr>
        <w:t>Faithfulness</w:t>
      </w:r>
      <w:proofErr w:type="spellEnd"/>
      <w:r>
        <w:rPr>
          <w:rFonts w:ascii="Arial" w:hAnsi="Arial" w:cs="Arial"/>
          <w:color w:val="121418"/>
          <w:kern w:val="0"/>
        </w:rPr>
        <w:t>/</w:t>
      </w:r>
      <w:proofErr w:type="spellStart"/>
      <w:r>
        <w:rPr>
          <w:rFonts w:ascii="Arial" w:hAnsi="Arial" w:cs="Arial"/>
          <w:color w:val="121418"/>
          <w:kern w:val="0"/>
        </w:rPr>
        <w:t>Veridikalität</w:t>
      </w:r>
      <w:proofErr w:type="spellEnd"/>
      <w:r>
        <w:rPr>
          <w:rFonts w:ascii="Arial" w:hAnsi="Arial" w:cs="Arial"/>
          <w:color w:val="121418"/>
          <w:kern w:val="0"/>
        </w:rPr>
        <w:t>, Nützlichkeit).</w:t>
      </w:r>
    </w:p>
    <w:p w14:paraId="79AEE683" w14:textId="77777777" w:rsidR="00E84CF1" w:rsidRDefault="00E84CF1" w:rsidP="00E84CF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Automatische Metriken:</w:t>
      </w:r>
      <w:r>
        <w:rPr>
          <w:rFonts w:ascii="Arial" w:hAnsi="Arial" w:cs="Arial"/>
          <w:color w:val="121418"/>
          <w:kern w:val="0"/>
        </w:rPr>
        <w:t> 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(Idee, </w:t>
      </w:r>
      <w:proofErr w:type="spellStart"/>
      <w:r>
        <w:rPr>
          <w:rFonts w:ascii="Arial" w:hAnsi="Arial" w:cs="Arial"/>
          <w:color w:val="121418"/>
          <w:kern w:val="0"/>
        </w:rPr>
        <w:t>token</w:t>
      </w:r>
      <w:proofErr w:type="spellEnd"/>
      <w:r>
        <w:rPr>
          <w:rFonts w:ascii="Arial" w:hAnsi="Arial" w:cs="Arial"/>
          <w:color w:val="121418"/>
          <w:kern w:val="0"/>
        </w:rPr>
        <w:t xml:space="preserve">-level Kontextähnlichkeit mit vortrainierten </w:t>
      </w:r>
      <w:proofErr w:type="spellStart"/>
      <w:r>
        <w:rPr>
          <w:rFonts w:ascii="Arial" w:hAnsi="Arial" w:cs="Arial"/>
          <w:color w:val="121418"/>
          <w:kern w:val="0"/>
        </w:rPr>
        <w:t>Embeddings</w:t>
      </w:r>
      <w:proofErr w:type="spellEnd"/>
      <w:r>
        <w:rPr>
          <w:rFonts w:ascii="Arial" w:hAnsi="Arial" w:cs="Arial"/>
          <w:color w:val="121418"/>
          <w:kern w:val="0"/>
        </w:rPr>
        <w:t>, Präzision/Recall/F1-Variante), Abgrenzung zu BLEU, ROUGE, METEOR, COMET, BLEURT.</w:t>
      </w:r>
    </w:p>
    <w:p w14:paraId="45CE2B99" w14:textId="77777777" w:rsidR="00E84CF1" w:rsidRDefault="00E84CF1" w:rsidP="00E84CF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Menschliche Evaluation:</w:t>
      </w:r>
      <w:r>
        <w:rPr>
          <w:rFonts w:ascii="Arial" w:hAnsi="Arial" w:cs="Arial"/>
          <w:color w:val="121418"/>
          <w:kern w:val="0"/>
        </w:rPr>
        <w:t xml:space="preserve"> Kriterien, Skalen (Likert-Skalen, </w:t>
      </w:r>
      <w:proofErr w:type="spellStart"/>
      <w:r>
        <w:rPr>
          <w:rFonts w:ascii="Arial" w:hAnsi="Arial" w:cs="Arial"/>
          <w:color w:val="121418"/>
          <w:kern w:val="0"/>
        </w:rPr>
        <w:t>Paired</w:t>
      </w:r>
      <w:proofErr w:type="spellEnd"/>
      <w:r>
        <w:rPr>
          <w:rFonts w:ascii="Arial" w:hAnsi="Arial" w:cs="Arial"/>
          <w:color w:val="121418"/>
          <w:kern w:val="0"/>
        </w:rPr>
        <w:t xml:space="preserve"> Preference), Richtlinien, Inter-Rater-Reliabilität.</w:t>
      </w:r>
    </w:p>
    <w:p w14:paraId="116B57BD" w14:textId="77777777" w:rsidR="00E84CF1" w:rsidRDefault="00E84CF1" w:rsidP="00E84CF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Stand der Forschung:</w:t>
      </w:r>
      <w:r>
        <w:rPr>
          <w:rFonts w:ascii="Arial" w:hAnsi="Arial" w:cs="Arial"/>
          <w:color w:val="121418"/>
          <w:kern w:val="0"/>
        </w:rPr>
        <w:t xml:space="preserve"> Was ist bekannt über Korrelationen zwischen Metriken und menschlichen Urteilen; bekannte Stärken/Schwächen von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bei generativen Aufgaben (z. B. Paraphrasen, Halluzinationen).</w:t>
      </w:r>
    </w:p>
    <w:p w14:paraId="5E11A841" w14:textId="77777777" w:rsidR="00E84CF1" w:rsidRDefault="00E84CF1" w:rsidP="00E84CF1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Theoretische Einordnung:</w:t>
      </w:r>
      <w:r>
        <w:rPr>
          <w:rFonts w:ascii="Arial" w:hAnsi="Arial" w:cs="Arial"/>
          <w:color w:val="121418"/>
          <w:kern w:val="0"/>
        </w:rPr>
        <w:t> Warum Semantik-ähnliche Scores nicht zwangsläufig Wahrheitsgehalt oder Nutzwert erfassen.</w:t>
      </w:r>
    </w:p>
    <w:p w14:paraId="6670A119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4. Forschungsfragen und Hypothesen</w:t>
      </w:r>
    </w:p>
    <w:p w14:paraId="09E133F9" w14:textId="77777777" w:rsidR="00E84CF1" w:rsidRDefault="00E84CF1" w:rsidP="00E84CF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Beispiel-Forschungsfragen:</w:t>
      </w:r>
    </w:p>
    <w:p w14:paraId="1F937C8D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F1: In welchem Ausmaß korreliert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mit menschlichen Urteilen über Qualität von LLM-Ausgaben?</w:t>
      </w:r>
    </w:p>
    <w:p w14:paraId="781DDD53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F2: Welche Qualitätsdimensionen (z. B. </w:t>
      </w:r>
      <w:proofErr w:type="spellStart"/>
      <w:r>
        <w:rPr>
          <w:rFonts w:ascii="Arial" w:hAnsi="Arial" w:cs="Arial"/>
          <w:color w:val="121418"/>
          <w:kern w:val="0"/>
        </w:rPr>
        <w:t>Adequacy</w:t>
      </w:r>
      <w:proofErr w:type="spellEnd"/>
      <w:r>
        <w:rPr>
          <w:rFonts w:ascii="Arial" w:hAnsi="Arial" w:cs="Arial"/>
          <w:color w:val="121418"/>
          <w:kern w:val="0"/>
        </w:rPr>
        <w:t xml:space="preserve"> vs. </w:t>
      </w:r>
      <w:proofErr w:type="spellStart"/>
      <w:r>
        <w:rPr>
          <w:rFonts w:ascii="Arial" w:hAnsi="Arial" w:cs="Arial"/>
          <w:color w:val="121418"/>
          <w:kern w:val="0"/>
        </w:rPr>
        <w:t>Fluency</w:t>
      </w:r>
      <w:proofErr w:type="spellEnd"/>
      <w:r>
        <w:rPr>
          <w:rFonts w:ascii="Arial" w:hAnsi="Arial" w:cs="Arial"/>
          <w:color w:val="121418"/>
          <w:kern w:val="0"/>
        </w:rPr>
        <w:t xml:space="preserve">) werden durch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besser/schlechter abgebildet?</w:t>
      </w:r>
    </w:p>
    <w:p w14:paraId="2CC0AA85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F3: Wie beeinflussen Aufgabenart (z. B. Zusammenfassung, Paraphrase, Wissensfrage) und Referenzqualität die Korrelation?</w:t>
      </w:r>
    </w:p>
    <w:p w14:paraId="765A8369" w14:textId="77777777" w:rsidR="00E84CF1" w:rsidRDefault="00E84CF1" w:rsidP="00E84CF1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Beispiel-Hypothesen:</w:t>
      </w:r>
    </w:p>
    <w:p w14:paraId="09703DD9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H1: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korreliert moderat mit wahrgenommener </w:t>
      </w:r>
      <w:proofErr w:type="spellStart"/>
      <w:r>
        <w:rPr>
          <w:rFonts w:ascii="Arial" w:hAnsi="Arial" w:cs="Arial"/>
          <w:b/>
          <w:bCs/>
          <w:color w:val="121418"/>
          <w:kern w:val="0"/>
        </w:rPr>
        <w:t>Adequacy</w:t>
      </w:r>
      <w:proofErr w:type="spellEnd"/>
      <w:r>
        <w:rPr>
          <w:rFonts w:ascii="Arial" w:hAnsi="Arial" w:cs="Arial"/>
          <w:color w:val="121418"/>
          <w:kern w:val="0"/>
        </w:rPr>
        <w:t> (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Arial" w:hAnsi="Arial" w:cs="Arial"/>
          <w:color w:val="121418"/>
          <w:kern w:val="0"/>
        </w:rPr>
        <w:t> zwischen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0.4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 0.4</w:t>
      </w:r>
      <w:r>
        <w:rPr>
          <w:rFonts w:ascii="Arial" w:hAnsi="Arial" w:cs="Arial"/>
          <w:color w:val="121418"/>
          <w:kern w:val="0"/>
        </w:rPr>
        <w:t> und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0.6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 0.6</w:t>
      </w:r>
      <w:r>
        <w:rPr>
          <w:rFonts w:ascii="Arial" w:hAnsi="Arial" w:cs="Arial"/>
          <w:color w:val="121418"/>
          <w:kern w:val="0"/>
        </w:rPr>
        <w:t>).</w:t>
      </w:r>
    </w:p>
    <w:p w14:paraId="3201541F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H2: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korreliert schwächer mit </w:t>
      </w:r>
      <w:proofErr w:type="spellStart"/>
      <w:r>
        <w:rPr>
          <w:rFonts w:ascii="Arial" w:hAnsi="Arial" w:cs="Arial"/>
          <w:b/>
          <w:bCs/>
          <w:color w:val="121418"/>
          <w:kern w:val="0"/>
        </w:rPr>
        <w:t>Faithfulness</w:t>
      </w:r>
      <w:proofErr w:type="spellEnd"/>
      <w:r>
        <w:rPr>
          <w:rFonts w:ascii="Arial" w:hAnsi="Arial" w:cs="Arial"/>
          <w:b/>
          <w:bCs/>
          <w:color w:val="121418"/>
          <w:kern w:val="0"/>
        </w:rPr>
        <w:t>/</w:t>
      </w:r>
      <w:proofErr w:type="spellStart"/>
      <w:r>
        <w:rPr>
          <w:rFonts w:ascii="Arial" w:hAnsi="Arial" w:cs="Arial"/>
          <w:b/>
          <w:bCs/>
          <w:color w:val="121418"/>
          <w:kern w:val="0"/>
        </w:rPr>
        <w:t>Veridikalität</w:t>
      </w:r>
      <w:proofErr w:type="spellEnd"/>
      <w:r>
        <w:rPr>
          <w:rFonts w:ascii="Arial" w:hAnsi="Arial" w:cs="Arial"/>
          <w:color w:val="121418"/>
          <w:kern w:val="0"/>
        </w:rPr>
        <w:t> (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Arial" w:hAnsi="Arial" w:cs="Arial"/>
          <w:color w:val="121418"/>
          <w:kern w:val="0"/>
        </w:rPr>
        <w:t> &lt;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0.3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 0.3</w:t>
      </w:r>
      <w:r>
        <w:rPr>
          <w:rFonts w:ascii="Arial" w:hAnsi="Arial" w:cs="Arial"/>
          <w:color w:val="121418"/>
          <w:kern w:val="0"/>
        </w:rPr>
        <w:t>), da semantische Nähe Halluzinationen nicht zuverlässig bestraft.</w:t>
      </w:r>
    </w:p>
    <w:p w14:paraId="7804FC21" w14:textId="77777777" w:rsidR="00E84CF1" w:rsidRDefault="00E84CF1" w:rsidP="00E84CF1">
      <w:pPr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lastRenderedPageBreak/>
        <w:t>H3: Aufgaben mit klaren Referenzen (z. B. maschinelle Übersetzung) zeigen höhere Korrelation als offene Generationsaufgaben.</w:t>
      </w:r>
    </w:p>
    <w:p w14:paraId="72497A24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5. Methodik</w:t>
      </w:r>
    </w:p>
    <w:p w14:paraId="07DFB689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Design:</w:t>
      </w:r>
      <w:r>
        <w:rPr>
          <w:rFonts w:ascii="Arial" w:hAnsi="Arial" w:cs="Arial"/>
          <w:color w:val="121418"/>
          <w:kern w:val="0"/>
        </w:rPr>
        <w:t> Quantitative Korrelationsstudie mit kontrollierten Aufgaben; zwischen-/innerhalb-Subjekt Design für Rater.</w:t>
      </w:r>
    </w:p>
    <w:p w14:paraId="2C6A5833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Aufgaben/Datensätze:</w:t>
      </w:r>
      <w:r>
        <w:rPr>
          <w:rFonts w:ascii="Arial" w:hAnsi="Arial" w:cs="Arial"/>
          <w:color w:val="121418"/>
          <w:kern w:val="0"/>
        </w:rPr>
        <w:t> Auswahl von 2–3 Aufgaben (z. B. Zusammenfassung, Fragebeantwortung, Paraphrasierung) und geeigneten Referenztexten.</w:t>
      </w:r>
    </w:p>
    <w:p w14:paraId="06C6595F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Modelle:</w:t>
      </w:r>
      <w:r>
        <w:rPr>
          <w:rFonts w:ascii="Arial" w:hAnsi="Arial" w:cs="Arial"/>
          <w:color w:val="121418"/>
          <w:kern w:val="0"/>
        </w:rPr>
        <w:t> Auswahl von 2–3 LLMs mit unterschiedlichem Profil (z. B. ein kommerzielles, ein Open-Source, unterschiedliche Größen).</w:t>
      </w:r>
    </w:p>
    <w:p w14:paraId="025F57E0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Generierungs-Setup:</w:t>
      </w:r>
      <w:r>
        <w:rPr>
          <w:rFonts w:ascii="Arial" w:hAnsi="Arial" w:cs="Arial"/>
          <w:color w:val="121418"/>
          <w:kern w:val="0"/>
        </w:rPr>
        <w:t> Prompts, Temperatur, Top-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p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p</w:t>
      </w:r>
      <w:r>
        <w:rPr>
          <w:rFonts w:ascii="Arial" w:hAnsi="Arial" w:cs="Arial"/>
          <w:color w:val="121418"/>
          <w:kern w:val="0"/>
        </w:rPr>
        <w:t>, Kontextspezifikationen; Dokumentation für Reproduzierbarkeit.</w:t>
      </w:r>
    </w:p>
    <w:p w14:paraId="1EBACEFF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Metriken:</w:t>
      </w:r>
    </w:p>
    <w:p w14:paraId="7FA3BCF7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: Varianten (Precision, Recall, F1), </w:t>
      </w:r>
      <w:proofErr w:type="gramStart"/>
      <w:r>
        <w:rPr>
          <w:rFonts w:ascii="Arial" w:hAnsi="Arial" w:cs="Arial"/>
          <w:color w:val="121418"/>
          <w:kern w:val="0"/>
        </w:rPr>
        <w:t>verwendetes Backbone</w:t>
      </w:r>
      <w:proofErr w:type="gramEnd"/>
      <w:r>
        <w:rPr>
          <w:rFonts w:ascii="Arial" w:hAnsi="Arial" w:cs="Arial"/>
          <w:color w:val="121418"/>
          <w:kern w:val="0"/>
        </w:rPr>
        <w:t xml:space="preserve"> (z. B. </w:t>
      </w:r>
      <w:proofErr w:type="spellStart"/>
      <w:r>
        <w:rPr>
          <w:rFonts w:ascii="Arial" w:hAnsi="Arial" w:cs="Arial"/>
          <w:color w:val="121418"/>
          <w:kern w:val="0"/>
        </w:rPr>
        <w:t>RoBERTa</w:t>
      </w:r>
      <w:proofErr w:type="spellEnd"/>
      <w:r>
        <w:rPr>
          <w:rFonts w:ascii="Arial" w:hAnsi="Arial" w:cs="Arial"/>
          <w:color w:val="121418"/>
          <w:kern w:val="0"/>
        </w:rPr>
        <w:t>-base), Sprachspezifik.</w:t>
      </w:r>
    </w:p>
    <w:p w14:paraId="479546A4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color w:val="121418"/>
          <w:kern w:val="0"/>
        </w:rPr>
        <w:t>Vergleichsmetriken</w:t>
      </w:r>
      <w:proofErr w:type="spellEnd"/>
      <w:r>
        <w:rPr>
          <w:rFonts w:ascii="Arial" w:hAnsi="Arial" w:cs="Arial"/>
          <w:color w:val="121418"/>
          <w:kern w:val="0"/>
        </w:rPr>
        <w:t xml:space="preserve"> optional: ROUGE-L für </w:t>
      </w:r>
      <w:proofErr w:type="spellStart"/>
      <w:r>
        <w:rPr>
          <w:rFonts w:ascii="Arial" w:hAnsi="Arial" w:cs="Arial"/>
          <w:color w:val="121418"/>
          <w:kern w:val="0"/>
        </w:rPr>
        <w:t>Summarization</w:t>
      </w:r>
      <w:proofErr w:type="spellEnd"/>
      <w:r>
        <w:rPr>
          <w:rFonts w:ascii="Arial" w:hAnsi="Arial" w:cs="Arial"/>
          <w:color w:val="121418"/>
          <w:kern w:val="0"/>
        </w:rPr>
        <w:t>, BLEURT/COMET als semantische Baselines.</w:t>
      </w:r>
    </w:p>
    <w:p w14:paraId="44C3E59C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Menschliche Bewertung:</w:t>
      </w:r>
    </w:p>
    <w:p w14:paraId="2A4C57F5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Kriterien: z. B. </w:t>
      </w:r>
      <w:proofErr w:type="spellStart"/>
      <w:r>
        <w:rPr>
          <w:rFonts w:ascii="Arial" w:hAnsi="Arial" w:cs="Arial"/>
          <w:color w:val="121418"/>
          <w:kern w:val="0"/>
        </w:rPr>
        <w:t>Fluency</w:t>
      </w:r>
      <w:proofErr w:type="spellEnd"/>
      <w:r>
        <w:rPr>
          <w:rFonts w:ascii="Arial" w:hAnsi="Arial" w:cs="Arial"/>
          <w:color w:val="121418"/>
          <w:kern w:val="0"/>
        </w:rPr>
        <w:t xml:space="preserve">, </w:t>
      </w:r>
      <w:proofErr w:type="spellStart"/>
      <w:r>
        <w:rPr>
          <w:rFonts w:ascii="Arial" w:hAnsi="Arial" w:cs="Arial"/>
          <w:color w:val="121418"/>
          <w:kern w:val="0"/>
        </w:rPr>
        <w:t>Adequacy</w:t>
      </w:r>
      <w:proofErr w:type="spellEnd"/>
      <w:r>
        <w:rPr>
          <w:rFonts w:ascii="Arial" w:hAnsi="Arial" w:cs="Arial"/>
          <w:color w:val="121418"/>
          <w:kern w:val="0"/>
        </w:rPr>
        <w:t xml:space="preserve">, </w:t>
      </w:r>
      <w:proofErr w:type="spellStart"/>
      <w:r>
        <w:rPr>
          <w:rFonts w:ascii="Arial" w:hAnsi="Arial" w:cs="Arial"/>
          <w:color w:val="121418"/>
          <w:kern w:val="0"/>
        </w:rPr>
        <w:t>Faithfulness</w:t>
      </w:r>
      <w:proofErr w:type="spellEnd"/>
      <w:r>
        <w:rPr>
          <w:rFonts w:ascii="Arial" w:hAnsi="Arial" w:cs="Arial"/>
          <w:color w:val="121418"/>
          <w:kern w:val="0"/>
        </w:rPr>
        <w:t>, Overall Quality.</w:t>
      </w:r>
    </w:p>
    <w:p w14:paraId="4DD71404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Skala: 5- oder 7-Punkte Likert; klare Annotationsrichtlinien mit Beispielen.</w:t>
      </w:r>
    </w:p>
    <w:p w14:paraId="4F27B844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Rater: Anzahl (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n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n</w:t>
      </w:r>
      <w:r>
        <w:rPr>
          <w:rFonts w:ascii="Arial" w:hAnsi="Arial" w:cs="Arial"/>
          <w:color w:val="121418"/>
          <w:kern w:val="0"/>
        </w:rPr>
        <w:t>), Profil (Laien vs. Experten), Schulung und Pilotierung.</w:t>
      </w:r>
    </w:p>
    <w:p w14:paraId="41D4E83D" w14:textId="77777777" w:rsidR="00E84CF1" w:rsidRDefault="00E84CF1" w:rsidP="00E84CF1">
      <w:pPr>
        <w:numPr>
          <w:ilvl w:val="1"/>
          <w:numId w:val="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Inter-Rater-Reliabilität: z. B. </w:t>
      </w:r>
      <w:proofErr w:type="spellStart"/>
      <w:r>
        <w:rPr>
          <w:rFonts w:ascii="Arial" w:hAnsi="Arial" w:cs="Arial"/>
          <w:color w:val="121418"/>
          <w:kern w:val="0"/>
        </w:rPr>
        <w:t>Cohen’s</w:t>
      </w:r>
      <w:proofErr w:type="spellEnd"/>
      <w:r>
        <w:rPr>
          <w:rFonts w:ascii="Arial" w:hAnsi="Arial" w:cs="Arial"/>
          <w:color w:val="121418"/>
          <w:kern w:val="0"/>
        </w:rPr>
        <w:t>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κ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κ</w:t>
      </w:r>
      <w:r>
        <w:rPr>
          <w:rFonts w:ascii="Arial" w:hAnsi="Arial" w:cs="Arial"/>
          <w:color w:val="121418"/>
          <w:kern w:val="0"/>
        </w:rPr>
        <w:t xml:space="preserve"> (für kategoriale Labels), </w:t>
      </w:r>
      <w:proofErr w:type="spellStart"/>
      <w:r>
        <w:rPr>
          <w:rFonts w:ascii="Arial" w:hAnsi="Arial" w:cs="Arial"/>
          <w:color w:val="121418"/>
          <w:kern w:val="0"/>
        </w:rPr>
        <w:t>Krippendorff’s</w:t>
      </w:r>
      <w:proofErr w:type="spellEnd"/>
      <w:r>
        <w:rPr>
          <w:rFonts w:ascii="Arial" w:hAnsi="Arial" w:cs="Arial"/>
          <w:color w:val="121418"/>
          <w:kern w:val="0"/>
        </w:rPr>
        <w:t>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α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α</w:t>
      </w:r>
      <w:r>
        <w:rPr>
          <w:rFonts w:ascii="Arial" w:hAnsi="Arial" w:cs="Arial"/>
          <w:color w:val="121418"/>
          <w:kern w:val="0"/>
        </w:rPr>
        <w:t> (für ordinal/</w:t>
      </w:r>
      <w:proofErr w:type="spellStart"/>
      <w:r>
        <w:rPr>
          <w:rFonts w:ascii="Arial" w:hAnsi="Arial" w:cs="Arial"/>
          <w:color w:val="121418"/>
          <w:kern w:val="0"/>
        </w:rPr>
        <w:t>interval</w:t>
      </w:r>
      <w:proofErr w:type="spellEnd"/>
      <w:r>
        <w:rPr>
          <w:rFonts w:ascii="Arial" w:hAnsi="Arial" w:cs="Arial"/>
          <w:color w:val="121418"/>
          <w:kern w:val="0"/>
        </w:rPr>
        <w:t xml:space="preserve"> Daten).</w:t>
      </w:r>
    </w:p>
    <w:p w14:paraId="1FDE3657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Stichprobengröße &amp; Power:</w:t>
      </w:r>
      <w:r>
        <w:rPr>
          <w:rFonts w:ascii="Arial" w:hAnsi="Arial" w:cs="Arial"/>
          <w:color w:val="121418"/>
          <w:kern w:val="0"/>
        </w:rPr>
        <w:t> Zielanzahl von Items/Ausgaben; grobe Power-Überlegung für erwartete Korrelationen (z. B. Prüfung, ob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n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n</w:t>
      </w:r>
      <w:r>
        <w:rPr>
          <w:rFonts w:ascii="Arial" w:hAnsi="Arial" w:cs="Arial"/>
          <w:color w:val="121418"/>
          <w:kern w:val="0"/>
        </w:rPr>
        <w:t> ausreichend ist, um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=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0.3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=0.3</w:t>
      </w:r>
      <w:r>
        <w:rPr>
          <w:rFonts w:ascii="Arial" w:hAnsi="Arial" w:cs="Arial"/>
          <w:color w:val="121418"/>
          <w:kern w:val="0"/>
        </w:rPr>
        <w:t> mit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α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=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0.05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α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=0.05</w:t>
      </w:r>
      <w:r>
        <w:rPr>
          <w:rFonts w:ascii="Arial" w:hAnsi="Arial" w:cs="Arial"/>
          <w:color w:val="121418"/>
          <w:kern w:val="0"/>
        </w:rPr>
        <w:t> zu detektieren).</w:t>
      </w:r>
    </w:p>
    <w:p w14:paraId="2AD77AB4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Ethik &amp; Zustimmung:</w:t>
      </w:r>
      <w:r>
        <w:rPr>
          <w:rFonts w:ascii="Arial" w:hAnsi="Arial" w:cs="Arial"/>
          <w:color w:val="121418"/>
          <w:kern w:val="0"/>
        </w:rPr>
        <w:t xml:space="preserve"> Umgang mit </w:t>
      </w:r>
      <w:proofErr w:type="spellStart"/>
      <w:r>
        <w:rPr>
          <w:rFonts w:ascii="Arial" w:hAnsi="Arial" w:cs="Arial"/>
          <w:color w:val="121418"/>
          <w:kern w:val="0"/>
        </w:rPr>
        <w:t>Raterdaten</w:t>
      </w:r>
      <w:proofErr w:type="spellEnd"/>
      <w:r>
        <w:rPr>
          <w:rFonts w:ascii="Arial" w:hAnsi="Arial" w:cs="Arial"/>
          <w:color w:val="121418"/>
          <w:kern w:val="0"/>
        </w:rPr>
        <w:t>, Einverständniserklärung, Datenschutz.</w:t>
      </w:r>
    </w:p>
    <w:p w14:paraId="278B0FBA" w14:textId="77777777" w:rsidR="00E84CF1" w:rsidRDefault="00E84CF1" w:rsidP="00E84CF1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Präregistrierung/Reproduzierbarkeit:</w:t>
      </w:r>
      <w:r>
        <w:rPr>
          <w:rFonts w:ascii="Arial" w:hAnsi="Arial" w:cs="Arial"/>
          <w:color w:val="121418"/>
          <w:kern w:val="0"/>
        </w:rPr>
        <w:t> Protokoll, Code-Repository, Fixierung der Analysen vorab.</w:t>
      </w:r>
    </w:p>
    <w:p w14:paraId="1CE71F39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6. Datenerhebung</w:t>
      </w:r>
    </w:p>
    <w:p w14:paraId="69A5A093" w14:textId="77777777" w:rsidR="00E84CF1" w:rsidRDefault="00E84CF1" w:rsidP="00E84CF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Generierung der LLM-Ausgaben:</w:t>
      </w:r>
      <w:r>
        <w:rPr>
          <w:rFonts w:ascii="Arial" w:hAnsi="Arial" w:cs="Arial"/>
          <w:color w:val="121418"/>
          <w:kern w:val="0"/>
        </w:rPr>
        <w:t> Einheitliche Prompt-Templates; Speicherung von Kontext/Seed/Parameter.</w:t>
      </w:r>
    </w:p>
    <w:p w14:paraId="120E2390" w14:textId="77777777" w:rsidR="00E84CF1" w:rsidRDefault="00E84CF1" w:rsidP="00E84CF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Referenztexte:</w:t>
      </w:r>
      <w:r>
        <w:rPr>
          <w:rFonts w:ascii="Arial" w:hAnsi="Arial" w:cs="Arial"/>
          <w:color w:val="121418"/>
          <w:kern w:val="0"/>
        </w:rPr>
        <w:t xml:space="preserve"> Quelle, Qualitätssicherung (z. B. manuelle </w:t>
      </w:r>
      <w:proofErr w:type="spellStart"/>
      <w:r>
        <w:rPr>
          <w:rFonts w:ascii="Arial" w:hAnsi="Arial" w:cs="Arial"/>
          <w:color w:val="121418"/>
          <w:kern w:val="0"/>
        </w:rPr>
        <w:t>Kuratierung</w:t>
      </w:r>
      <w:proofErr w:type="spellEnd"/>
      <w:r>
        <w:rPr>
          <w:rFonts w:ascii="Arial" w:hAnsi="Arial" w:cs="Arial"/>
          <w:color w:val="121418"/>
          <w:kern w:val="0"/>
        </w:rPr>
        <w:t>).</w:t>
      </w:r>
    </w:p>
    <w:p w14:paraId="4376FDF7" w14:textId="77777777" w:rsidR="00E84CF1" w:rsidRDefault="00E84CF1" w:rsidP="00E84CF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Annotation:</w:t>
      </w:r>
      <w:r>
        <w:rPr>
          <w:rFonts w:ascii="Arial" w:hAnsi="Arial" w:cs="Arial"/>
          <w:color w:val="121418"/>
          <w:kern w:val="0"/>
        </w:rPr>
        <w:t> Rater-Onboarding, Anleitung, Qualitätssicherung (Gold-Items, Konsistenzchecks).</w:t>
      </w:r>
    </w:p>
    <w:p w14:paraId="46F9BE7A" w14:textId="77777777" w:rsidR="00E84CF1" w:rsidRDefault="00E84CF1" w:rsidP="00E84CF1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Berechnung der Metriken:</w:t>
      </w:r>
      <w:r>
        <w:rPr>
          <w:rFonts w:ascii="Arial" w:hAnsi="Arial" w:cs="Arial"/>
          <w:color w:val="121418"/>
          <w:kern w:val="0"/>
        </w:rPr>
        <w:t> Implementierungsdetails (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-Version, </w:t>
      </w:r>
      <w:proofErr w:type="spellStart"/>
      <w:r>
        <w:rPr>
          <w:rFonts w:ascii="Arial" w:hAnsi="Arial" w:cs="Arial"/>
          <w:color w:val="121418"/>
          <w:kern w:val="0"/>
        </w:rPr>
        <w:t>Tokenizer</w:t>
      </w:r>
      <w:proofErr w:type="spellEnd"/>
      <w:r>
        <w:rPr>
          <w:rFonts w:ascii="Arial" w:hAnsi="Arial" w:cs="Arial"/>
          <w:color w:val="121418"/>
          <w:kern w:val="0"/>
        </w:rPr>
        <w:t xml:space="preserve">, Sprachmodell), Batch-Verarbeitung, </w:t>
      </w:r>
      <w:proofErr w:type="spellStart"/>
      <w:r>
        <w:rPr>
          <w:rFonts w:ascii="Arial" w:hAnsi="Arial" w:cs="Arial"/>
          <w:color w:val="121418"/>
          <w:kern w:val="0"/>
        </w:rPr>
        <w:t>Logging</w:t>
      </w:r>
      <w:proofErr w:type="spellEnd"/>
      <w:r>
        <w:rPr>
          <w:rFonts w:ascii="Arial" w:hAnsi="Arial" w:cs="Arial"/>
          <w:color w:val="121418"/>
          <w:kern w:val="0"/>
        </w:rPr>
        <w:t>.</w:t>
      </w:r>
    </w:p>
    <w:p w14:paraId="760D2EAD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7. Auswertung und Analyse</w:t>
      </w:r>
    </w:p>
    <w:p w14:paraId="72C49350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Deskriptive Statistik:</w:t>
      </w:r>
      <w:r>
        <w:rPr>
          <w:rFonts w:ascii="Arial" w:hAnsi="Arial" w:cs="Arial"/>
          <w:color w:val="121418"/>
          <w:kern w:val="0"/>
        </w:rPr>
        <w:t> Mittelwerte, Streuungen der Ratings und Scores; Verteilung prüfen.</w:t>
      </w:r>
    </w:p>
    <w:p w14:paraId="7A5456A0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lastRenderedPageBreak/>
        <w:t>Korrelationen:</w:t>
      </w:r>
      <w:r>
        <w:rPr>
          <w:rFonts w:ascii="Arial" w:hAnsi="Arial" w:cs="Arial"/>
          <w:color w:val="121418"/>
          <w:kern w:val="0"/>
        </w:rPr>
        <w:t> Pearson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Arial" w:hAnsi="Arial" w:cs="Arial"/>
          <w:color w:val="121418"/>
          <w:kern w:val="0"/>
        </w:rPr>
        <w:t> (bei annähernd normal/</w:t>
      </w:r>
      <w:proofErr w:type="spellStart"/>
      <w:r>
        <w:rPr>
          <w:rFonts w:ascii="Arial" w:hAnsi="Arial" w:cs="Arial"/>
          <w:color w:val="121418"/>
          <w:kern w:val="0"/>
        </w:rPr>
        <w:t>interval</w:t>
      </w:r>
      <w:proofErr w:type="spellEnd"/>
      <w:r>
        <w:rPr>
          <w:rFonts w:ascii="Arial" w:hAnsi="Arial" w:cs="Arial"/>
          <w:color w:val="121418"/>
          <w:kern w:val="0"/>
        </w:rPr>
        <w:t>), Spearman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ρ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ρ</w:t>
      </w:r>
      <w:r>
        <w:rPr>
          <w:rFonts w:ascii="Arial" w:hAnsi="Arial" w:cs="Arial"/>
          <w:color w:val="121418"/>
          <w:kern w:val="0"/>
        </w:rPr>
        <w:t> (ordinale Skalen/Robustheit).</w:t>
      </w:r>
    </w:p>
    <w:p w14:paraId="108C2DFE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Vergleiche nach Dimensionen:</w:t>
      </w:r>
      <w:r>
        <w:rPr>
          <w:rFonts w:ascii="Arial" w:hAnsi="Arial" w:cs="Arial"/>
          <w:color w:val="121418"/>
          <w:kern w:val="0"/>
        </w:rPr>
        <w:t xml:space="preserve"> Korrelation getrennt für </w:t>
      </w:r>
      <w:proofErr w:type="spellStart"/>
      <w:r>
        <w:rPr>
          <w:rFonts w:ascii="Arial" w:hAnsi="Arial" w:cs="Arial"/>
          <w:color w:val="121418"/>
          <w:kern w:val="0"/>
        </w:rPr>
        <w:t>Fluency</w:t>
      </w:r>
      <w:proofErr w:type="spellEnd"/>
      <w:r>
        <w:rPr>
          <w:rFonts w:ascii="Arial" w:hAnsi="Arial" w:cs="Arial"/>
          <w:color w:val="121418"/>
          <w:kern w:val="0"/>
        </w:rPr>
        <w:t>/</w:t>
      </w:r>
      <w:proofErr w:type="spellStart"/>
      <w:r>
        <w:rPr>
          <w:rFonts w:ascii="Arial" w:hAnsi="Arial" w:cs="Arial"/>
          <w:color w:val="121418"/>
          <w:kern w:val="0"/>
        </w:rPr>
        <w:t>Adequacy</w:t>
      </w:r>
      <w:proofErr w:type="spellEnd"/>
      <w:r>
        <w:rPr>
          <w:rFonts w:ascii="Arial" w:hAnsi="Arial" w:cs="Arial"/>
          <w:color w:val="121418"/>
          <w:kern w:val="0"/>
        </w:rPr>
        <w:t>/</w:t>
      </w:r>
      <w:proofErr w:type="spellStart"/>
      <w:r>
        <w:rPr>
          <w:rFonts w:ascii="Arial" w:hAnsi="Arial" w:cs="Arial"/>
          <w:color w:val="121418"/>
          <w:kern w:val="0"/>
        </w:rPr>
        <w:t>Faithfulness</w:t>
      </w:r>
      <w:proofErr w:type="spellEnd"/>
      <w:r>
        <w:rPr>
          <w:rFonts w:ascii="Arial" w:hAnsi="Arial" w:cs="Arial"/>
          <w:color w:val="121418"/>
          <w:kern w:val="0"/>
        </w:rPr>
        <w:t>/Overall.</w:t>
      </w:r>
    </w:p>
    <w:p w14:paraId="6CCD121B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Aufgaben-/Modell-spezifische Analysen:</w:t>
      </w:r>
      <w:r>
        <w:rPr>
          <w:rFonts w:ascii="Arial" w:hAnsi="Arial" w:cs="Arial"/>
          <w:color w:val="121418"/>
          <w:kern w:val="0"/>
        </w:rPr>
        <w:t> Subgruppenvergleiche; Moderator-Analysen (z. B. Aufgabe als Moderator).</w:t>
      </w:r>
    </w:p>
    <w:p w14:paraId="123C95CA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Signifikanz &amp; Konfidenzintervalle:</w:t>
      </w:r>
      <w:r>
        <w:rPr>
          <w:rFonts w:ascii="Arial" w:hAnsi="Arial" w:cs="Arial"/>
          <w:color w:val="121418"/>
          <w:kern w:val="0"/>
        </w:rPr>
        <w:t>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p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p</w:t>
      </w:r>
      <w:r>
        <w:rPr>
          <w:rFonts w:ascii="Arial" w:hAnsi="Arial" w:cs="Arial"/>
          <w:color w:val="121418"/>
          <w:kern w:val="0"/>
        </w:rPr>
        <w:t>-Werte,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95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%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 95%</w:t>
      </w:r>
      <w:r>
        <w:rPr>
          <w:rFonts w:ascii="Arial" w:hAnsi="Arial" w:cs="Arial"/>
          <w:color w:val="121418"/>
          <w:kern w:val="0"/>
        </w:rPr>
        <w:t xml:space="preserve">-KI; Mehrfachtest-Korrektur (z. B. </w:t>
      </w:r>
      <w:proofErr w:type="spellStart"/>
      <w:r>
        <w:rPr>
          <w:rFonts w:ascii="Arial" w:hAnsi="Arial" w:cs="Arial"/>
          <w:color w:val="121418"/>
          <w:kern w:val="0"/>
        </w:rPr>
        <w:t>Benjamini</w:t>
      </w:r>
      <w:proofErr w:type="spellEnd"/>
      <w:r>
        <w:rPr>
          <w:rFonts w:ascii="Arial" w:hAnsi="Arial" w:cs="Arial"/>
          <w:color w:val="121418"/>
          <w:kern w:val="0"/>
        </w:rPr>
        <w:t>–Hochberg).</w:t>
      </w:r>
    </w:p>
    <w:p w14:paraId="394B2327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Reliabilität:</w:t>
      </w:r>
      <w:r>
        <w:rPr>
          <w:rFonts w:ascii="Arial" w:hAnsi="Arial" w:cs="Arial"/>
          <w:color w:val="121418"/>
          <w:kern w:val="0"/>
        </w:rPr>
        <w:t> </w:t>
      </w:r>
      <w:proofErr w:type="spellStart"/>
      <w:r>
        <w:rPr>
          <w:rFonts w:ascii="Arial" w:hAnsi="Arial" w:cs="Arial"/>
          <w:color w:val="121418"/>
          <w:kern w:val="0"/>
        </w:rPr>
        <w:t>Cohen’s</w:t>
      </w:r>
      <w:proofErr w:type="spellEnd"/>
      <w:r>
        <w:rPr>
          <w:rFonts w:ascii="Arial" w:hAnsi="Arial" w:cs="Arial"/>
          <w:color w:val="121418"/>
          <w:kern w:val="0"/>
        </w:rPr>
        <w:t>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κ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κ</w:t>
      </w:r>
      <w:r>
        <w:rPr>
          <w:rFonts w:ascii="Arial" w:hAnsi="Arial" w:cs="Arial"/>
          <w:color w:val="121418"/>
          <w:kern w:val="0"/>
        </w:rPr>
        <w:t xml:space="preserve"> / </w:t>
      </w:r>
      <w:proofErr w:type="spellStart"/>
      <w:r>
        <w:rPr>
          <w:rFonts w:ascii="Arial" w:hAnsi="Arial" w:cs="Arial"/>
          <w:color w:val="121418"/>
          <w:kern w:val="0"/>
        </w:rPr>
        <w:t>Krippendorff’s</w:t>
      </w:r>
      <w:proofErr w:type="spellEnd"/>
      <w:r>
        <w:rPr>
          <w:rFonts w:ascii="Arial" w:hAnsi="Arial" w:cs="Arial"/>
          <w:color w:val="121418"/>
          <w:kern w:val="0"/>
        </w:rPr>
        <w:t>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α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α</w:t>
      </w:r>
      <w:r>
        <w:rPr>
          <w:rFonts w:ascii="Arial" w:hAnsi="Arial" w:cs="Arial"/>
          <w:color w:val="121418"/>
          <w:kern w:val="0"/>
        </w:rPr>
        <w:t> Bericht inkl. Interpretation.</w:t>
      </w:r>
    </w:p>
    <w:p w14:paraId="12904E8F" w14:textId="77777777" w:rsidR="00E84CF1" w:rsidRDefault="00E84CF1" w:rsidP="00E84CF1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Fehleranalyse:</w:t>
      </w:r>
      <w:r>
        <w:rPr>
          <w:rFonts w:ascii="Arial" w:hAnsi="Arial" w:cs="Arial"/>
          <w:color w:val="121418"/>
          <w:kern w:val="0"/>
        </w:rPr>
        <w:t> Qualitative Durchsicht von Fällen mit hoher/niedriger Übereinstimmung; Typologie (Halluzinationen, Paraphrasen, Faktenfehler).</w:t>
      </w:r>
    </w:p>
    <w:p w14:paraId="4522910D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8. Ergebnisse</w:t>
      </w:r>
    </w:p>
    <w:p w14:paraId="5A23760A" w14:textId="77777777" w:rsidR="00E84CF1" w:rsidRDefault="00E84CF1" w:rsidP="00E84CF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Hauptbefunde:</w:t>
      </w:r>
      <w:r>
        <w:rPr>
          <w:rFonts w:ascii="Arial" w:hAnsi="Arial" w:cs="Arial"/>
          <w:color w:val="121418"/>
          <w:kern w:val="0"/>
        </w:rPr>
        <w:t xml:space="preserve"> Korrelationen zwischen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und menschlichen Urteilen; nach Aufgaben und Dimensionen.</w:t>
      </w:r>
    </w:p>
    <w:p w14:paraId="1D744111" w14:textId="77777777" w:rsidR="00E84CF1" w:rsidRDefault="00E84CF1" w:rsidP="00E84CF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Sekundärbefunde:</w:t>
      </w:r>
      <w:r>
        <w:rPr>
          <w:rFonts w:ascii="Arial" w:hAnsi="Arial" w:cs="Arial"/>
          <w:color w:val="121418"/>
          <w:kern w:val="0"/>
        </w:rPr>
        <w:t> Unterschiede zwischen LLMs; Einfluss von Generierungsparametern.</w:t>
      </w:r>
    </w:p>
    <w:p w14:paraId="0FF0DE14" w14:textId="77777777" w:rsidR="00E84CF1" w:rsidRDefault="00E84CF1" w:rsidP="00E84CF1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Visualisierung:</w:t>
      </w:r>
      <w:r>
        <w:rPr>
          <w:rFonts w:ascii="Arial" w:hAnsi="Arial" w:cs="Arial"/>
          <w:color w:val="121418"/>
          <w:kern w:val="0"/>
        </w:rPr>
        <w:t> Scatterplots, Bland–Altman-Plot, Boxplots je Aufgabe/Modell; Tabellen mit Kennzahlen.</w:t>
      </w:r>
    </w:p>
    <w:p w14:paraId="268461E2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9. Diskussion</w:t>
      </w:r>
    </w:p>
    <w:p w14:paraId="3FABF2EB" w14:textId="77777777" w:rsidR="00E84CF1" w:rsidRDefault="00E84CF1" w:rsidP="00E84CF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Interpretation:</w:t>
      </w:r>
      <w:r>
        <w:rPr>
          <w:rFonts w:ascii="Arial" w:hAnsi="Arial" w:cs="Arial"/>
          <w:color w:val="121418"/>
          <w:kern w:val="0"/>
        </w:rPr>
        <w:t xml:space="preserve"> Was bedeuten die Korrelationen praktisch? Wo ist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ausreichend, wo nicht?</w:t>
      </w:r>
    </w:p>
    <w:p w14:paraId="4292F6B7" w14:textId="77777777" w:rsidR="00E84CF1" w:rsidRDefault="00E84CF1" w:rsidP="00E84CF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Implikationen:</w:t>
      </w:r>
      <w:r>
        <w:rPr>
          <w:rFonts w:ascii="Arial" w:hAnsi="Arial" w:cs="Arial"/>
          <w:color w:val="121418"/>
          <w:kern w:val="0"/>
        </w:rPr>
        <w:t> Für Evaluationspipeline, Benchmarking, Anwendungsfälle (z. B. Zusammenfassung vs. offene QA).</w:t>
      </w:r>
    </w:p>
    <w:p w14:paraId="1B0FA00D" w14:textId="77777777" w:rsidR="00E84CF1" w:rsidRDefault="00E84CF1" w:rsidP="00E84CF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Vergleich mit Literatur:</w:t>
      </w:r>
      <w:r>
        <w:rPr>
          <w:rFonts w:ascii="Arial" w:hAnsi="Arial" w:cs="Arial"/>
          <w:color w:val="121418"/>
          <w:kern w:val="0"/>
        </w:rPr>
        <w:t> Einordnung in bestehende Studien und bekannte Limitationen der Metriken.</w:t>
      </w:r>
    </w:p>
    <w:p w14:paraId="417BD6D5" w14:textId="77777777" w:rsidR="00E84CF1" w:rsidRDefault="00E84CF1" w:rsidP="00E84CF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Limitationen:</w:t>
      </w:r>
      <w:r>
        <w:rPr>
          <w:rFonts w:ascii="Arial" w:hAnsi="Arial" w:cs="Arial"/>
          <w:color w:val="121418"/>
          <w:kern w:val="0"/>
        </w:rPr>
        <w:t> Stichprobengröße, Rater-Bias, Sprachspezifik, Referenzqualität, Domäneneffekte.</w:t>
      </w:r>
    </w:p>
    <w:p w14:paraId="46ED877D" w14:textId="77777777" w:rsidR="00E84CF1" w:rsidRDefault="00E84CF1" w:rsidP="00E84CF1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Empfehlungen:</w:t>
      </w:r>
      <w:r>
        <w:rPr>
          <w:rFonts w:ascii="Arial" w:hAnsi="Arial" w:cs="Arial"/>
          <w:color w:val="121418"/>
          <w:kern w:val="0"/>
        </w:rPr>
        <w:t xml:space="preserve"> Wann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nutzen/ergänzen; Kombination mit </w:t>
      </w:r>
      <w:proofErr w:type="spellStart"/>
      <w:r>
        <w:rPr>
          <w:rFonts w:ascii="Arial" w:hAnsi="Arial" w:cs="Arial"/>
          <w:color w:val="121418"/>
          <w:kern w:val="0"/>
        </w:rPr>
        <w:t>Faithfulness</w:t>
      </w:r>
      <w:proofErr w:type="spellEnd"/>
      <w:r>
        <w:rPr>
          <w:rFonts w:ascii="Arial" w:hAnsi="Arial" w:cs="Arial"/>
          <w:color w:val="121418"/>
          <w:kern w:val="0"/>
        </w:rPr>
        <w:t>-Checks, menschlicher Review.</w:t>
      </w:r>
    </w:p>
    <w:p w14:paraId="2173A5A5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10. Fazit</w:t>
      </w:r>
    </w:p>
    <w:p w14:paraId="6CA67F9C" w14:textId="77777777" w:rsidR="00E84CF1" w:rsidRDefault="00E84CF1" w:rsidP="00E84CF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Kurze Zusammenfassung der Zielsetzung, Methode, zentralen Ergebnisse.</w:t>
      </w:r>
    </w:p>
    <w:p w14:paraId="4A7A6740" w14:textId="77777777" w:rsidR="00E84CF1" w:rsidRDefault="00E84CF1" w:rsidP="00E84CF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Beantwortung der Forschungsfragen.</w:t>
      </w:r>
    </w:p>
    <w:p w14:paraId="54D7EB86" w14:textId="77777777" w:rsidR="00E84CF1" w:rsidRDefault="00E84CF1" w:rsidP="00E84CF1">
      <w:pPr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Ausblick: Metrik-Weiterentwicklung (z. B. Faktenkonsistenz), Kombinationen, zukünftige Arbeiten.</w:t>
      </w:r>
    </w:p>
    <w:p w14:paraId="7A735562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11. Reproduzierbarkeit und Artefakte</w:t>
      </w:r>
    </w:p>
    <w:p w14:paraId="359F8B69" w14:textId="77777777" w:rsidR="00E84CF1" w:rsidRDefault="00E84CF1" w:rsidP="00E84CF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Code &amp; Daten:</w:t>
      </w:r>
      <w:r>
        <w:rPr>
          <w:rFonts w:ascii="Arial" w:hAnsi="Arial" w:cs="Arial"/>
          <w:color w:val="121418"/>
          <w:kern w:val="0"/>
        </w:rPr>
        <w:t> Ordnerstruktur, Skripte, Readme, Fixierung von Versionen/Seeds.</w:t>
      </w:r>
    </w:p>
    <w:p w14:paraId="44B409E5" w14:textId="77777777" w:rsidR="00E84CF1" w:rsidRDefault="00E84CF1" w:rsidP="00E84CF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Dokumentation:</w:t>
      </w:r>
      <w:r>
        <w:rPr>
          <w:rFonts w:ascii="Arial" w:hAnsi="Arial" w:cs="Arial"/>
          <w:color w:val="121418"/>
          <w:kern w:val="0"/>
        </w:rPr>
        <w:t xml:space="preserve"> genaue Parameter, Modellversionen,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>-Setups.</w:t>
      </w:r>
    </w:p>
    <w:p w14:paraId="49EC6C5C" w14:textId="77777777" w:rsidR="00E84CF1" w:rsidRDefault="00E84CF1" w:rsidP="00E84CF1">
      <w:pPr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Offenlegung:</w:t>
      </w:r>
      <w:r>
        <w:rPr>
          <w:rFonts w:ascii="Arial" w:hAnsi="Arial" w:cs="Arial"/>
          <w:color w:val="121418"/>
          <w:kern w:val="0"/>
        </w:rPr>
        <w:t> Was kann (nicht) veröffentlicht werden; Lizenzfragen.</w:t>
      </w:r>
    </w:p>
    <w:p w14:paraId="0E05DAEB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12. Ethische und rechtliche Aspekte</w:t>
      </w:r>
    </w:p>
    <w:p w14:paraId="11AC2684" w14:textId="77777777" w:rsidR="00E84CF1" w:rsidRDefault="00E84CF1" w:rsidP="00E84CF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Rater-Rekrutierung:</w:t>
      </w:r>
      <w:r>
        <w:rPr>
          <w:rFonts w:ascii="Arial" w:hAnsi="Arial" w:cs="Arial"/>
          <w:color w:val="121418"/>
          <w:kern w:val="0"/>
        </w:rPr>
        <w:t> Vergütung, Informierte Zustimmung.</w:t>
      </w:r>
    </w:p>
    <w:p w14:paraId="144E51D3" w14:textId="77777777" w:rsidR="00E84CF1" w:rsidRDefault="00E84CF1" w:rsidP="00E84CF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lastRenderedPageBreak/>
        <w:t>Datenschutz:</w:t>
      </w:r>
      <w:r>
        <w:rPr>
          <w:rFonts w:ascii="Arial" w:hAnsi="Arial" w:cs="Arial"/>
          <w:color w:val="121418"/>
          <w:kern w:val="0"/>
        </w:rPr>
        <w:t> Umgang mit personenbezogenen Daten; DSGVO-konforme Speicherung.</w:t>
      </w:r>
    </w:p>
    <w:p w14:paraId="1BA5C427" w14:textId="77777777" w:rsidR="00E84CF1" w:rsidRDefault="00E84CF1" w:rsidP="00E84CF1">
      <w:pPr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Inhaltskontrolle:</w:t>
      </w:r>
      <w:r>
        <w:rPr>
          <w:rFonts w:ascii="Arial" w:hAnsi="Arial" w:cs="Arial"/>
          <w:color w:val="121418"/>
          <w:kern w:val="0"/>
        </w:rPr>
        <w:t> Umgang mit potenziell sensiblen oder verzerrenden Inhalten.</w:t>
      </w:r>
    </w:p>
    <w:p w14:paraId="4162BDFF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13. Zeit- und Ressourcenplanung (optional)</w:t>
      </w:r>
    </w:p>
    <w:p w14:paraId="041FB176" w14:textId="77777777" w:rsidR="00E84CF1" w:rsidRDefault="00E84CF1" w:rsidP="00E84CF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Zeitplan:</w:t>
      </w:r>
      <w:r>
        <w:rPr>
          <w:rFonts w:ascii="Arial" w:hAnsi="Arial" w:cs="Arial"/>
          <w:color w:val="121418"/>
          <w:kern w:val="0"/>
        </w:rPr>
        <w:t> Meilensteine (Literaturreview, Pilot, Daten, Analyse, Schreiben, Revision).</w:t>
      </w:r>
    </w:p>
    <w:p w14:paraId="4EE7BCD4" w14:textId="77777777" w:rsidR="00E84CF1" w:rsidRDefault="00E84CF1" w:rsidP="00E84CF1">
      <w:pPr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Risiken &amp; Fallbacks:</w:t>
      </w:r>
      <w:r>
        <w:rPr>
          <w:rFonts w:ascii="Arial" w:hAnsi="Arial" w:cs="Arial"/>
          <w:color w:val="121418"/>
          <w:kern w:val="0"/>
        </w:rPr>
        <w:t> z. B. wenn Rater-Rekrutierung verzögert, alternative Datensätze.</w:t>
      </w:r>
    </w:p>
    <w:p w14:paraId="2B43FD5D" w14:textId="77777777" w:rsidR="00E84CF1" w:rsidRDefault="00E84CF1" w:rsidP="00E84C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6A5BA549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40"/>
          <w:szCs w:val="40"/>
        </w:rPr>
      </w:pPr>
      <w:r>
        <w:rPr>
          <w:rFonts w:ascii="Arial" w:hAnsi="Arial" w:cs="Arial"/>
          <w:b/>
          <w:bCs/>
          <w:color w:val="121418"/>
          <w:kern w:val="0"/>
          <w:sz w:val="40"/>
          <w:szCs w:val="40"/>
        </w:rPr>
        <w:t>Detailanhang: Praktische Leitlinien und Beispiele</w:t>
      </w:r>
    </w:p>
    <w:p w14:paraId="58E0CCD1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A) Operationalisierung der Qualitätsdimensionen</w:t>
      </w:r>
    </w:p>
    <w:p w14:paraId="431E4BF6" w14:textId="77777777" w:rsidR="00E84CF1" w:rsidRDefault="00E84CF1" w:rsidP="00E84CF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b/>
          <w:bCs/>
          <w:color w:val="121418"/>
          <w:kern w:val="0"/>
        </w:rPr>
        <w:t>Fluency</w:t>
      </w:r>
      <w:proofErr w:type="spellEnd"/>
      <w:r>
        <w:rPr>
          <w:rFonts w:ascii="Arial" w:hAnsi="Arial" w:cs="Arial"/>
          <w:b/>
          <w:bCs/>
          <w:color w:val="121418"/>
          <w:kern w:val="0"/>
        </w:rPr>
        <w:t>:</w:t>
      </w:r>
      <w:r>
        <w:rPr>
          <w:rFonts w:ascii="Arial" w:hAnsi="Arial" w:cs="Arial"/>
          <w:color w:val="121418"/>
          <w:kern w:val="0"/>
        </w:rPr>
        <w:t> Grammatikalische Korrektheit und Lesbarkeit (Likert 1–5 mit klaren Ankerbeispielen).</w:t>
      </w:r>
    </w:p>
    <w:p w14:paraId="7C54F4A1" w14:textId="77777777" w:rsidR="00E84CF1" w:rsidRDefault="00E84CF1" w:rsidP="00E84CF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b/>
          <w:bCs/>
          <w:color w:val="121418"/>
          <w:kern w:val="0"/>
        </w:rPr>
        <w:t>Adequacy</w:t>
      </w:r>
      <w:proofErr w:type="spellEnd"/>
      <w:r>
        <w:rPr>
          <w:rFonts w:ascii="Arial" w:hAnsi="Arial" w:cs="Arial"/>
          <w:b/>
          <w:bCs/>
          <w:color w:val="121418"/>
          <w:kern w:val="0"/>
        </w:rPr>
        <w:t>:</w:t>
      </w:r>
      <w:r>
        <w:rPr>
          <w:rFonts w:ascii="Arial" w:hAnsi="Arial" w:cs="Arial"/>
          <w:color w:val="121418"/>
          <w:kern w:val="0"/>
        </w:rPr>
        <w:t> Deckt die Antwort die intendierte Bedeutung/Information? (Likert 1–5).</w:t>
      </w:r>
    </w:p>
    <w:p w14:paraId="6239C3A4" w14:textId="77777777" w:rsidR="00E84CF1" w:rsidRDefault="00E84CF1" w:rsidP="00E84CF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b/>
          <w:bCs/>
          <w:color w:val="121418"/>
          <w:kern w:val="0"/>
        </w:rPr>
        <w:t>Faithfulness</w:t>
      </w:r>
      <w:proofErr w:type="spellEnd"/>
      <w:r>
        <w:rPr>
          <w:rFonts w:ascii="Arial" w:hAnsi="Arial" w:cs="Arial"/>
          <w:b/>
          <w:bCs/>
          <w:color w:val="121418"/>
          <w:kern w:val="0"/>
        </w:rPr>
        <w:t>/</w:t>
      </w:r>
      <w:proofErr w:type="spellStart"/>
      <w:r>
        <w:rPr>
          <w:rFonts w:ascii="Arial" w:hAnsi="Arial" w:cs="Arial"/>
          <w:b/>
          <w:bCs/>
          <w:color w:val="121418"/>
          <w:kern w:val="0"/>
        </w:rPr>
        <w:t>Veridikalität</w:t>
      </w:r>
      <w:proofErr w:type="spellEnd"/>
      <w:r>
        <w:rPr>
          <w:rFonts w:ascii="Arial" w:hAnsi="Arial" w:cs="Arial"/>
          <w:b/>
          <w:bCs/>
          <w:color w:val="121418"/>
          <w:kern w:val="0"/>
        </w:rPr>
        <w:t>:</w:t>
      </w:r>
      <w:r>
        <w:rPr>
          <w:rFonts w:ascii="Arial" w:hAnsi="Arial" w:cs="Arial"/>
          <w:color w:val="121418"/>
          <w:kern w:val="0"/>
        </w:rPr>
        <w:t> Faktentreue zum Kontext/Quelle (Likert 1–5; für freie Generierung ggf. evidenzbasierte Checks).</w:t>
      </w:r>
    </w:p>
    <w:p w14:paraId="5D134DDB" w14:textId="77777777" w:rsidR="00E84CF1" w:rsidRDefault="00E84CF1" w:rsidP="00E84CF1">
      <w:pPr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b/>
          <w:bCs/>
          <w:color w:val="121418"/>
          <w:kern w:val="0"/>
        </w:rPr>
        <w:t>Overall Quality:</w:t>
      </w:r>
      <w:r>
        <w:rPr>
          <w:rFonts w:ascii="Arial" w:hAnsi="Arial" w:cs="Arial"/>
          <w:color w:val="121418"/>
          <w:kern w:val="0"/>
        </w:rPr>
        <w:t> Gesamturteil, das Nutzen und Korrektheit zusammenfasst.</w:t>
      </w:r>
    </w:p>
    <w:p w14:paraId="489EBE3F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B) Beispiel-Tabellen/Figuren</w:t>
      </w:r>
    </w:p>
    <w:p w14:paraId="0CF5621D" w14:textId="77777777" w:rsidR="00E84CF1" w:rsidRDefault="00E84CF1" w:rsidP="00E84CF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Tabelle: Aufgaben, Anzahl Items, LLMs, Parameter.</w:t>
      </w:r>
    </w:p>
    <w:p w14:paraId="3CC1A33D" w14:textId="77777777" w:rsidR="00E84CF1" w:rsidRDefault="00E84CF1" w:rsidP="00E84CF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Tabelle: Inter-Rater-Reliabilität (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κ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κ</w:t>
      </w:r>
      <w:r>
        <w:rPr>
          <w:rFonts w:ascii="Arial" w:hAnsi="Arial" w:cs="Arial"/>
          <w:color w:val="121418"/>
          <w:kern w:val="0"/>
        </w:rPr>
        <w:t>,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α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α</w:t>
      </w:r>
      <w:r>
        <w:rPr>
          <w:rFonts w:ascii="Arial" w:hAnsi="Arial" w:cs="Arial"/>
          <w:color w:val="121418"/>
          <w:kern w:val="0"/>
        </w:rPr>
        <w:t>) je Dimension.</w:t>
      </w:r>
    </w:p>
    <w:p w14:paraId="6BA0378B" w14:textId="77777777" w:rsidR="00E84CF1" w:rsidRDefault="00E84CF1" w:rsidP="00E84CF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Grafik: Korrelation </w:t>
      </w:r>
      <w:proofErr w:type="spellStart"/>
      <w:r>
        <w:rPr>
          <w:rFonts w:ascii="Arial" w:hAnsi="Arial" w:cs="Arial"/>
          <w:color w:val="121418"/>
          <w:kern w:val="0"/>
        </w:rPr>
        <w:t>BERTScore</w:t>
      </w:r>
      <w:proofErr w:type="spellEnd"/>
      <w:r>
        <w:rPr>
          <w:rFonts w:ascii="Arial" w:hAnsi="Arial" w:cs="Arial"/>
          <w:color w:val="121418"/>
          <w:kern w:val="0"/>
        </w:rPr>
        <w:t xml:space="preserve"> vs. menschliche Ratings (</w:t>
      </w:r>
      <w:proofErr w:type="spellStart"/>
      <w:r>
        <w:rPr>
          <w:rFonts w:ascii="Arial" w:hAnsi="Arial" w:cs="Arial"/>
          <w:color w:val="121418"/>
          <w:kern w:val="0"/>
        </w:rPr>
        <w:t>Scatter</w:t>
      </w:r>
      <w:proofErr w:type="spellEnd"/>
      <w:r>
        <w:rPr>
          <w:rFonts w:ascii="Arial" w:hAnsi="Arial" w:cs="Arial"/>
          <w:color w:val="121418"/>
          <w:kern w:val="0"/>
        </w:rPr>
        <w:t xml:space="preserve"> mit Regressionslinie).</w:t>
      </w:r>
    </w:p>
    <w:p w14:paraId="7C7FCE45" w14:textId="77777777" w:rsidR="00E84CF1" w:rsidRDefault="00E84CF1" w:rsidP="00E84CF1">
      <w:pPr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Grafik: Korrelationen je Aufgabe (Forest-Plot mit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Arial" w:hAnsi="Arial" w:cs="Arial"/>
          <w:color w:val="121418"/>
          <w:kern w:val="0"/>
        </w:rPr>
        <w:t> und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95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%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 95%</w:t>
      </w:r>
      <w:r>
        <w:rPr>
          <w:rFonts w:ascii="Arial" w:hAnsi="Arial" w:cs="Arial"/>
          <w:color w:val="121418"/>
          <w:kern w:val="0"/>
        </w:rPr>
        <w:t>-KI).</w:t>
      </w:r>
    </w:p>
    <w:p w14:paraId="4E193A28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C) Beispielhafte Auswerteschritte</w:t>
      </w:r>
    </w:p>
    <w:p w14:paraId="38D8EB92" w14:textId="77777777" w:rsidR="00E84CF1" w:rsidRDefault="00E84CF1" w:rsidP="00E84CF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Datenbereinigung: Entfernen unvollständiger Ratings, Z-Standardisierung optional.</w:t>
      </w:r>
    </w:p>
    <w:p w14:paraId="74D20E1D" w14:textId="77777777" w:rsidR="00E84CF1" w:rsidRDefault="00E84CF1" w:rsidP="00E84CF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Korrelation: Berechne Pearson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  <w:r>
        <w:rPr>
          <w:rFonts w:ascii="Arial" w:hAnsi="Arial" w:cs="Arial"/>
          <w:color w:val="121418"/>
          <w:kern w:val="0"/>
        </w:rPr>
        <w:t> und Spearman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ρ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ρ</w:t>
      </w:r>
      <w:r>
        <w:rPr>
          <w:rFonts w:ascii="Arial" w:hAnsi="Arial" w:cs="Arial"/>
          <w:color w:val="121418"/>
          <w:kern w:val="0"/>
        </w:rPr>
        <w:t>; Bootstrap-KI für Robustheit.</w:t>
      </w:r>
    </w:p>
    <w:p w14:paraId="397452B7" w14:textId="77777777" w:rsidR="00E84CF1" w:rsidRDefault="00E84CF1" w:rsidP="00E84CF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proofErr w:type="spellStart"/>
      <w:r>
        <w:rPr>
          <w:rFonts w:ascii="Arial" w:hAnsi="Arial" w:cs="Arial"/>
          <w:color w:val="121418"/>
          <w:kern w:val="0"/>
        </w:rPr>
        <w:t>Moderatoranalyse</w:t>
      </w:r>
      <w:proofErr w:type="spellEnd"/>
      <w:r>
        <w:rPr>
          <w:rFonts w:ascii="Arial" w:hAnsi="Arial" w:cs="Arial"/>
          <w:color w:val="121418"/>
          <w:kern w:val="0"/>
        </w:rPr>
        <w:t>: Lineares Modell mit Aufgabe/Modell als Faktor; Interaktionsterms.</w:t>
      </w:r>
    </w:p>
    <w:p w14:paraId="3E960AC6" w14:textId="77777777" w:rsidR="00E84CF1" w:rsidRDefault="00E84CF1" w:rsidP="00E84CF1">
      <w:pPr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Mehrfachtests: Korrektur der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p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p</w:t>
      </w:r>
      <w:r>
        <w:rPr>
          <w:rFonts w:ascii="Arial" w:hAnsi="Arial" w:cs="Arial"/>
          <w:color w:val="121418"/>
          <w:kern w:val="0"/>
        </w:rPr>
        <w:t>-Werte über Dimensionen und Aufgaben.</w:t>
      </w:r>
    </w:p>
    <w:p w14:paraId="1D283509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D) Qualitäts- und Bias-Kontrollen</w:t>
      </w:r>
    </w:p>
    <w:p w14:paraId="2A874B59" w14:textId="77777777" w:rsidR="00E84CF1" w:rsidRDefault="00E84CF1" w:rsidP="00E84CF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Gold-Items mit erwarteten Ratings (z. B. offensichtliche Halluzinationen) zur Rater-Überprüfung.</w:t>
      </w:r>
    </w:p>
    <w:p w14:paraId="23626E33" w14:textId="77777777" w:rsidR="00E84CF1" w:rsidRDefault="00E84CF1" w:rsidP="00E84CF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Randomisierte Präsentation; </w:t>
      </w:r>
      <w:proofErr w:type="spellStart"/>
      <w:r>
        <w:rPr>
          <w:rFonts w:ascii="Arial" w:hAnsi="Arial" w:cs="Arial"/>
          <w:color w:val="121418"/>
          <w:kern w:val="0"/>
        </w:rPr>
        <w:t>Gegenbalancierung</w:t>
      </w:r>
      <w:proofErr w:type="spellEnd"/>
      <w:r>
        <w:rPr>
          <w:rFonts w:ascii="Arial" w:hAnsi="Arial" w:cs="Arial"/>
          <w:color w:val="121418"/>
          <w:kern w:val="0"/>
        </w:rPr>
        <w:t xml:space="preserve"> der Reihenfolge.</w:t>
      </w:r>
    </w:p>
    <w:p w14:paraId="122A5E57" w14:textId="77777777" w:rsidR="00E84CF1" w:rsidRDefault="00E84CF1" w:rsidP="00E84CF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 xml:space="preserve">Aggregation: Median/Mean pro Item; </w:t>
      </w:r>
      <w:proofErr w:type="spellStart"/>
      <w:r>
        <w:rPr>
          <w:rFonts w:ascii="Arial" w:hAnsi="Arial" w:cs="Arial"/>
          <w:color w:val="121418"/>
          <w:kern w:val="0"/>
        </w:rPr>
        <w:t>Ausreißerbehandlung</w:t>
      </w:r>
      <w:proofErr w:type="spellEnd"/>
      <w:r>
        <w:rPr>
          <w:rFonts w:ascii="Arial" w:hAnsi="Arial" w:cs="Arial"/>
          <w:color w:val="121418"/>
          <w:kern w:val="0"/>
        </w:rPr>
        <w:t>.</w:t>
      </w:r>
    </w:p>
    <w:p w14:paraId="7E71F1D7" w14:textId="77777777" w:rsidR="00E84CF1" w:rsidRDefault="00E84CF1" w:rsidP="00E84CF1">
      <w:pPr>
        <w:numPr>
          <w:ilvl w:val="0"/>
          <w:numId w:val="1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Bericht: Dokumentiere Ausschlusskriterien vorab.</w:t>
      </w:r>
    </w:p>
    <w:p w14:paraId="7457B4D2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36"/>
          <w:szCs w:val="36"/>
        </w:rPr>
      </w:pPr>
      <w:r>
        <w:rPr>
          <w:rFonts w:ascii="Arial" w:hAnsi="Arial" w:cs="Arial"/>
          <w:b/>
          <w:bCs/>
          <w:color w:val="121418"/>
          <w:kern w:val="0"/>
          <w:sz w:val="36"/>
          <w:szCs w:val="36"/>
        </w:rPr>
        <w:t>E) Beispiel für Hypothesen-Testformulierung</w:t>
      </w:r>
    </w:p>
    <w:p w14:paraId="63C0D5E5" w14:textId="77777777" w:rsidR="00E84CF1" w:rsidRDefault="00E84CF1" w:rsidP="00E84CF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Times New Roman" w:hAnsi="Times New Roman" w:cs="Times New Roman"/>
          <w:color w:val="121418"/>
          <w:kern w:val="0"/>
          <w:sz w:val="29"/>
          <w:szCs w:val="29"/>
        </w:rPr>
      </w:pPr>
      <w:r>
        <w:rPr>
          <w:rFonts w:ascii="Arial" w:hAnsi="Arial" w:cs="Arial"/>
          <w:color w:val="121418"/>
          <w:kern w:val="0"/>
        </w:rPr>
        <w:lastRenderedPageBreak/>
        <w:t>H1-Test: Prüfe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r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proofErr w:type="spellStart"/>
      <w:r>
        <w:rPr>
          <w:rFonts w:ascii="STIX Two Math" w:hAnsi="STIX Two Math" w:cs="STIX Two Math"/>
          <w:color w:val="121418"/>
          <w:kern w:val="0"/>
          <w:sz w:val="20"/>
          <w:szCs w:val="20"/>
        </w:rPr>
        <w:t>BERTScore</w:t>
      </w:r>
      <w:proofErr w:type="spellEnd"/>
      <w:r>
        <w:rPr>
          <w:rFonts w:ascii="STIX Two Math" w:hAnsi="STIX Two Math" w:cs="STIX Two Math"/>
          <w:color w:val="121418"/>
          <w:kern w:val="0"/>
          <w:sz w:val="20"/>
          <w:szCs w:val="20"/>
        </w:rPr>
        <w:t>, </w:t>
      </w:r>
      <w:proofErr w:type="spellStart"/>
      <w:r>
        <w:rPr>
          <w:rFonts w:ascii="STIX Two Math" w:hAnsi="STIX Two Math" w:cs="STIX Two Math"/>
          <w:color w:val="121418"/>
          <w:kern w:val="0"/>
          <w:sz w:val="20"/>
          <w:szCs w:val="20"/>
        </w:rPr>
        <w:t>Adequacy</w:t>
      </w:r>
      <w:proofErr w:type="spellEnd"/>
      <w:r>
        <w:rPr>
          <w:rFonts w:ascii="MS Mincho" w:eastAsia="MS Mincho" w:hAnsi="MS Mincho" w:cs="MS Mincho" w:hint="eastAsia"/>
          <w:color w:val="121418"/>
          <w:kern w:val="0"/>
          <w:sz w:val="20"/>
          <w:szCs w:val="20"/>
        </w:rPr>
        <w:t> 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&gt;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r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1902"/>
      </w:tblGrid>
      <w:tr w:rsidR="00E84CF1" w14:paraId="6518D21B" w14:textId="77777777">
        <w:tblPrEx>
          <w:tblCellMar>
            <w:top w:w="0" w:type="dxa"/>
            <w:bottom w:w="0" w:type="dxa"/>
          </w:tblCellMar>
        </w:tblPrEx>
        <w:tc>
          <w:tcPr>
            <w:tcW w:w="19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bottom"/>
          </w:tcPr>
          <w:p w14:paraId="77DAAAE6" w14:textId="77777777" w:rsidR="00E84CF1" w:rsidRDefault="00E84CF1">
            <w:pPr>
              <w:numPr>
                <w:ilvl w:val="0"/>
                <w:numId w:val="1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121418"/>
                <w:kern w:val="0"/>
                <w:sz w:val="29"/>
                <w:szCs w:val="29"/>
              </w:rPr>
            </w:pPr>
            <w:proofErr w:type="spellStart"/>
            <w:r>
              <w:rPr>
                <w:rFonts w:ascii="Times New Roman" w:hAnsi="Times New Roman" w:cs="Times New Roman"/>
                <w:color w:val="121418"/>
                <w:kern w:val="0"/>
                <w:sz w:val="20"/>
                <w:szCs w:val="20"/>
              </w:rPr>
              <w:t>BERTScore</w:t>
            </w:r>
            <w:proofErr w:type="spellEnd"/>
            <w:r>
              <w:rPr>
                <w:rFonts w:ascii="Times New Roman" w:hAnsi="Times New Roman" w:cs="Times New Roman"/>
                <w:color w:val="121418"/>
                <w:kern w:val="0"/>
                <w:sz w:val="20"/>
                <w:szCs w:val="20"/>
              </w:rPr>
              <w:t>, </w:t>
            </w:r>
            <w:proofErr w:type="spellStart"/>
            <w:r>
              <w:rPr>
                <w:rFonts w:ascii="Times New Roman" w:hAnsi="Times New Roman" w:cs="Times New Roman"/>
                <w:color w:val="121418"/>
                <w:kern w:val="0"/>
                <w:sz w:val="20"/>
                <w:szCs w:val="20"/>
              </w:rPr>
              <w:t>Adequacy</w:t>
            </w:r>
            <w:proofErr w:type="spellEnd"/>
          </w:p>
        </w:tc>
        <w:tc>
          <w:tcPr>
            <w:tcW w:w="4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bottom"/>
          </w:tcPr>
          <w:p w14:paraId="1ADB2B4C" w14:textId="77777777" w:rsidR="00E84CF1" w:rsidRDefault="00E84CF1">
            <w:pPr>
              <w:numPr>
                <w:ilvl w:val="0"/>
                <w:numId w:val="1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121418"/>
                <w:kern w:val="0"/>
                <w:sz w:val="2"/>
                <w:szCs w:val="2"/>
              </w:rPr>
            </w:pPr>
          </w:p>
        </w:tc>
      </w:tr>
      <w:tr w:rsidR="00E84CF1" w14:paraId="0B8925DE" w14:textId="77777777">
        <w:tblPrEx>
          <w:tblCellMar>
            <w:top w:w="0" w:type="dxa"/>
            <w:bottom w:w="0" w:type="dxa"/>
          </w:tblCellMar>
        </w:tblPrEx>
        <w:tc>
          <w:tcPr>
            <w:tcW w:w="190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vAlign w:val="bottom"/>
          </w:tcPr>
          <w:p w14:paraId="04414B4D" w14:textId="77777777" w:rsidR="00E84CF1" w:rsidRDefault="00E84CF1">
            <w:pPr>
              <w:numPr>
                <w:ilvl w:val="0"/>
                <w:numId w:val="18"/>
              </w:numPr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0" w:line="240" w:lineRule="auto"/>
              <w:ind w:hanging="720"/>
              <w:rPr>
                <w:rFonts w:ascii="Times New Roman" w:hAnsi="Times New Roman" w:cs="Times New Roman"/>
                <w:color w:val="121418"/>
                <w:kern w:val="0"/>
                <w:sz w:val="29"/>
                <w:szCs w:val="29"/>
              </w:rPr>
            </w:pPr>
          </w:p>
        </w:tc>
        <w:tc>
          <w:tcPr>
            <w:tcW w:w="190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vAlign w:val="bottom"/>
          </w:tcPr>
          <w:p w14:paraId="57F27541" w14:textId="77777777" w:rsidR="00E84CF1" w:rsidRDefault="00E84CF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121418"/>
                <w:kern w:val="0"/>
                <w:sz w:val="29"/>
                <w:szCs w:val="29"/>
              </w:rPr>
            </w:pPr>
          </w:p>
        </w:tc>
      </w:tr>
    </w:tbl>
    <w:p w14:paraId="277E74AA" w14:textId="77777777" w:rsidR="00E84CF1" w:rsidRDefault="00E84CF1" w:rsidP="00E84CF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&gt;0</w:t>
      </w:r>
      <w:r>
        <w:rPr>
          <w:rFonts w:ascii="Arial" w:hAnsi="Arial" w:cs="Arial"/>
          <w:color w:val="121418"/>
          <w:kern w:val="0"/>
        </w:rPr>
        <w:t> mit 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p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&lt;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</w:t>
      </w:r>
      <w:r>
        <w:rPr>
          <w:rFonts w:ascii="STIX Two Math" w:hAnsi="STIX Two Math" w:cs="STIX Two Math"/>
          <w:color w:val="121418"/>
          <w:kern w:val="0"/>
          <w:sz w:val="29"/>
          <w:szCs w:val="29"/>
        </w:rPr>
        <w:t>0.05</w:t>
      </w:r>
      <w:r>
        <w:rPr>
          <w:rFonts w:ascii="MS Mincho" w:eastAsia="MS Mincho" w:hAnsi="MS Mincho" w:cs="MS Mincho" w:hint="eastAsia"/>
          <w:color w:val="121418"/>
          <w:kern w:val="0"/>
          <w:sz w:val="29"/>
          <w:szCs w:val="29"/>
        </w:rPr>
        <w:t>   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 </w:t>
      </w:r>
      <w:r>
        <w:rPr>
          <w:rFonts w:ascii="Times-Italic" w:hAnsi="Times-Italic" w:cs="Times-Italic"/>
          <w:i/>
          <w:iCs/>
          <w:color w:val="121418"/>
          <w:kern w:val="0"/>
          <w:sz w:val="29"/>
          <w:szCs w:val="29"/>
        </w:rPr>
        <w:t>p</w:t>
      </w:r>
      <w:r>
        <w:rPr>
          <w:rFonts w:ascii="Times New Roman" w:hAnsi="Times New Roman" w:cs="Times New Roman"/>
          <w:color w:val="121418"/>
          <w:kern w:val="0"/>
          <w:sz w:val="29"/>
          <w:szCs w:val="29"/>
        </w:rPr>
        <w:t>&lt;0.05</w:t>
      </w:r>
      <w:r>
        <w:rPr>
          <w:rFonts w:ascii="Arial" w:hAnsi="Arial" w:cs="Arial"/>
          <w:color w:val="121418"/>
          <w:kern w:val="0"/>
        </w:rPr>
        <w:t>; berichte Effektgröße und KI.</w:t>
      </w:r>
    </w:p>
    <w:p w14:paraId="394E6E62" w14:textId="77777777" w:rsidR="00E84CF1" w:rsidRDefault="00E84CF1" w:rsidP="00E84CF1">
      <w:pPr>
        <w:numPr>
          <w:ilvl w:val="0"/>
          <w:numId w:val="1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H2-Test: Vergleiche Korrelationen über Dimensionen mittels Steiger-Z-Test oder Bootstrapping.</w:t>
      </w:r>
    </w:p>
    <w:p w14:paraId="10ED6A2A" w14:textId="77777777" w:rsidR="00E84CF1" w:rsidRDefault="00E84CF1" w:rsidP="00E84C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</w:rPr>
      </w:pPr>
    </w:p>
    <w:p w14:paraId="7F0E8873" w14:textId="77777777" w:rsidR="00E84CF1" w:rsidRDefault="00E84CF1" w:rsidP="00E84CF1">
      <w:pPr>
        <w:autoSpaceDE w:val="0"/>
        <w:autoSpaceDN w:val="0"/>
        <w:adjustRightInd w:val="0"/>
        <w:spacing w:after="320" w:line="240" w:lineRule="auto"/>
        <w:rPr>
          <w:rFonts w:ascii="Arial" w:hAnsi="Arial" w:cs="Arial"/>
          <w:b/>
          <w:bCs/>
          <w:color w:val="121418"/>
          <w:kern w:val="0"/>
          <w:sz w:val="40"/>
          <w:szCs w:val="40"/>
        </w:rPr>
      </w:pPr>
      <w:r>
        <w:rPr>
          <w:rFonts w:ascii="Arial" w:hAnsi="Arial" w:cs="Arial"/>
          <w:b/>
          <w:bCs/>
          <w:color w:val="121418"/>
          <w:kern w:val="0"/>
          <w:sz w:val="40"/>
          <w:szCs w:val="40"/>
        </w:rPr>
        <w:t>Kurzvariante der Gliederung (wenn deine Hochschule kompaktere Struktur verlangt)</w:t>
      </w:r>
    </w:p>
    <w:p w14:paraId="6B9590A5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Einleitung</w:t>
      </w:r>
    </w:p>
    <w:p w14:paraId="63DB074B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Theorie &amp; verwandte Arbeiten</w:t>
      </w:r>
    </w:p>
    <w:p w14:paraId="64B3C41A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Forschungskonzept</w:t>
      </w:r>
    </w:p>
    <w:p w14:paraId="5F76FCF3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Datensatz &amp; Durchführung</w:t>
      </w:r>
    </w:p>
    <w:p w14:paraId="72D2D881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Ergebnisse</w:t>
      </w:r>
    </w:p>
    <w:p w14:paraId="1DC8D217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Diskussion &amp; Fazit</w:t>
      </w:r>
    </w:p>
    <w:p w14:paraId="3C306E2F" w14:textId="77777777" w:rsidR="00E84CF1" w:rsidRDefault="00E84CF1" w:rsidP="00E84CF1">
      <w:pPr>
        <w:numPr>
          <w:ilvl w:val="0"/>
          <w:numId w:val="1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Arial" w:hAnsi="Arial" w:cs="Arial"/>
          <w:color w:val="121418"/>
          <w:kern w:val="0"/>
        </w:rPr>
      </w:pPr>
      <w:r>
        <w:rPr>
          <w:rFonts w:ascii="Arial" w:hAnsi="Arial" w:cs="Arial"/>
          <w:color w:val="121418"/>
          <w:kern w:val="0"/>
        </w:rPr>
        <w:t>Anhang (Richtlinien, zusätzliche Tabellen/Plots, Code/Parameter)</w:t>
      </w:r>
    </w:p>
    <w:p w14:paraId="37C7900F" w14:textId="28FFD2E6" w:rsidR="00356364" w:rsidRDefault="00356364"/>
    <w:sectPr w:rsidR="003563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IX Two Math">
    <w:panose1 w:val="02020603050405020304"/>
    <w:charset w:val="00"/>
    <w:family w:val="roman"/>
    <w:notTrueType/>
    <w:pitch w:val="variable"/>
    <w:sig w:usb0="A00002FF" w:usb1="4000FDFF" w:usb2="0200002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-Italic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45526663">
    <w:abstractNumId w:val="0"/>
  </w:num>
  <w:num w:numId="2" w16cid:durableId="1684940563">
    <w:abstractNumId w:val="1"/>
  </w:num>
  <w:num w:numId="3" w16cid:durableId="851721936">
    <w:abstractNumId w:val="2"/>
  </w:num>
  <w:num w:numId="4" w16cid:durableId="2038039943">
    <w:abstractNumId w:val="3"/>
  </w:num>
  <w:num w:numId="5" w16cid:durableId="832840261">
    <w:abstractNumId w:val="4"/>
  </w:num>
  <w:num w:numId="6" w16cid:durableId="2040886749">
    <w:abstractNumId w:val="5"/>
  </w:num>
  <w:num w:numId="7" w16cid:durableId="1888372773">
    <w:abstractNumId w:val="6"/>
  </w:num>
  <w:num w:numId="8" w16cid:durableId="64383813">
    <w:abstractNumId w:val="7"/>
  </w:num>
  <w:num w:numId="9" w16cid:durableId="271861957">
    <w:abstractNumId w:val="8"/>
  </w:num>
  <w:num w:numId="10" w16cid:durableId="1663390237">
    <w:abstractNumId w:val="9"/>
  </w:num>
  <w:num w:numId="11" w16cid:durableId="1603490690">
    <w:abstractNumId w:val="10"/>
  </w:num>
  <w:num w:numId="12" w16cid:durableId="1852067167">
    <w:abstractNumId w:val="11"/>
  </w:num>
  <w:num w:numId="13" w16cid:durableId="2104261080">
    <w:abstractNumId w:val="12"/>
  </w:num>
  <w:num w:numId="14" w16cid:durableId="419835907">
    <w:abstractNumId w:val="13"/>
  </w:num>
  <w:num w:numId="15" w16cid:durableId="385884961">
    <w:abstractNumId w:val="14"/>
  </w:num>
  <w:num w:numId="16" w16cid:durableId="1930117644">
    <w:abstractNumId w:val="15"/>
  </w:num>
  <w:num w:numId="17" w16cid:durableId="2101872876">
    <w:abstractNumId w:val="16"/>
  </w:num>
  <w:num w:numId="18" w16cid:durableId="1781147351">
    <w:abstractNumId w:val="17"/>
  </w:num>
  <w:num w:numId="19" w16cid:durableId="9968859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F1"/>
    <w:rsid w:val="000C1B89"/>
    <w:rsid w:val="00190AD6"/>
    <w:rsid w:val="00356364"/>
    <w:rsid w:val="007204F0"/>
    <w:rsid w:val="00E4658F"/>
    <w:rsid w:val="00E8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A0FBA"/>
  <w15:chartTrackingRefBased/>
  <w15:docId w15:val="{4F7C28F0-4E3E-B04E-923C-042092A5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4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4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4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4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4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4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4C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4C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4C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4C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4C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4C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4C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4C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4C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4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4C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4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1180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Ahlert, Joern</dc:creator>
  <cp:keywords/>
  <dc:description/>
  <cp:lastModifiedBy>Ahlert, Joern</cp:lastModifiedBy>
  <cp:revision>1</cp:revision>
  <dcterms:created xsi:type="dcterms:W3CDTF">2025-10-10T09:56:00Z</dcterms:created>
  <dcterms:modified xsi:type="dcterms:W3CDTF">2025-10-10T13:34:00Z</dcterms:modified>
</cp:coreProperties>
</file>