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46A7E" w14:textId="0BC1C1B4" w:rsidR="00356364" w:rsidRDefault="003834DC">
      <w:r>
        <w:t>Notizen Recherche</w:t>
      </w:r>
    </w:p>
    <w:p w14:paraId="36FCC15B" w14:textId="284F1C6B" w:rsidR="003834DC" w:rsidRDefault="003834DC" w:rsidP="003834DC">
      <w:r>
        <w:t>Paper:</w:t>
      </w:r>
      <w:r w:rsidRPr="003834DC">
        <w:rPr>
          <w:rFonts w:ascii="rival-sans" w:eastAsia="Times New Roman" w:hAnsi="rival-sans" w:cs="Times New Roman"/>
          <w:color w:val="000000"/>
          <w:kern w:val="36"/>
          <w:sz w:val="48"/>
          <w:szCs w:val="48"/>
          <w:lang w:eastAsia="de-DE"/>
          <w14:ligatures w14:val="none"/>
        </w:rPr>
        <w:t xml:space="preserve"> </w:t>
      </w:r>
      <w:proofErr w:type="spellStart"/>
      <w:r w:rsidRPr="003834DC">
        <w:t>Faithfulness</w:t>
      </w:r>
      <w:proofErr w:type="spellEnd"/>
      <w:r w:rsidRPr="003834DC">
        <w:t xml:space="preserve"> vs. </w:t>
      </w:r>
      <w:proofErr w:type="spellStart"/>
      <w:r w:rsidRPr="003834DC">
        <w:t>Plausibility</w:t>
      </w:r>
      <w:proofErr w:type="spellEnd"/>
      <w:r w:rsidRPr="003834DC">
        <w:t xml:space="preserve">: On </w:t>
      </w:r>
      <w:proofErr w:type="spellStart"/>
      <w:r w:rsidRPr="003834DC">
        <w:t>the</w:t>
      </w:r>
      <w:proofErr w:type="spellEnd"/>
      <w:r w:rsidRPr="003834DC">
        <w:t xml:space="preserve"> (</w:t>
      </w:r>
      <w:proofErr w:type="spellStart"/>
      <w:r w:rsidRPr="003834DC">
        <w:t>Un</w:t>
      </w:r>
      <w:proofErr w:type="spellEnd"/>
      <w:r w:rsidRPr="003834DC">
        <w:t>)</w:t>
      </w:r>
      <w:proofErr w:type="spellStart"/>
      <w:r w:rsidRPr="003834DC">
        <w:t>Reliability</w:t>
      </w:r>
      <w:proofErr w:type="spellEnd"/>
      <w:r w:rsidRPr="003834DC">
        <w:t xml:space="preserve"> </w:t>
      </w:r>
      <w:proofErr w:type="spellStart"/>
      <w:r w:rsidRPr="003834DC">
        <w:t>of</w:t>
      </w:r>
      <w:proofErr w:type="spellEnd"/>
      <w:r w:rsidRPr="003834DC">
        <w:t xml:space="preserve"> </w:t>
      </w:r>
      <w:proofErr w:type="spellStart"/>
      <w:r w:rsidRPr="003834DC">
        <w:t>Explanations</w:t>
      </w:r>
      <w:proofErr w:type="spellEnd"/>
      <w:r w:rsidRPr="003834DC">
        <w:t> </w:t>
      </w:r>
      <w:proofErr w:type="spellStart"/>
      <w:r w:rsidRPr="003834DC">
        <w:t>from</w:t>
      </w:r>
      <w:proofErr w:type="spellEnd"/>
      <w:r w:rsidRPr="003834DC">
        <w:t xml:space="preserve"> Large Language Models</w:t>
      </w:r>
    </w:p>
    <w:p w14:paraId="71389A41" w14:textId="77777777" w:rsidR="003834DC" w:rsidRDefault="003834DC" w:rsidP="003834DC"/>
    <w:p w14:paraId="523C86DA" w14:textId="77777777" w:rsidR="003834DC" w:rsidRDefault="003834DC" w:rsidP="003834DC">
      <w:r>
        <w:t>Kernprunkte:</w:t>
      </w:r>
    </w:p>
    <w:p w14:paraId="34873603" w14:textId="03357B9E" w:rsidR="003834DC" w:rsidRDefault="003834DC" w:rsidP="003834DC">
      <w:pPr>
        <w:pStyle w:val="Listenabsatz"/>
        <w:numPr>
          <w:ilvl w:val="0"/>
          <w:numId w:val="3"/>
        </w:numPr>
      </w:pPr>
      <w:r w:rsidRPr="003834DC">
        <w:t>Kernpunkt: LLM</w:t>
      </w:r>
      <w:r w:rsidRPr="003834DC">
        <w:noBreakHyphen/>
        <w:t xml:space="preserve">Erklärungen wirken oft plausibel (klingt logisch), sind aber häufig nicht </w:t>
      </w:r>
      <w:proofErr w:type="spellStart"/>
      <w:r w:rsidRPr="003834DC">
        <w:t>faithful</w:t>
      </w:r>
      <w:proofErr w:type="spellEnd"/>
      <w:r w:rsidRPr="003834DC">
        <w:t xml:space="preserve"> (spiegeln den echten Entscheidungsweg nicht).</w:t>
      </w:r>
    </w:p>
    <w:p w14:paraId="7A288183" w14:textId="77453174" w:rsidR="003834DC" w:rsidRPr="003834DC" w:rsidRDefault="003834DC" w:rsidP="003834DC">
      <w:pPr>
        <w:pStyle w:val="Listenabsatz"/>
        <w:numPr>
          <w:ilvl w:val="0"/>
          <w:numId w:val="3"/>
        </w:numPr>
      </w:pPr>
      <w:r w:rsidRPr="003834DC">
        <w:t xml:space="preserve">Warum wichtig: Plausible, aber </w:t>
      </w:r>
      <w:proofErr w:type="spellStart"/>
      <w:r w:rsidRPr="003834DC">
        <w:t>unfaithful</w:t>
      </w:r>
      <w:proofErr w:type="spellEnd"/>
      <w:r w:rsidRPr="003834DC">
        <w:t xml:space="preserve"> Erklärungen erzeugen Schein</w:t>
      </w:r>
      <w:r w:rsidRPr="003834DC">
        <w:noBreakHyphen/>
        <w:t>Transparenz und falsches Vertrauen—kritisch in Medizin/Finanzen/Recht.</w:t>
      </w:r>
    </w:p>
    <w:p w14:paraId="7EFD7007" w14:textId="77777777" w:rsidR="003834DC" w:rsidRPr="003834DC" w:rsidRDefault="003834DC" w:rsidP="003834DC">
      <w:pPr>
        <w:numPr>
          <w:ilvl w:val="0"/>
          <w:numId w:val="3"/>
        </w:numPr>
      </w:pPr>
      <w:r w:rsidRPr="003834DC">
        <w:t xml:space="preserve">Evidenz: Kleine Gegenfakten oder abgeschnittene/fehlerhafte Begründungen ändern die Antwort oft nicht → Hinweise auf </w:t>
      </w:r>
      <w:proofErr w:type="spellStart"/>
      <w:r w:rsidRPr="003834DC">
        <w:t>post</w:t>
      </w:r>
      <w:proofErr w:type="spellEnd"/>
      <w:r w:rsidRPr="003834DC">
        <w:noBreakHyphen/>
        <w:t>hoc Rationalisierung.</w:t>
      </w:r>
    </w:p>
    <w:p w14:paraId="5BBFBCE5" w14:textId="77777777" w:rsidR="003834DC" w:rsidRPr="003834DC" w:rsidRDefault="003834DC" w:rsidP="003834DC">
      <w:pPr>
        <w:numPr>
          <w:ilvl w:val="0"/>
          <w:numId w:val="3"/>
        </w:numPr>
      </w:pPr>
      <w:r w:rsidRPr="003834DC">
        <w:t>Für dich: Hohe Benchmark</w:t>
      </w:r>
      <w:r w:rsidRPr="003834DC">
        <w:noBreakHyphen/>
        <w:t>Scores + „schöne“ Chain</w:t>
      </w:r>
      <w:r w:rsidRPr="003834DC">
        <w:noBreakHyphen/>
      </w:r>
      <w:proofErr w:type="spellStart"/>
      <w:r w:rsidRPr="003834DC">
        <w:t>of</w:t>
      </w:r>
      <w:proofErr w:type="spellEnd"/>
      <w:r w:rsidRPr="003834DC">
        <w:noBreakHyphen/>
      </w:r>
      <w:proofErr w:type="spellStart"/>
      <w:r w:rsidRPr="003834DC">
        <w:t>Thoughts</w:t>
      </w:r>
      <w:proofErr w:type="spellEnd"/>
      <w:r w:rsidRPr="003834DC">
        <w:t xml:space="preserve"> ≠ verlässlich. Ergänze Benchmarks um Tests auf </w:t>
      </w:r>
      <w:proofErr w:type="spellStart"/>
      <w:r w:rsidRPr="003834DC">
        <w:t>Faithfulness</w:t>
      </w:r>
      <w:proofErr w:type="spellEnd"/>
      <w:r w:rsidRPr="003834DC">
        <w:t>.</w:t>
      </w:r>
    </w:p>
    <w:p w14:paraId="65BE7CDF" w14:textId="77777777" w:rsidR="003834DC" w:rsidRDefault="003834DC" w:rsidP="003834DC">
      <w:pPr>
        <w:numPr>
          <w:ilvl w:val="0"/>
          <w:numId w:val="3"/>
        </w:numPr>
      </w:pPr>
      <w:r w:rsidRPr="003834DC">
        <w:t xml:space="preserve">Praxis: Nutze </w:t>
      </w:r>
      <w:proofErr w:type="spellStart"/>
      <w:r w:rsidRPr="003834DC">
        <w:t>Gegenfaktik</w:t>
      </w:r>
      <w:proofErr w:type="spellEnd"/>
      <w:r w:rsidRPr="003834DC">
        <w:noBreakHyphen/>
        <w:t xml:space="preserve"> und Early</w:t>
      </w:r>
      <w:r w:rsidRPr="003834DC">
        <w:noBreakHyphen/>
      </w:r>
      <w:proofErr w:type="spellStart"/>
      <w:r w:rsidRPr="003834DC">
        <w:t>Answering</w:t>
      </w:r>
      <w:proofErr w:type="spellEnd"/>
      <w:r w:rsidRPr="003834DC">
        <w:noBreakHyphen/>
        <w:t>Tests; in Hochrisiko</w:t>
      </w:r>
      <w:r w:rsidRPr="003834DC">
        <w:noBreakHyphen/>
        <w:t>Use</w:t>
      </w:r>
      <w:r w:rsidRPr="003834DC">
        <w:noBreakHyphen/>
        <w:t xml:space="preserve">Cases </w:t>
      </w:r>
      <w:proofErr w:type="spellStart"/>
      <w:r w:rsidRPr="003834DC">
        <w:t>Faithfulness</w:t>
      </w:r>
      <w:proofErr w:type="spellEnd"/>
      <w:r w:rsidRPr="003834DC">
        <w:t xml:space="preserve"> priorisieren, in Lern/Dialog Plausibilität klar als vorläufig kennzeichnen.</w:t>
      </w:r>
    </w:p>
    <w:p w14:paraId="1F9AB22A" w14:textId="77777777" w:rsidR="005F44C9" w:rsidRDefault="005F44C9" w:rsidP="005F44C9">
      <w:pPr>
        <w:ind w:left="360"/>
      </w:pPr>
    </w:p>
    <w:p w14:paraId="5DD29F64" w14:textId="77777777" w:rsidR="005F44C9" w:rsidRDefault="005F44C9" w:rsidP="005F44C9">
      <w:pPr>
        <w:ind w:left="360"/>
      </w:pPr>
    </w:p>
    <w:p w14:paraId="3E5B30B6" w14:textId="3332D8B9" w:rsidR="005F44C9" w:rsidRDefault="00477287" w:rsidP="005F44C9">
      <w:r>
        <w:t xml:space="preserve">Paper: </w:t>
      </w:r>
      <w:r w:rsidR="005F44C9" w:rsidRPr="005F44C9">
        <w:t>Chain-</w:t>
      </w:r>
      <w:proofErr w:type="spellStart"/>
      <w:r w:rsidR="005F44C9" w:rsidRPr="005F44C9">
        <w:t>of</w:t>
      </w:r>
      <w:proofErr w:type="spellEnd"/>
      <w:r w:rsidR="005F44C9" w:rsidRPr="005F44C9">
        <w:t>-</w:t>
      </w:r>
      <w:proofErr w:type="spellStart"/>
      <w:r w:rsidR="005F44C9" w:rsidRPr="005F44C9">
        <w:t>Thought</w:t>
      </w:r>
      <w:proofErr w:type="spellEnd"/>
      <w:r w:rsidR="005F44C9" w:rsidRPr="005F44C9">
        <w:t xml:space="preserve"> </w:t>
      </w:r>
      <w:proofErr w:type="spellStart"/>
      <w:r w:rsidR="005F44C9" w:rsidRPr="005F44C9">
        <w:t>Is</w:t>
      </w:r>
      <w:proofErr w:type="spellEnd"/>
      <w:r w:rsidR="005F44C9" w:rsidRPr="005F44C9">
        <w:t xml:space="preserve"> Not </w:t>
      </w:r>
      <w:proofErr w:type="spellStart"/>
      <w:r w:rsidR="005F44C9" w:rsidRPr="005F44C9">
        <w:t>Explainability</w:t>
      </w:r>
      <w:proofErr w:type="spellEnd"/>
      <w:r w:rsidR="005F44C9">
        <w:t>:</w:t>
      </w:r>
    </w:p>
    <w:p w14:paraId="10A2B52B" w14:textId="34DD74FA" w:rsidR="005F44C9" w:rsidRDefault="005F44C9" w:rsidP="005F44C9">
      <w:pPr>
        <w:pStyle w:val="Listenabsatz"/>
        <w:numPr>
          <w:ilvl w:val="0"/>
          <w:numId w:val="5"/>
        </w:numPr>
      </w:pPr>
      <w:proofErr w:type="spellStart"/>
      <w:r>
        <w:t>CoT</w:t>
      </w:r>
      <w:proofErr w:type="spellEnd"/>
      <w:r>
        <w:t xml:space="preserve"> steigert oft Leistung und wirkt transparent, ist aber häufig </w:t>
      </w:r>
      <w:proofErr w:type="spellStart"/>
      <w:r>
        <w:t>unfaithful</w:t>
      </w:r>
      <w:proofErr w:type="spellEnd"/>
      <w:r>
        <w:t>: plausible Begründungen spiegeln nicht den echten Entscheidungsweg des Modells.</w:t>
      </w:r>
    </w:p>
    <w:p w14:paraId="4D0CDB15" w14:textId="77777777" w:rsidR="005F44C9" w:rsidRDefault="005F44C9" w:rsidP="005F44C9">
      <w:pPr>
        <w:pStyle w:val="Listenabsatz"/>
        <w:numPr>
          <w:ilvl w:val="0"/>
          <w:numId w:val="4"/>
        </w:numPr>
      </w:pPr>
      <w:r>
        <w:t>Typische Befunde: Antwort-Bias durch Options-Reihenfolge; stille Fehlerkorrekturen; latente Shortcuts/</w:t>
      </w:r>
      <w:proofErr w:type="spellStart"/>
      <w:r>
        <w:t>Memorisierung</w:t>
      </w:r>
      <w:proofErr w:type="spellEnd"/>
      <w:r>
        <w:t>; Leistungsgewinne durch Filler-/Pause-Tokens.</w:t>
      </w:r>
    </w:p>
    <w:p w14:paraId="013D91C5" w14:textId="77777777" w:rsidR="005F44C9" w:rsidRDefault="005F44C9" w:rsidP="005F44C9">
      <w:pPr>
        <w:pStyle w:val="Listenabsatz"/>
        <w:numPr>
          <w:ilvl w:val="0"/>
          <w:numId w:val="4"/>
        </w:numPr>
      </w:pPr>
      <w:r>
        <w:t xml:space="preserve">Ursache: Transformer rechnen verteilt und parallel; ein linearer </w:t>
      </w:r>
      <w:proofErr w:type="spellStart"/>
      <w:r>
        <w:t>CoT</w:t>
      </w:r>
      <w:proofErr w:type="spellEnd"/>
      <w:r>
        <w:t>-Text ist nur eine verlustbehaftete, post-hoc Projektion. Redundante Rechenpfade („Hydra-Effekt“) kaschieren Kausalität.</w:t>
      </w:r>
    </w:p>
    <w:p w14:paraId="320DDD94" w14:textId="77777777" w:rsidR="005F44C9" w:rsidRDefault="005F44C9" w:rsidP="005F44C9">
      <w:pPr>
        <w:pStyle w:val="Listenabsatz"/>
        <w:numPr>
          <w:ilvl w:val="0"/>
          <w:numId w:val="4"/>
        </w:numPr>
      </w:pPr>
      <w:r>
        <w:t xml:space="preserve">Konsequenz: </w:t>
      </w:r>
      <w:proofErr w:type="spellStart"/>
      <w:r>
        <w:t>CoT</w:t>
      </w:r>
      <w:proofErr w:type="spellEnd"/>
      <w:r>
        <w:t xml:space="preserve"> allein ist weder notwendig noch hinreichend für Interpretierbarkeit—Risk </w:t>
      </w:r>
      <w:proofErr w:type="spellStart"/>
      <w:r>
        <w:t>of</w:t>
      </w:r>
      <w:proofErr w:type="spellEnd"/>
      <w:r>
        <w:t xml:space="preserve"> Schein-Transparenz, besonders in Hochrisiko-Domänen.</w:t>
      </w:r>
    </w:p>
    <w:p w14:paraId="58FA3448" w14:textId="77777777" w:rsidR="005F44C9" w:rsidRDefault="005F44C9" w:rsidP="005F44C9">
      <w:pPr>
        <w:pStyle w:val="Listenabsatz"/>
        <w:numPr>
          <w:ilvl w:val="0"/>
          <w:numId w:val="4"/>
        </w:numPr>
      </w:pPr>
      <w:r>
        <w:t xml:space="preserve">Empfehlung: </w:t>
      </w:r>
      <w:proofErr w:type="spellStart"/>
      <w:r>
        <w:t>CoT</w:t>
      </w:r>
      <w:proofErr w:type="spellEnd"/>
      <w:r>
        <w:t xml:space="preserve"> weiter als Kommunikationshilfe nutzen, aber </w:t>
      </w:r>
      <w:proofErr w:type="spellStart"/>
      <w:r>
        <w:t>Faithfulness</w:t>
      </w:r>
      <w:proofErr w:type="spellEnd"/>
      <w:r>
        <w:t xml:space="preserve"> prüfen (Gegenfakten/Interventionen, </w:t>
      </w:r>
      <w:proofErr w:type="spellStart"/>
      <w:r>
        <w:t>Verifier</w:t>
      </w:r>
      <w:proofErr w:type="spellEnd"/>
      <w:r>
        <w:t xml:space="preserve">-Modelle, </w:t>
      </w:r>
      <w:proofErr w:type="spellStart"/>
      <w:r>
        <w:t>Aktivations-Patching</w:t>
      </w:r>
      <w:proofErr w:type="spellEnd"/>
      <w:r>
        <w:t>) und standardisierte Metriken/Interfaces einsetzen.</w:t>
      </w:r>
    </w:p>
    <w:p w14:paraId="11B4985F" w14:textId="77777777" w:rsidR="005F44C9" w:rsidRDefault="005F44C9" w:rsidP="005F44C9">
      <w:pPr>
        <w:ind w:left="360"/>
      </w:pPr>
      <w:r>
        <w:t>Warum für dich relevant</w:t>
      </w:r>
    </w:p>
    <w:p w14:paraId="58462716" w14:textId="77777777" w:rsidR="005F44C9" w:rsidRDefault="005F44C9" w:rsidP="005F44C9">
      <w:pPr>
        <w:ind w:left="360"/>
      </w:pPr>
    </w:p>
    <w:p w14:paraId="16566823" w14:textId="77777777" w:rsidR="005F44C9" w:rsidRDefault="005F44C9" w:rsidP="005F44C9">
      <w:pPr>
        <w:pStyle w:val="Listenabsatz"/>
        <w:numPr>
          <w:ilvl w:val="0"/>
          <w:numId w:val="6"/>
        </w:numPr>
      </w:pPr>
      <w:r>
        <w:t>Zeigt, warum „menschlich plausibel klingend“ ≠ verlässlich/kausal—zentrale Achse deiner komparativen Analyse Benchmark vs. menschliche Plausibilität.</w:t>
      </w:r>
    </w:p>
    <w:p w14:paraId="6511261D" w14:textId="0BE5C4D5" w:rsidR="005F44C9" w:rsidRPr="003834DC" w:rsidRDefault="005F44C9" w:rsidP="005F44C9">
      <w:pPr>
        <w:pStyle w:val="Listenabsatz"/>
        <w:numPr>
          <w:ilvl w:val="0"/>
          <w:numId w:val="6"/>
        </w:numPr>
      </w:pPr>
      <w:r>
        <w:t>Liefert konkrete Tests, um bei GPT</w:t>
      </w:r>
      <w:r w:rsidRPr="005F44C9">
        <w:rPr>
          <w:rFonts w:ascii="Cambria Math" w:hAnsi="Cambria Math" w:cs="Cambria Math"/>
        </w:rPr>
        <w:t>‑</w:t>
      </w:r>
      <w:r>
        <w:t xml:space="preserve">OSS 120B schöne </w:t>
      </w:r>
      <w:proofErr w:type="spellStart"/>
      <w:r>
        <w:t>CoTs</w:t>
      </w:r>
      <w:proofErr w:type="spellEnd"/>
      <w:r>
        <w:t xml:space="preserve"> von wirklich kausalen Erklärungen zu unterscheiden und Divergenzen systematisch zu messen.</w:t>
      </w:r>
    </w:p>
    <w:p w14:paraId="68912BCF" w14:textId="55AAC7A5" w:rsidR="003834DC" w:rsidRDefault="00477287" w:rsidP="003834DC">
      <w:r>
        <w:t xml:space="preserve">Paper: </w:t>
      </w:r>
      <w:hyperlink r:id="rId5" w:history="1">
        <w:r w:rsidRPr="00806053">
          <w:rPr>
            <w:rStyle w:val="Hyperlink"/>
          </w:rPr>
          <w:t>https://eugeneyan.com/writing/llm-evaluators/</w:t>
        </w:r>
      </w:hyperlink>
    </w:p>
    <w:p w14:paraId="41820DC9" w14:textId="77777777" w:rsidR="00477287" w:rsidRPr="00477287" w:rsidRDefault="00477287" w:rsidP="00477287">
      <w:pPr>
        <w:rPr>
          <w:b/>
          <w:bCs/>
        </w:rPr>
      </w:pPr>
      <w:r w:rsidRPr="00477287">
        <w:rPr>
          <w:b/>
          <w:bCs/>
        </w:rPr>
        <w:t>Benchmarks vs. menschliche Wahrnehmung</w:t>
      </w:r>
    </w:p>
    <w:p w14:paraId="553D9F10" w14:textId="77777777" w:rsidR="00477287" w:rsidRDefault="00477287" w:rsidP="003834DC"/>
    <w:p w14:paraId="6AA895AD" w14:textId="77777777" w:rsidR="00477287" w:rsidRDefault="00477287" w:rsidP="00477287">
      <w:pPr>
        <w:pStyle w:val="Listenabsatz"/>
        <w:numPr>
          <w:ilvl w:val="0"/>
          <w:numId w:val="7"/>
        </w:numPr>
      </w:pPr>
      <w:r>
        <w:t xml:space="preserve">Technische Benchmarks messen eng umrissene Fähigkeiten (z. B. Multiple Choice, kurze Fakten, </w:t>
      </w:r>
      <w:proofErr w:type="spellStart"/>
      <w:r>
        <w:t>Einzelskills</w:t>
      </w:r>
      <w:proofErr w:type="spellEnd"/>
      <w:r>
        <w:t>). Die menschliche Wahrnehmung bewertet hingegen ganzheitlich: Nützlichkeit, Begründungstiefe, Kohärenz, Stil, Sicherheit und Kontextpassung.</w:t>
      </w:r>
    </w:p>
    <w:p w14:paraId="6082EAD5" w14:textId="77777777" w:rsidR="00477287" w:rsidRDefault="00477287" w:rsidP="00477287">
      <w:pPr>
        <w:pStyle w:val="Listenabsatz"/>
        <w:numPr>
          <w:ilvl w:val="0"/>
          <w:numId w:val="7"/>
        </w:numPr>
      </w:pPr>
      <w:r>
        <w:t>Daher weichen Ergebnisse oft ab: Gute Benchmark-Scores bedeuten nicht automatisch, dass Antworten für Menschen plausibel oder hilfreich wirken.</w:t>
      </w:r>
    </w:p>
    <w:p w14:paraId="1977D72E" w14:textId="77777777" w:rsidR="00477287" w:rsidRDefault="00477287" w:rsidP="00477287">
      <w:pPr>
        <w:pStyle w:val="Listenabsatz"/>
        <w:numPr>
          <w:ilvl w:val="0"/>
          <w:numId w:val="7"/>
        </w:numPr>
      </w:pPr>
      <w:r>
        <w:t>Ursachen für die Lücke:</w:t>
      </w:r>
    </w:p>
    <w:p w14:paraId="2586C579" w14:textId="77777777" w:rsidR="00477287" w:rsidRDefault="00477287" w:rsidP="00477287">
      <w:pPr>
        <w:pStyle w:val="Listenabsatz"/>
        <w:numPr>
          <w:ilvl w:val="1"/>
          <w:numId w:val="7"/>
        </w:numPr>
      </w:pPr>
      <w:proofErr w:type="spellStart"/>
      <w:r>
        <w:t>Formatmismatch</w:t>
      </w:r>
      <w:proofErr w:type="spellEnd"/>
      <w:r>
        <w:t>: Tests sind häufig geschlossen und künstlich; echte Nutzung ist offen, mehrstufig und dialogisch.</w:t>
      </w:r>
    </w:p>
    <w:p w14:paraId="3E526A8E" w14:textId="77777777" w:rsidR="00477287" w:rsidRDefault="00477287" w:rsidP="00477287">
      <w:pPr>
        <w:pStyle w:val="Listenabsatz"/>
        <w:numPr>
          <w:ilvl w:val="1"/>
          <w:numId w:val="7"/>
        </w:numPr>
      </w:pPr>
      <w:r>
        <w:t>Bewertungs-Bias: Länge, Stil und Präsentation beeinflussen Urteile; automatische “Judges” (LLM-</w:t>
      </w:r>
      <w:proofErr w:type="spellStart"/>
      <w:r>
        <w:t>as</w:t>
      </w:r>
      <w:proofErr w:type="spellEnd"/>
      <w:r>
        <w:t>-a-Judge) haben zusätzliche Verzerrungen.</w:t>
      </w:r>
    </w:p>
    <w:p w14:paraId="7ACE9AE1" w14:textId="77777777" w:rsidR="00477287" w:rsidRDefault="00477287" w:rsidP="00477287">
      <w:pPr>
        <w:pStyle w:val="Listenabsatz"/>
        <w:numPr>
          <w:ilvl w:val="1"/>
          <w:numId w:val="7"/>
        </w:numPr>
      </w:pPr>
      <w:r>
        <w:t>Sättigung/</w:t>
      </w:r>
      <w:proofErr w:type="spellStart"/>
      <w:r>
        <w:t>Contamination</w:t>
      </w:r>
      <w:proofErr w:type="spellEnd"/>
      <w:r>
        <w:t>: Modelle “kennen” Benchmarks oder nutzen Artefakte.</w:t>
      </w:r>
    </w:p>
    <w:p w14:paraId="6318AD03" w14:textId="77777777" w:rsidR="00477287" w:rsidRDefault="00477287" w:rsidP="00477287">
      <w:pPr>
        <w:pStyle w:val="Listenabsatz"/>
        <w:numPr>
          <w:ilvl w:val="1"/>
          <w:numId w:val="7"/>
        </w:numPr>
      </w:pPr>
      <w:r>
        <w:t>Prompt-/Decoding-Sensitivität: Kleine Änderungen im Prompt oder Sampling verschieben die wahrgenommene Qualität deutlich.</w:t>
      </w:r>
    </w:p>
    <w:p w14:paraId="44B22EEC" w14:textId="77777777" w:rsidR="00477287" w:rsidRDefault="00477287" w:rsidP="00477287">
      <w:pPr>
        <w:pStyle w:val="Listenabsatz"/>
        <w:numPr>
          <w:ilvl w:val="1"/>
          <w:numId w:val="7"/>
        </w:numPr>
      </w:pPr>
      <w:r>
        <w:t>Domänenverschiebung: Korrelationen variieren je nach Fachgebiet und Aufgabe.</w:t>
      </w:r>
    </w:p>
    <w:p w14:paraId="02BEDD9E" w14:textId="77777777" w:rsidR="00477287" w:rsidRDefault="00477287" w:rsidP="00477287">
      <w:pPr>
        <w:pStyle w:val="Listenabsatz"/>
        <w:numPr>
          <w:ilvl w:val="0"/>
          <w:numId w:val="7"/>
        </w:numPr>
      </w:pPr>
      <w:r>
        <w:t>Was wirkt besser:</w:t>
      </w:r>
    </w:p>
    <w:p w14:paraId="6F48AD9E" w14:textId="77777777" w:rsidR="00477287" w:rsidRDefault="00477287" w:rsidP="00477287">
      <w:pPr>
        <w:pStyle w:val="Listenabsatz"/>
        <w:numPr>
          <w:ilvl w:val="1"/>
          <w:numId w:val="7"/>
        </w:numPr>
      </w:pPr>
      <w:r>
        <w:t>Stichprobenweise Human-</w:t>
      </w:r>
      <w:proofErr w:type="spellStart"/>
      <w:r>
        <w:t>Eval</w:t>
      </w:r>
      <w:proofErr w:type="spellEnd"/>
      <w:r>
        <w:t xml:space="preserve"> mit Paarvergleichen, klaren Rubriken und Blindbewertungen.</w:t>
      </w:r>
    </w:p>
    <w:p w14:paraId="52398195" w14:textId="77777777" w:rsidR="00477287" w:rsidRDefault="00477287" w:rsidP="00477287">
      <w:pPr>
        <w:pStyle w:val="Listenabsatz"/>
        <w:numPr>
          <w:ilvl w:val="1"/>
          <w:numId w:val="7"/>
        </w:numPr>
      </w:pPr>
      <w:r>
        <w:t>Human-nahe Benchmarks (offene Antworten, Multi-Turn, Evidenzpflicht).</w:t>
      </w:r>
    </w:p>
    <w:p w14:paraId="032D1337" w14:textId="77777777" w:rsidR="00477287" w:rsidRDefault="00477287" w:rsidP="00477287">
      <w:pPr>
        <w:pStyle w:val="Listenabsatz"/>
        <w:numPr>
          <w:ilvl w:val="1"/>
          <w:numId w:val="7"/>
        </w:numPr>
      </w:pPr>
      <w:r>
        <w:t xml:space="preserve">Kalibrierte, </w:t>
      </w:r>
      <w:proofErr w:type="spellStart"/>
      <w:r>
        <w:t>bias</w:t>
      </w:r>
      <w:proofErr w:type="spellEnd"/>
      <w:r>
        <w:t>-kontrollierte LLM-Judges; ggf. Multi-/Agenten-Jurys für komplexe Prozesse.</w:t>
      </w:r>
    </w:p>
    <w:p w14:paraId="7346CF89" w14:textId="77777777" w:rsidR="00477287" w:rsidRDefault="00477287" w:rsidP="00477287">
      <w:pPr>
        <w:pStyle w:val="Listenabsatz"/>
        <w:numPr>
          <w:ilvl w:val="1"/>
          <w:numId w:val="7"/>
        </w:numPr>
      </w:pPr>
      <w:r>
        <w:t>Kontaminationsschutz (</w:t>
      </w:r>
      <w:proofErr w:type="gramStart"/>
      <w:r>
        <w:t>neue Splits</w:t>
      </w:r>
      <w:proofErr w:type="gramEnd"/>
      <w:r>
        <w:t xml:space="preserve">, </w:t>
      </w:r>
      <w:proofErr w:type="spellStart"/>
      <w:r>
        <w:t>adversarial</w:t>
      </w:r>
      <w:proofErr w:type="spellEnd"/>
      <w:r>
        <w:t xml:space="preserve"> </w:t>
      </w:r>
      <w:proofErr w:type="spellStart"/>
      <w:r>
        <w:t>filtering</w:t>
      </w:r>
      <w:proofErr w:type="spellEnd"/>
      <w:r>
        <w:t>) und domänenspezifische Validierung.</w:t>
      </w:r>
    </w:p>
    <w:p w14:paraId="7E94C190" w14:textId="77777777" w:rsidR="00477287" w:rsidRDefault="00477287" w:rsidP="00477287">
      <w:r>
        <w:t>Warum ist das für Sie relevant?</w:t>
      </w:r>
    </w:p>
    <w:p w14:paraId="2BD2BFC1" w14:textId="77777777" w:rsidR="00477287" w:rsidRDefault="00477287" w:rsidP="00477287">
      <w:pPr>
        <w:pStyle w:val="Listenabsatz"/>
        <w:numPr>
          <w:ilvl w:val="0"/>
          <w:numId w:val="8"/>
        </w:numPr>
      </w:pPr>
      <w:r>
        <w:t>Realitätsnahe Qualitätsaussagen: Sie vermeiden Fehlentscheidungen bei Modellwahl und -tuning, weil Sie wissen, wann Benchmark-Gewinne tatsächlich in bessere Nutzererfahrung übersetzen.</w:t>
      </w:r>
    </w:p>
    <w:p w14:paraId="4F130E21" w14:textId="77777777" w:rsidR="00477287" w:rsidRDefault="00477287" w:rsidP="00477287">
      <w:pPr>
        <w:pStyle w:val="Listenabsatz"/>
        <w:numPr>
          <w:ilvl w:val="0"/>
          <w:numId w:val="8"/>
        </w:numPr>
      </w:pPr>
      <w:r>
        <w:lastRenderedPageBreak/>
        <w:t>Bessere Produkte: Durch human-zentrierte Evaluation steigern Sie wahrgenommene Nützlichkeit, Vertrauenswürdigkeit und Akzeptanz Ihrer LLM-Anwendungen.</w:t>
      </w:r>
    </w:p>
    <w:p w14:paraId="2911D89D" w14:textId="77777777" w:rsidR="00477287" w:rsidRDefault="00477287" w:rsidP="00477287">
      <w:pPr>
        <w:pStyle w:val="Listenabsatz"/>
        <w:numPr>
          <w:ilvl w:val="0"/>
          <w:numId w:val="8"/>
        </w:numPr>
      </w:pPr>
      <w:r>
        <w:t>Effiziente Priorisierung: Sie investieren in die Benchmarks und Metriken, die wirklich etwas über Ihren Use Case aussagen – statt auf “hohe Scores” zu optimieren, die am Ende keinen Mehrwert liefern.</w:t>
      </w:r>
    </w:p>
    <w:p w14:paraId="2CAFC399" w14:textId="77777777" w:rsidR="00477287" w:rsidRDefault="00477287" w:rsidP="00477287">
      <w:pPr>
        <w:pStyle w:val="Listenabsatz"/>
        <w:numPr>
          <w:ilvl w:val="0"/>
          <w:numId w:val="8"/>
        </w:numPr>
      </w:pPr>
      <w:r>
        <w:t>Risikoreduktion: Bias-Kontrollen, Evidenz-Checks und domänenspezifische Tests senken das Risiko von Halluzinationen, Compliance-Verstößen und Fehlberatung.</w:t>
      </w:r>
    </w:p>
    <w:p w14:paraId="35156D75" w14:textId="6DEF7FC6" w:rsidR="00477287" w:rsidRPr="003834DC" w:rsidRDefault="00477287" w:rsidP="00477287">
      <w:pPr>
        <w:pStyle w:val="Listenabsatz"/>
        <w:numPr>
          <w:ilvl w:val="0"/>
          <w:numId w:val="8"/>
        </w:numPr>
      </w:pPr>
      <w:r>
        <w:t>Planbares Vorgehen: Ein klarer Evaluationsplan mit Human-</w:t>
      </w:r>
      <w:proofErr w:type="spellStart"/>
      <w:r>
        <w:t>Eval</w:t>
      </w:r>
      <w:proofErr w:type="spellEnd"/>
      <w:r>
        <w:t>-Stichproben und kalibrierten automatischen Richtern macht Ihre Ergebnisse belastbar und reproduzierbar.</w:t>
      </w:r>
    </w:p>
    <w:p w14:paraId="22021838" w14:textId="19929AF3" w:rsidR="003834DC" w:rsidRDefault="003834DC"/>
    <w:p w14:paraId="3271E17C" w14:textId="77777777" w:rsidR="003834DC" w:rsidRDefault="003834DC"/>
    <w:sectPr w:rsidR="003834D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ival-sans">
    <w:altName w:val="Cambria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B4809"/>
    <w:multiLevelType w:val="hybridMultilevel"/>
    <w:tmpl w:val="702CCA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040F6E"/>
    <w:multiLevelType w:val="hybridMultilevel"/>
    <w:tmpl w:val="5B2C3C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D31E47"/>
    <w:multiLevelType w:val="hybridMultilevel"/>
    <w:tmpl w:val="82E2B7C6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5F25531"/>
    <w:multiLevelType w:val="multilevel"/>
    <w:tmpl w:val="E8F6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151CE5"/>
    <w:multiLevelType w:val="hybridMultilevel"/>
    <w:tmpl w:val="64DCBE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F93642"/>
    <w:multiLevelType w:val="hybridMultilevel"/>
    <w:tmpl w:val="6590C2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936E6C"/>
    <w:multiLevelType w:val="hybridMultilevel"/>
    <w:tmpl w:val="D20A66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EE5206"/>
    <w:multiLevelType w:val="multilevel"/>
    <w:tmpl w:val="EDEE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35129199">
    <w:abstractNumId w:val="7"/>
  </w:num>
  <w:num w:numId="2" w16cid:durableId="197357719">
    <w:abstractNumId w:val="3"/>
  </w:num>
  <w:num w:numId="3" w16cid:durableId="1990403692">
    <w:abstractNumId w:val="4"/>
  </w:num>
  <w:num w:numId="4" w16cid:durableId="1314142486">
    <w:abstractNumId w:val="5"/>
  </w:num>
  <w:num w:numId="5" w16cid:durableId="1401250170">
    <w:abstractNumId w:val="6"/>
  </w:num>
  <w:num w:numId="6" w16cid:durableId="1428766957">
    <w:abstractNumId w:val="2"/>
  </w:num>
  <w:num w:numId="7" w16cid:durableId="1394038335">
    <w:abstractNumId w:val="0"/>
  </w:num>
  <w:num w:numId="8" w16cid:durableId="918825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4DC"/>
    <w:rsid w:val="00190AD6"/>
    <w:rsid w:val="002164F4"/>
    <w:rsid w:val="00356364"/>
    <w:rsid w:val="003834DC"/>
    <w:rsid w:val="00477287"/>
    <w:rsid w:val="005F44C9"/>
    <w:rsid w:val="00720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4D11BA0"/>
  <w15:chartTrackingRefBased/>
  <w15:docId w15:val="{470EF95E-4A17-424E-BC55-AEC7E8DF8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83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383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834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83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834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83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83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83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83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834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3834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834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834D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834D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834D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834D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834D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834D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83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83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83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83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83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834D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834D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834D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834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834D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834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477287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772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ugeneyan.com/writing/llm-evaluator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606</Words>
  <Characters>3820</Characters>
  <Application>Microsoft Office Word</Application>
  <DocSecurity>0</DocSecurity>
  <Lines>31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Ahlert, Joern</dc:creator>
  <cp:keywords/>
  <dc:description/>
  <cp:lastModifiedBy>Ahlert, Joern</cp:lastModifiedBy>
  <cp:revision>1</cp:revision>
  <dcterms:created xsi:type="dcterms:W3CDTF">2025-10-22T14:02:00Z</dcterms:created>
  <dcterms:modified xsi:type="dcterms:W3CDTF">2025-10-22T15:15:00Z</dcterms:modified>
</cp:coreProperties>
</file>