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14288</wp:posOffset>
            </wp:positionH>
            <wp:positionV relativeFrom="page">
              <wp:posOffset>-23812</wp:posOffset>
            </wp:positionV>
            <wp:extent cx="7543800" cy="10724198"/>
            <wp:effectExtent b="0" l="0" r="0" t="0"/>
            <wp:wrapNone/>
            <wp:docPr id="210289898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7241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Template for Evidence(s)</w:t>
      </w:r>
    </w:p>
    <w:p w:rsidR="00000000" w:rsidDel="00000000" w:rsidP="00000000" w:rsidRDefault="00000000" w:rsidRPr="00000000" w14:paraId="00000021">
      <w:pPr>
        <w:spacing w:after="0" w:line="240" w:lineRule="auto"/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UI GreenMetric Questionnaire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left" w:leader="none" w:pos="1418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1134"/>
          <w:tab w:val="left" w:leader="none" w:pos="1418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University</w:t>
        <w:tab/>
        <w:tab/>
        <w:t xml:space="preserve">:</w:t>
        <w:tab/>
        <w:t xml:space="preserve">Urdaneta City University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left" w:leader="none" w:pos="1418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Country</w:t>
        <w:tab/>
        <w:tab/>
        <w:t xml:space="preserve">:</w:t>
        <w:tab/>
        <w:t xml:space="preserve">Philippines </w:t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left" w:leader="none" w:pos="1418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Web Address</w:t>
        <w:tab/>
        <w:t xml:space="preserve">:</w:t>
        <w:tab/>
      </w:r>
      <w:hyperlink r:id="rId8">
        <w:r w:rsidDel="00000000" w:rsidR="00000000" w:rsidRPr="00000000">
          <w:rPr>
            <w:u w:val="single"/>
            <w:rtl w:val="0"/>
          </w:rPr>
          <w:t xml:space="preserve">https://ucu.edu.ph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left" w:leader="none" w:pos="1418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left" w:leader="none" w:pos="1418"/>
        </w:tabs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[6] Education and Research (ED)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5347335</wp:posOffset>
                </wp:positionH>
                <wp:positionV relativeFrom="paragraph">
                  <wp:posOffset>147955</wp:posOffset>
                </wp:positionV>
                <wp:extent cx="844550" cy="357505"/>
                <wp:effectExtent b="0" l="0" r="0" t="0"/>
                <wp:wrapNone/>
                <wp:docPr id="210289897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936425" y="3614265"/>
                          <a:ext cx="819150" cy="3314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accent3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SAMPLE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5347335</wp:posOffset>
                </wp:positionH>
                <wp:positionV relativeFrom="paragraph">
                  <wp:posOffset>147955</wp:posOffset>
                </wp:positionV>
                <wp:extent cx="844550" cy="357505"/>
                <wp:effectExtent b="0" l="0" r="0" t="0"/>
                <wp:wrapNone/>
                <wp:docPr id="2102898979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4550" cy="3575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rtl w:val="0"/>
        </w:rPr>
        <w:t xml:space="preserve">[6.12]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Number of activities organized by student organizations related to sustainability per year (ED.5)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28"/>
        <w:tblGridChange w:id="0">
          <w:tblGrid>
            <w:gridCol w:w="98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105525" cy="1803400"/>
                  <wp:effectExtent b="0" l="0" r="0" t="0"/>
                  <wp:docPr id="210289898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5525" cy="1803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5543550" cy="1647825"/>
                  <wp:effectExtent b="0" l="0" r="0" t="0"/>
                  <wp:docPr id="210289898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50" cy="1647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3695700" cy="2162175"/>
                  <wp:effectExtent b="0" l="0" r="0" t="0"/>
                  <wp:docPr id="21028989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5700" cy="2162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Urdaneta City University demonstrates a strong and sustained commitment to sustainability through the active engagement of student organizations at both faculty and university levels. These student-led initiatives play a vital role in advancing the university’s mission of fostering environmental stewardship, social responsibility, and community development, and are strongly supported by academic units and student affairs offices.</w:t>
      </w:r>
    </w:p>
    <w:p w:rsidR="00000000" w:rsidDel="00000000" w:rsidP="00000000" w:rsidRDefault="00000000" w:rsidRPr="00000000" w14:paraId="00000035">
      <w:pPr>
        <w:spacing w:after="240" w:before="240" w:lin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Over the past academic year, student organizations have implemented a wide range of sustainability-focused activities, including seminars, webinars, capacity-building training, environmental advocacy campaigns, community outreach programs, and innovative student-led initiatives that promote sustainable lifestyles and responsible citizenship. These activities are integrated into both campus life and community engagement efforts, reflecting a growing culture of sustainability among students.</w:t>
      </w:r>
    </w:p>
    <w:p w:rsidR="00000000" w:rsidDel="00000000" w:rsidP="00000000" w:rsidRDefault="00000000" w:rsidRPr="00000000" w14:paraId="00000036">
      <w:pPr>
        <w:spacing w:after="240" w:before="240" w:lin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Based on consolidated records from the Office of Student Affairs and Services and recognized student organizations, the university records an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average of 150 sustainability-related activities per year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organized by student groups. This substantial number highlights the dynamic and proactive participation of students in driving sustainability efforts across the institution.</w:t>
      </w:r>
    </w:p>
    <w:p w:rsidR="00000000" w:rsidDel="00000000" w:rsidP="00000000" w:rsidRDefault="00000000" w:rsidRPr="00000000" w14:paraId="00000037">
      <w:pPr>
        <w:spacing w:after="240" w:before="240" w:lin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Overall, this sustained level of engagement demonstrates that sustainability is not only an institutional priority but also a deeply embedded value among students, contributing significantly to the university’s efforts in building a more environmentally conscious, socially responsible, and future-ready academic community.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Additional evidence link (i.e., for videos, more images, or other files that are not included in this file):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13" w:type="default"/>
      <w:pgSz w:h="16838" w:w="11906" w:orient="portrait"/>
      <w:pgMar w:bottom="1418" w:top="1701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114300</wp:posOffset>
          </wp:positionH>
          <wp:positionV relativeFrom="paragraph">
            <wp:posOffset>-335914</wp:posOffset>
          </wp:positionV>
          <wp:extent cx="769302" cy="957999"/>
          <wp:effectExtent b="0" l="0" r="0" t="0"/>
          <wp:wrapNone/>
          <wp:docPr id="210289898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9302" cy="95799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5184775</wp:posOffset>
          </wp:positionH>
          <wp:positionV relativeFrom="paragraph">
            <wp:posOffset>-328294</wp:posOffset>
          </wp:positionV>
          <wp:extent cx="1011708" cy="900000"/>
          <wp:effectExtent b="0" l="0" r="0" t="0"/>
          <wp:wrapNone/>
          <wp:docPr id="210289898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11708" cy="9000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d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59"/>
    <w:rsid w:val="0054683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546839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546839"/>
    <w:rPr>
      <w:rFonts w:ascii="Tahoma" w:cs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D75034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75034"/>
  </w:style>
  <w:style w:type="paragraph" w:styleId="Footer">
    <w:name w:val="footer"/>
    <w:basedOn w:val="Normal"/>
    <w:link w:val="FooterChar"/>
    <w:uiPriority w:val="99"/>
    <w:unhideWhenUsed w:val="1"/>
    <w:rsid w:val="00D75034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75034"/>
  </w:style>
  <w:style w:type="paragraph" w:styleId="Default" w:customStyle="1">
    <w:name w:val="Default"/>
    <w:rsid w:val="003C426C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  <w:lang w:val="en-US"/>
    </w:rPr>
  </w:style>
  <w:style w:type="character" w:styleId="fontstyle01" w:customStyle="1">
    <w:name w:val="fontstyle01"/>
    <w:basedOn w:val="DefaultParagraphFont"/>
    <w:rsid w:val="001271F8"/>
    <w:rPr>
      <w:rFonts w:ascii="Calibri" w:cs="Calibri" w:hAnsi="Calibri" w:hint="default"/>
      <w:b w:val="0"/>
      <w:bCs w:val="0"/>
      <w:i w:val="0"/>
      <w:iCs w:val="0"/>
      <w:color w:val="000000"/>
      <w:sz w:val="22"/>
      <w:szCs w:val="22"/>
    </w:rPr>
  </w:style>
  <w:style w:type="character" w:styleId="Hyperlink">
    <w:name w:val="Hyperlink"/>
    <w:basedOn w:val="DefaultParagraphFont"/>
    <w:uiPriority w:val="99"/>
    <w:unhideWhenUsed w:val="1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3" Type="http://schemas.openxmlformats.org/officeDocument/2006/relationships/header" Target="header1.xm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hyperlink" Target="https://ucu.edu.ph/?fbclid=IwZXh0bgNhZW0CMTAAYnJpZBExQ21rV0RKVHVSbXpYQkZXRHNydGMGYXBwX2lkEDIyMjAzOTE3ODgyMDA4OTIAAR7NYKkizSnDJMPQ4lWtUAXI2XG3r_mrOlM71k_73JgfqSDLOpds1ywQwe32Wg_aem__Lds-4NT-JMqRNRMRkjCUQ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xibfejzxlTmvMPBXHeG8BhCDYA==">CgMxLjA4AHIhMVkyWW5UaWxUVzVkSWd6Nmp5VDdCT1Z4OFBaTHhqOE82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2021-05-18T09:06:00Z</dcterms:created>
  <dc:creator>ismail - [2010]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XPowerLiteLastOptimized">
    <vt:lpwstr>226280</vt:lpwstr>
  </property>
  <property fmtid="{D5CDD505-2E9C-101B-9397-08002B2CF9AE}" pid="3" name="NXPowerLiteSettings">
    <vt:lpwstr>C7000400038000</vt:lpwstr>
  </property>
  <property fmtid="{D5CDD505-2E9C-101B-9397-08002B2CF9AE}" pid="4" name="NXPowerLiteVersion">
    <vt:lpwstr>S10.2.0</vt:lpwstr>
  </property>
</Properties>
</file>