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Arial" w:hAnsi="Arial" w:eastAsia="Arial Unicode MS"/>
          <w:b/>
          <w:color w:val="000000"/>
          <w:sz w:val="48"/>
        </w:rPr>
        <w:t>915 与 912 线上回评意图对比报告</w:t>
      </w:r>
    </w:p>
    <w:p>
      <w:pPr>
        <w:spacing w:after="280"/>
        <w:jc w:val="center"/>
      </w:pPr>
      <w:r>
        <w:rPr>
          <w:rFonts w:ascii="Arial" w:hAnsi="Arial" w:eastAsia="Arial Unicode MS"/>
          <w:b w:val="0"/>
          <w:color w:val="666666"/>
          <w:sz w:val="23"/>
        </w:rPr>
        <w:t>意图分布变化  意图满足度变化  整体结论</w:t>
      </w:r>
    </w:p>
    <w:p>
      <w:pPr>
        <w:spacing w:after="200" w:line="312" w:lineRule="auto"/>
      </w:pPr>
      <w:r>
        <w:rPr>
          <w:rFonts w:ascii="Arial" w:hAnsi="Arial" w:eastAsia="Arial Unicode MS"/>
          <w:b/>
          <w:color w:val="000000"/>
          <w:sz w:val="22"/>
        </w:rPr>
        <w:t xml:space="preserve">核心结论  </w:t>
      </w:r>
      <w:r>
        <w:rPr>
          <w:rFonts w:ascii="Arial" w:hAnsi="Arial" w:eastAsia="Arial Unicode MS"/>
          <w:b w:val="0"/>
          <w:color w:val="000000"/>
          <w:sz w:val="22"/>
        </w:rPr>
        <w:t>915 的 Case 级意图满足度从 78.23% 提升到 84.42%，但意图标签加权满足率从 96.16% 降至 93.06%。两次评测没有共同 taskId，且平均每个 Case 的意图标签数从 1.44 降至 1.16。因此，整体通过率上升主要反映样本结构和任务复杂度变化，不能直接判定模型意图能力整体提升。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224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088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任务名称</w:t>
            </w:r>
          </w:p>
        </w:tc>
        <w:tc>
          <w:tcPr>
            <w:tcW w:type="dxa" w:w="1080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Case 数</w:t>
            </w:r>
          </w:p>
        </w:tc>
        <w:tc>
          <w:tcPr>
            <w:tcW w:type="dxa" w:w="1800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评分状态</w:t>
            </w:r>
          </w:p>
        </w:tc>
        <w:tc>
          <w:tcPr>
            <w:tcW w:type="dxa" w:w="1872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评分方案</w:t>
            </w:r>
          </w:p>
        </w:tc>
      </w:tr>
      <w:tr>
        <w:trPr>
          <w:cantSplit/>
        </w:trPr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912 回评</w:t>
            </w:r>
          </w:p>
        </w:tc>
        <w:tc>
          <w:tcPr>
            <w:tcW w:type="dxa" w:w="208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912fix回评</w:t>
            </w:r>
          </w:p>
        </w:tc>
        <w:tc>
          <w:tcPr>
            <w:tcW w:type="dxa" w:w="1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1500</w:t>
            </w:r>
          </w:p>
        </w:tc>
        <w:tc>
          <w:tcPr>
            <w:tcW w:type="dxa" w:w="180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1500 份评分成功</w:t>
            </w:r>
          </w:p>
        </w:tc>
        <w:tc>
          <w:tcPr>
            <w:tcW w:type="dxa" w:w="1872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plan 05b2e444</w:t>
            </w:r>
          </w:p>
        </w:tc>
      </w:tr>
      <w:tr>
        <w:trPr>
          <w:cantSplit/>
        </w:trPr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915 回评</w:t>
            </w:r>
          </w:p>
        </w:tc>
        <w:tc>
          <w:tcPr>
            <w:tcW w:type="dxa" w:w="2088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915 线上回评</w:t>
            </w:r>
          </w:p>
        </w:tc>
        <w:tc>
          <w:tcPr>
            <w:tcW w:type="dxa" w:w="108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1500</w:t>
            </w:r>
          </w:p>
        </w:tc>
        <w:tc>
          <w:tcPr>
            <w:tcW w:type="dxa" w:w="180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1500 份评分成功</w:t>
            </w:r>
          </w:p>
        </w:tc>
        <w:tc>
          <w:tcPr>
            <w:tcW w:type="dxa" w:w="1872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plan 05b2e444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20"/>
      </w:pPr>
      <w:r>
        <w:rPr>
          <w:rFonts w:ascii="Arial" w:hAnsi="Arial" w:eastAsia="Arial Unicode MS"/>
          <w:b/>
          <w:color w:val="000000"/>
          <w:sz w:val="32"/>
        </w:rPr>
        <w:t>整体结论</w:t>
      </w:r>
    </w:p>
    <w:p>
      <w:pPr>
        <w:pStyle w:val="ListBullet"/>
        <w:spacing w:after="80" w:line="283" w:lineRule="auto"/>
        <w:ind w:left="288" w:hanging="259"/>
      </w:pPr>
      <w:r>
        <w:rPr>
          <w:rFonts w:ascii="Arial" w:hAnsi="Arial" w:eastAsia="Arial Unicode MS"/>
          <w:b w:val="0"/>
          <w:color w:val="000000"/>
          <w:sz w:val="21"/>
        </w:rPr>
        <w:t>915 的 Case 级意图满足度提升 6.18 个百分点，失败 Case 减少 85 个，不确定 Case 减少 25 个。</w:t>
      </w:r>
    </w:p>
    <w:p>
      <w:pPr>
        <w:pStyle w:val="ListBullet"/>
        <w:spacing w:after="80" w:line="283" w:lineRule="auto"/>
        <w:ind w:left="288" w:hanging="259"/>
      </w:pPr>
      <w:r>
        <w:rPr>
          <w:rFonts w:ascii="Arial" w:hAnsi="Arial" w:eastAsia="Arial Unicode MS"/>
          <w:b w:val="0"/>
          <w:color w:val="000000"/>
          <w:sz w:val="21"/>
        </w:rPr>
        <w:t>意图标签层面的加权满足率下降 3.10 个百分点。大多数可比意图没有同步提升，平台规则、售后和异常场景降幅较大。</w:t>
      </w:r>
    </w:p>
    <w:p>
      <w:pPr>
        <w:pStyle w:val="ListBullet"/>
        <w:spacing w:after="80" w:line="283" w:lineRule="auto"/>
        <w:ind w:left="288" w:hanging="259"/>
      </w:pPr>
      <w:r>
        <w:rPr>
          <w:rFonts w:ascii="Arial" w:hAnsi="Arial" w:eastAsia="Arial Unicode MS"/>
          <w:b w:val="0"/>
          <w:color w:val="000000"/>
          <w:sz w:val="21"/>
        </w:rPr>
        <w:t>样本结构发生根本变化。价格预期型商品搜索从 883 个降至 19 个；指定类目搜索、商品对比、物流查询、历史订单和无条件推荐明显增加。</w:t>
      </w:r>
    </w:p>
    <w:p>
      <w:pPr>
        <w:pStyle w:val="ListBullet"/>
        <w:spacing w:after="80" w:line="283" w:lineRule="auto"/>
        <w:ind w:left="288" w:hanging="259"/>
      </w:pPr>
      <w:r>
        <w:rPr>
          <w:rFonts w:ascii="Arial" w:hAnsi="Arial" w:eastAsia="Arial Unicode MS"/>
          <w:b w:val="0"/>
          <w:color w:val="000000"/>
          <w:sz w:val="21"/>
        </w:rPr>
        <w:t>两批 Case 的 taskId 完全不重合。当前结果适合用于观察线上流量结构和风险意图，不适合直接作为版本能力回归结论。</w:t>
      </w:r>
    </w:p>
    <w:p>
      <w:pPr>
        <w:pStyle w:val="Heading1"/>
        <w:keepNext/>
        <w:spacing w:before="260" w:after="120"/>
      </w:pPr>
      <w:r>
        <w:rPr>
          <w:rFonts w:ascii="Arial" w:hAnsi="Arial" w:eastAsia="Arial Unicode MS"/>
          <w:b/>
          <w:color w:val="000000"/>
          <w:sz w:val="32"/>
        </w:rPr>
        <w:t>评测口径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3528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584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912</w:t>
            </w:r>
          </w:p>
        </w:tc>
        <w:tc>
          <w:tcPr>
            <w:tcW w:type="dxa" w:w="1584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915</w:t>
            </w:r>
          </w:p>
        </w:tc>
        <w:tc>
          <w:tcPr>
            <w:tcW w:type="dxa" w:w="1584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变化</w:t>
            </w:r>
          </w:p>
        </w:tc>
      </w:tr>
      <w:tr>
        <w:trPr>
          <w:cantSplit/>
        </w:trPr>
        <w:tc>
          <w:tcPr>
            <w:tcW w:type="dxa" w:w="352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Case 数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1500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1500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528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意图标签总量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2164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1744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-420</w:t>
            </w:r>
          </w:p>
        </w:tc>
      </w:tr>
      <w:tr>
        <w:trPr>
          <w:cantSplit/>
        </w:trPr>
        <w:tc>
          <w:tcPr>
            <w:tcW w:type="dxa" w:w="352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平均每 Case 意图数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1.443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1.163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-0.280</w:t>
            </w:r>
          </w:p>
        </w:tc>
      </w:tr>
      <w:tr>
        <w:trPr>
          <w:cantSplit/>
        </w:trPr>
        <w:tc>
          <w:tcPr>
            <w:tcW w:type="dxa" w:w="3528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Case 级意图满足度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78.23%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84.42%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+6.18pp</w:t>
            </w:r>
          </w:p>
        </w:tc>
      </w:tr>
      <w:tr>
        <w:trPr>
          <w:cantSplit/>
        </w:trPr>
        <w:tc>
          <w:tcPr>
            <w:tcW w:type="dxa" w:w="352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意图标签加权满足率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96.16%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93.06%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-3.10pp</w:t>
            </w:r>
          </w:p>
        </w:tc>
      </w:tr>
      <w:tr>
        <w:trPr>
          <w:cantSplit/>
        </w:trPr>
        <w:tc>
          <w:tcPr>
            <w:tcW w:type="dxa" w:w="3528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意图失败 Case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313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228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-85</w:t>
            </w:r>
          </w:p>
        </w:tc>
      </w:tr>
      <w:tr>
        <w:trPr>
          <w:cantSplit/>
        </w:trPr>
        <w:tc>
          <w:tcPr>
            <w:tcW w:type="dxa" w:w="352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意图不确定 Case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37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-25</w:t>
            </w:r>
          </w:p>
        </w:tc>
      </w:tr>
    </w:tbl>
    <w:p>
      <w:pPr>
        <w:spacing w:after="20"/>
      </w:pPr>
    </w:p>
    <w:p>
      <w:pPr>
        <w:spacing w:after="14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Case 级意图满足度按每个 Case 的最终意图门槛统计；意图标签加权满足率按所有意图标签的通过数除以标签总数统计。915 的标签密度降低 19.4%，多意图任务减少，会提高 Case 通过的概率。这解释了为什么 Case 级通过率上升，而同意图的满足率普遍下降。</w:t>
      </w:r>
    </w:p>
    <w:p>
      <w:pPr>
        <w:pStyle w:val="Heading1"/>
        <w:keepNext/>
        <w:spacing w:before="260" w:after="120"/>
      </w:pPr>
      <w:r>
        <w:rPr>
          <w:rFonts w:ascii="Arial" w:hAnsi="Arial" w:eastAsia="Arial Unicode MS"/>
          <w:b/>
          <w:color w:val="000000"/>
          <w:sz w:val="32"/>
        </w:rPr>
        <w:t>意图分布变化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982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n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 Unicode MS"/>
          <w:b w:val="0"/>
          <w:color w:val="666666"/>
          <w:sz w:val="17"/>
        </w:rPr>
        <w:t>图 1  一级意图覆盖率变化  多意图 Case 可重复计数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3240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意图</w:t>
            </w:r>
          </w:p>
        </w:tc>
        <w:tc>
          <w:tcPr>
            <w:tcW w:type="dxa" w:w="1224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912 占比</w:t>
            </w:r>
          </w:p>
        </w:tc>
        <w:tc>
          <w:tcPr>
            <w:tcW w:type="dxa" w:w="1224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915 占比</w:t>
            </w:r>
          </w:p>
        </w:tc>
        <w:tc>
          <w:tcPr>
            <w:tcW w:type="dxa" w:w="1224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变化</w:t>
            </w:r>
          </w:p>
        </w:tc>
        <w:tc>
          <w:tcPr>
            <w:tcW w:type="dxa" w:w="2232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商品搜索  指定价格预期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58.87%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1.27%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-57.60pp</w:t>
            </w:r>
          </w:p>
        </w:tc>
        <w:tc>
          <w:tcPr>
            <w:tcW w:type="dxa" w:w="2232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主导样本基本退出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商品搜索  指定类目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12.07%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39.20%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+27.13pp</w:t>
            </w:r>
          </w:p>
        </w:tc>
        <w:tc>
          <w:tcPr>
            <w:tcW w:type="dxa" w:w="2232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成为最大意图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其他通识咨询和闲聊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16.07%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2.33%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-13.73pp</w:t>
            </w:r>
          </w:p>
        </w:tc>
        <w:tc>
          <w:tcPr>
            <w:tcW w:type="dxa" w:w="2232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显著减少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物流状态查询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4.73%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10.87%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+6.13pp</w:t>
            </w:r>
          </w:p>
        </w:tc>
        <w:tc>
          <w:tcPr>
            <w:tcW w:type="dxa" w:w="2232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交易中场景增加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历史订单查询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1.40%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7.33%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+5.93pp</w:t>
            </w:r>
          </w:p>
        </w:tc>
        <w:tc>
          <w:tcPr>
            <w:tcW w:type="dxa" w:w="2232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交易中场景增加</w:t>
            </w:r>
          </w:p>
        </w:tc>
      </w:tr>
      <w:tr>
        <w:trPr>
          <w:cantSplit/>
        </w:trPr>
        <w:tc>
          <w:tcPr>
            <w:tcW w:type="dxa" w:w="324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商品推荐  无指定条件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2.27%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7.40%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+5.13pp</w:t>
            </w:r>
          </w:p>
        </w:tc>
        <w:tc>
          <w:tcPr>
            <w:tcW w:type="dxa" w:w="2232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开放式推荐增加</w:t>
            </w:r>
          </w:p>
        </w:tc>
      </w:tr>
      <w:tr>
        <w:trPr>
          <w:cantSplit/>
        </w:trPr>
        <w:tc>
          <w:tcPr>
            <w:tcW w:type="dxa" w:w="32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多个商品对比决策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15.67%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19.67%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+4.00pp</w:t>
            </w:r>
          </w:p>
        </w:tc>
        <w:tc>
          <w:tcPr>
            <w:tcW w:type="dxa" w:w="2232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对比决策继续扩张</w:t>
            </w:r>
          </w:p>
        </w:tc>
      </w:tr>
    </w:tbl>
    <w:p>
      <w:pPr>
        <w:spacing w:after="20"/>
      </w:pPr>
    </w:p>
    <w:p>
      <w:pPr>
        <w:spacing w:after="14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915 更偏向指定类目搜索、商品比较、物流与历史订单等明确任务。912 则高度集中于价格预期搜索，并包含更多闲聊。这两个样本集覆盖的用户需求结构不同，整体分数不能直接解释为版本前后能力差异。</w:t>
      </w:r>
    </w:p>
    <w:p>
      <w:pPr>
        <w:pStyle w:val="Heading1"/>
        <w:keepNext/>
        <w:spacing w:before="260" w:after="120"/>
      </w:pPr>
      <w:r>
        <w:rPr>
          <w:rFonts w:ascii="Arial" w:hAnsi="Arial" w:eastAsia="Arial Unicode MS"/>
          <w:b/>
          <w:color w:val="000000"/>
          <w:sz w:val="32"/>
        </w:rPr>
        <w:t>意图满足度变化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296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nt_satisf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9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 Unicode MS"/>
          <w:b w:val="0"/>
          <w:color w:val="666666"/>
          <w:sz w:val="17"/>
        </w:rPr>
        <w:t>图 2  Case 级指标与意图标签指标方向相反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20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912 标签数和满足率</w:t>
            </w:r>
          </w:p>
        </w:tc>
        <w:tc>
          <w:tcPr>
            <w:tcW w:type="dxa" w:w="2520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915 标签数和满足率</w:t>
            </w:r>
          </w:p>
        </w:tc>
        <w:tc>
          <w:tcPr>
            <w:tcW w:type="dxa" w:w="1584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满足率变化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售前决策</w:t>
            </w:r>
          </w:p>
        </w:tc>
        <w:tc>
          <w:tcPr>
            <w:tcW w:type="dxa" w:w="252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1565 / 96.36%</w:t>
            </w:r>
          </w:p>
        </w:tc>
        <w:tc>
          <w:tcPr>
            <w:tcW w:type="dxa" w:w="252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1232 / 95.05%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-1.31pp</w:t>
            </w:r>
          </w:p>
        </w:tc>
      </w:tr>
      <w:tr>
        <w:trPr>
          <w:cantSplit/>
        </w:trPr>
        <w:tc>
          <w:tcPr>
            <w:tcW w:type="dxa" w:w="1728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交易中</w:t>
            </w:r>
          </w:p>
        </w:tc>
        <w:tc>
          <w:tcPr>
            <w:tcW w:type="dxa" w:w="252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173 / 94.80%</w:t>
            </w:r>
          </w:p>
        </w:tc>
        <w:tc>
          <w:tcPr>
            <w:tcW w:type="dxa" w:w="252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307 / 92.51%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-2.29pp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售后</w:t>
            </w:r>
          </w:p>
        </w:tc>
        <w:tc>
          <w:tcPr>
            <w:tcW w:type="dxa" w:w="252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102 / 95.10%</w:t>
            </w:r>
          </w:p>
        </w:tc>
        <w:tc>
          <w:tcPr>
            <w:tcW w:type="dxa" w:w="252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90 / 82.22%</w:t>
            </w:r>
          </w:p>
        </w:tc>
        <w:tc>
          <w:tcPr>
            <w:tcW w:type="dxa" w:w="158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-12.88pp</w:t>
            </w:r>
          </w:p>
        </w:tc>
      </w:tr>
      <w:tr>
        <w:trPr>
          <w:cantSplit/>
        </w:trPr>
        <w:tc>
          <w:tcPr>
            <w:tcW w:type="dxa" w:w="1728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其他</w:t>
            </w:r>
          </w:p>
        </w:tc>
        <w:tc>
          <w:tcPr>
            <w:tcW w:type="dxa" w:w="252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324 / 96.30%</w:t>
            </w:r>
          </w:p>
        </w:tc>
        <w:tc>
          <w:tcPr>
            <w:tcW w:type="dxa" w:w="252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115 / 81.74%</w:t>
            </w:r>
          </w:p>
        </w:tc>
        <w:tc>
          <w:tcPr>
            <w:tcW w:type="dxa" w:w="158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-14.56pp</w:t>
            </w:r>
          </w:p>
        </w:tc>
      </w:tr>
    </w:tbl>
    <w:p>
      <w:pPr>
        <w:spacing w:after="20"/>
      </w:pPr>
    </w:p>
    <w:p>
      <w:pPr>
        <w:spacing w:after="14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售前决策和交易中场景小幅下降；售后下降 12.88 个百分点，其他场景下降 14.56 个百分点。整体意图标签满足率下降的主要风险集中在售后、平台规则和闲聊等非标准商品搜索场景。</w:t>
      </w:r>
    </w:p>
    <w:p>
      <w:pPr>
        <w:pStyle w:val="Heading1"/>
        <w:keepNext/>
        <w:spacing w:before="260" w:after="120"/>
      </w:pPr>
      <w:r>
        <w:rPr>
          <w:rFonts w:ascii="Arial" w:hAnsi="Arial" w:eastAsia="Arial Unicode MS"/>
          <w:b/>
          <w:color w:val="000000"/>
          <w:sz w:val="32"/>
        </w:rPr>
        <w:t>需要优先处理的意图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3888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意图</w:t>
            </w:r>
          </w:p>
        </w:tc>
        <w:tc>
          <w:tcPr>
            <w:tcW w:type="dxa" w:w="93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915 样本</w:t>
            </w:r>
          </w:p>
        </w:tc>
        <w:tc>
          <w:tcPr>
            <w:tcW w:type="dxa" w:w="129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912 满足率</w:t>
            </w:r>
          </w:p>
        </w:tc>
        <w:tc>
          <w:tcPr>
            <w:tcW w:type="dxa" w:w="129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915 满足率</w:t>
            </w:r>
          </w:p>
        </w:tc>
        <w:tc>
          <w:tcPr>
            <w:tcW w:type="dxa" w:w="1080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变化</w:t>
            </w:r>
          </w:p>
        </w:tc>
        <w:tc>
          <w:tcPr>
            <w:tcW w:type="dxa" w:w="93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915 失败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商品搜索-指定类目</w:t>
            </w:r>
          </w:p>
        </w:tc>
        <w:tc>
          <w:tcPr>
            <w:tcW w:type="dxa" w:w="9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588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97.79%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95.24%</w:t>
            </w:r>
          </w:p>
        </w:tc>
        <w:tc>
          <w:tcPr>
            <w:tcW w:type="dxa" w:w="1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-2.55pp</w:t>
            </w:r>
          </w:p>
        </w:tc>
        <w:tc>
          <w:tcPr>
            <w:tcW w:type="dxa" w:w="9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3888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平台功能&amp;机制&amp;政策咨询</w:t>
            </w:r>
          </w:p>
        </w:tc>
        <w:tc>
          <w:tcPr>
            <w:tcW w:type="dxa" w:w="9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80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97.59%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80.00%</w:t>
            </w:r>
          </w:p>
        </w:tc>
        <w:tc>
          <w:tcPr>
            <w:tcW w:type="dxa" w:w="108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-17.59pp</w:t>
            </w:r>
          </w:p>
        </w:tc>
        <w:tc>
          <w:tcPr>
            <w:tcW w:type="dxa" w:w="9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商品推荐-无任何指定条件</w:t>
            </w:r>
          </w:p>
        </w:tc>
        <w:tc>
          <w:tcPr>
            <w:tcW w:type="dxa" w:w="9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111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92.79%</w:t>
            </w:r>
          </w:p>
        </w:tc>
        <w:tc>
          <w:tcPr>
            <w:tcW w:type="dxa" w:w="1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-7.21pp</w:t>
            </w:r>
          </w:p>
        </w:tc>
        <w:tc>
          <w:tcPr>
            <w:tcW w:type="dxa" w:w="9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3888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售后问题-售后问题反馈</w:t>
            </w:r>
          </w:p>
        </w:tc>
        <w:tc>
          <w:tcPr>
            <w:tcW w:type="dxa" w:w="9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32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93.55%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71.88%</w:t>
            </w:r>
          </w:p>
        </w:tc>
        <w:tc>
          <w:tcPr>
            <w:tcW w:type="dxa" w:w="108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-21.67pp</w:t>
            </w:r>
          </w:p>
        </w:tc>
        <w:tc>
          <w:tcPr>
            <w:tcW w:type="dxa" w:w="9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商品决策信息获取-单个商品咨询-使用对象/使用场景/使用效果咨询</w:t>
            </w:r>
          </w:p>
        </w:tc>
        <w:tc>
          <w:tcPr>
            <w:tcW w:type="dxa" w:w="9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34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96.15%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82.35%</w:t>
            </w:r>
          </w:p>
        </w:tc>
        <w:tc>
          <w:tcPr>
            <w:tcW w:type="dxa" w:w="1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-13.80pp</w:t>
            </w:r>
          </w:p>
        </w:tc>
        <w:tc>
          <w:tcPr>
            <w:tcW w:type="dxa" w:w="9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888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售后问题-退货/退款/换货申请</w:t>
            </w:r>
          </w:p>
        </w:tc>
        <w:tc>
          <w:tcPr>
            <w:tcW w:type="dxa" w:w="9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44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94.23%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86.36%</w:t>
            </w:r>
          </w:p>
        </w:tc>
        <w:tc>
          <w:tcPr>
            <w:tcW w:type="dxa" w:w="108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-7.87pp</w:t>
            </w:r>
          </w:p>
        </w:tc>
        <w:tc>
          <w:tcPr>
            <w:tcW w:type="dxa" w:w="9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88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物流配送咨询-物流异常问题反馈</w:t>
            </w:r>
          </w:p>
        </w:tc>
        <w:tc>
          <w:tcPr>
            <w:tcW w:type="dxa" w:w="9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93.10%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80.00%</w:t>
            </w:r>
          </w:p>
        </w:tc>
        <w:tc>
          <w:tcPr>
            <w:tcW w:type="dxa" w:w="1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-13.10pp</w:t>
            </w:r>
          </w:p>
        </w:tc>
        <w:tc>
          <w:tcPr>
            <w:tcW w:type="dxa" w:w="9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3</w:t>
            </w:r>
          </w:p>
        </w:tc>
      </w:tr>
    </w:tbl>
    <w:p>
      <w:pPr>
        <w:spacing w:after="20"/>
      </w:pPr>
    </w:p>
    <w:p>
      <w:pPr>
        <w:spacing w:after="14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指定类目搜索的降幅只有 2.55 个百分点，但 915 中有 588 个样本并产生 28 个失败，是当前失败量最大的高频意图，应优先处理。</w:t>
      </w:r>
    </w:p>
    <w:p>
      <w:pPr>
        <w:spacing w:after="14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平台功能和政策咨询、售后问题反馈、单个商品使用场景咨询的降幅较大，且样本量足以表明风险，需要分别下钻失败 Case。</w:t>
      </w:r>
    </w:p>
    <w:p>
      <w:pPr>
        <w:pStyle w:val="Heading1"/>
        <w:keepNext/>
        <w:spacing w:before="260" w:after="120"/>
      </w:pPr>
      <w:r>
        <w:rPr>
          <w:rFonts w:ascii="Arial" w:hAnsi="Arial" w:eastAsia="Arial Unicode MS"/>
          <w:b/>
          <w:color w:val="000000"/>
          <w:sz w:val="32"/>
        </w:rPr>
        <w:t>相对稳定或改善的意图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4104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意图</w:t>
            </w:r>
          </w:p>
        </w:tc>
        <w:tc>
          <w:tcPr>
            <w:tcW w:type="dxa" w:w="1080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915 样本</w:t>
            </w:r>
          </w:p>
        </w:tc>
        <w:tc>
          <w:tcPr>
            <w:tcW w:type="dxa" w:w="1440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912 满足率</w:t>
            </w:r>
          </w:p>
        </w:tc>
        <w:tc>
          <w:tcPr>
            <w:tcW w:type="dxa" w:w="1440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915 满足率</w:t>
            </w:r>
          </w:p>
        </w:tc>
        <w:tc>
          <w:tcPr>
            <w:tcW w:type="dxa" w:w="1224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变化</w:t>
            </w:r>
          </w:p>
        </w:tc>
      </w:tr>
      <w:tr>
        <w:trPr>
          <w:cantSplit/>
        </w:trPr>
        <w:tc>
          <w:tcPr>
            <w:tcW w:type="dxa" w:w="410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商品决策信息获取-多个商品对比决策</w:t>
            </w:r>
          </w:p>
        </w:tc>
        <w:tc>
          <w:tcPr>
            <w:tcW w:type="dxa" w:w="1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295</w:t>
            </w:r>
          </w:p>
        </w:tc>
        <w:tc>
          <w:tcPr>
            <w:tcW w:type="dxa" w:w="14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96.17%</w:t>
            </w:r>
          </w:p>
        </w:tc>
        <w:tc>
          <w:tcPr>
            <w:tcW w:type="dxa" w:w="14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96.61%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+0.44pp</w:t>
            </w:r>
          </w:p>
        </w:tc>
      </w:tr>
      <w:tr>
        <w:trPr>
          <w:cantSplit/>
        </w:trPr>
        <w:tc>
          <w:tcPr>
            <w:tcW w:type="dxa" w:w="410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历史订单查询</w:t>
            </w:r>
          </w:p>
        </w:tc>
        <w:tc>
          <w:tcPr>
            <w:tcW w:type="dxa" w:w="108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110</w:t>
            </w:r>
          </w:p>
        </w:tc>
        <w:tc>
          <w:tcPr>
            <w:tcW w:type="dxa" w:w="144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90.48%</w:t>
            </w:r>
          </w:p>
        </w:tc>
        <w:tc>
          <w:tcPr>
            <w:tcW w:type="dxa" w:w="144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93.64%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+3.16pp</w:t>
            </w:r>
          </w:p>
        </w:tc>
      </w:tr>
      <w:tr>
        <w:trPr>
          <w:cantSplit/>
        </w:trPr>
        <w:tc>
          <w:tcPr>
            <w:tcW w:type="dxa" w:w="410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商品搜索-指定店铺范围明确</w:t>
            </w:r>
          </w:p>
        </w:tc>
        <w:tc>
          <w:tcPr>
            <w:tcW w:type="dxa" w:w="108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4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1440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1224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+0.00pp</w:t>
            </w:r>
          </w:p>
        </w:tc>
      </w:tr>
      <w:tr>
        <w:trPr>
          <w:cantSplit/>
        </w:trPr>
        <w:tc>
          <w:tcPr>
            <w:tcW w:type="dxa" w:w="410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平台交易信息咨询-找券</w:t>
            </w:r>
          </w:p>
        </w:tc>
        <w:tc>
          <w:tcPr>
            <w:tcW w:type="dxa" w:w="108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4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144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100.00%</w:t>
            </w:r>
          </w:p>
        </w:tc>
        <w:tc>
          <w:tcPr>
            <w:tcW w:type="dxa" w:w="1224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+0.00pp</w:t>
            </w:r>
          </w:p>
        </w:tc>
      </w:tr>
    </w:tbl>
    <w:p>
      <w:pPr>
        <w:spacing w:after="20"/>
      </w:pPr>
    </w:p>
    <w:p>
      <w:pPr>
        <w:spacing w:after="14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历史订单查询在样本从 21 个增加到 110 个的同时，满足率提升 3.16 个百分点，是本次最可信的改善。多个商品对比保持稳定并略有提升。指定店铺范围和找券维持 100%，但样本量较小。</w:t>
      </w:r>
    </w:p>
    <w:p>
      <w:pPr>
        <w:pStyle w:val="Heading1"/>
        <w:keepNext/>
        <w:spacing w:before="260" w:after="120"/>
      </w:pPr>
      <w:r>
        <w:rPr>
          <w:rFonts w:ascii="Arial" w:hAnsi="Arial" w:eastAsia="Arial Unicode MS"/>
          <w:b/>
          <w:color w:val="000000"/>
          <w:sz w:val="32"/>
        </w:rPr>
        <w:t>建议</w:t>
      </w:r>
    </w:p>
    <w:p>
      <w:pPr>
        <w:pStyle w:val="ListBullet"/>
        <w:spacing w:after="80" w:line="283" w:lineRule="auto"/>
        <w:ind w:left="288" w:hanging="259"/>
      </w:pPr>
      <w:r>
        <w:rPr>
          <w:rFonts w:ascii="Arial" w:hAnsi="Arial" w:eastAsia="Arial Unicode MS"/>
          <w:b w:val="0"/>
          <w:color w:val="000000"/>
          <w:sz w:val="21"/>
        </w:rPr>
        <w:t>把平台功能和政策咨询、售后问题反馈、指定类目搜索作为第一批 Case 下钻对象，分别拆解意图识别、工具路由和最终答复问题。</w:t>
      </w:r>
    </w:p>
    <w:p>
      <w:pPr>
        <w:pStyle w:val="ListBullet"/>
        <w:spacing w:after="80" w:line="283" w:lineRule="auto"/>
        <w:ind w:left="288" w:hanging="259"/>
      </w:pPr>
      <w:r>
        <w:rPr>
          <w:rFonts w:ascii="Arial" w:hAnsi="Arial" w:eastAsia="Arial Unicode MS"/>
          <w:b w:val="0"/>
          <w:color w:val="000000"/>
          <w:sz w:val="21"/>
        </w:rPr>
        <w:t>对 915 的 228 个意图失败 Case 按高频意图排序，优先处理指定类目搜索的 28 个失败、平台政策的 16 个失败和售后问题反馈的 9 个失败。</w:t>
      </w:r>
    </w:p>
    <w:p>
      <w:pPr>
        <w:pStyle w:val="ListBullet"/>
        <w:spacing w:after="80" w:line="283" w:lineRule="auto"/>
        <w:ind w:left="288" w:hanging="259"/>
      </w:pPr>
      <w:r>
        <w:rPr>
          <w:rFonts w:ascii="Arial" w:hAnsi="Arial" w:eastAsia="Arial Unicode MS"/>
          <w:b w:val="0"/>
          <w:color w:val="000000"/>
          <w:sz w:val="21"/>
        </w:rPr>
        <w:t>建立固定回归集，保持 taskId、意图标签和评分方案一致。线上流量回评用于观察分布，固定回归集用于判断版本能力。</w:t>
      </w:r>
    </w:p>
    <w:p>
      <w:pPr>
        <w:pStyle w:val="ListBullet"/>
        <w:spacing w:after="80" w:line="283" w:lineRule="auto"/>
        <w:ind w:left="288" w:hanging="259"/>
      </w:pPr>
      <w:r>
        <w:rPr>
          <w:rFonts w:ascii="Arial" w:hAnsi="Arial" w:eastAsia="Arial Unicode MS"/>
          <w:b w:val="0"/>
          <w:color w:val="000000"/>
          <w:sz w:val="21"/>
        </w:rPr>
        <w:t>后续汇报同时保留 Case 级通过率和意图标签加权满足率，避免多意图密度变化掩盖单意图质量下降。</w:t>
      </w:r>
    </w:p>
    <w:p>
      <w:pPr>
        <w:sectPr>
          <w:footerReference w:type="default" r:id="rId9"/>
          <w:pgSz w:w="12240" w:h="15840"/>
          <w:pgMar w:top="979" w:right="1080" w:bottom="979" w:left="108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60" w:after="120"/>
      </w:pPr>
      <w:r>
        <w:rPr>
          <w:rFonts w:ascii="Arial" w:hAnsi="Arial" w:eastAsia="Arial Unicode MS"/>
          <w:b/>
          <w:color w:val="000000"/>
          <w:sz w:val="32"/>
        </w:rPr>
        <w:t>附录  全部意图分布与满足度</w:t>
      </w:r>
    </w:p>
    <w:p>
      <w:pPr>
        <w:spacing w:after="14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分布占比均以 1500 个 Case 为分母。一个 Case 可包含多个意图，因此各意图占比之和可能超过 100%。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453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意图</w:t>
            </w:r>
          </w:p>
        </w:tc>
        <w:tc>
          <w:tcPr>
            <w:tcW w:type="dxa" w:w="1655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912 数量和占比</w:t>
            </w:r>
          </w:p>
        </w:tc>
        <w:tc>
          <w:tcPr>
            <w:tcW w:type="dxa" w:w="1655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915 数量和占比</w:t>
            </w:r>
          </w:p>
        </w:tc>
        <w:tc>
          <w:tcPr>
            <w:tcW w:type="dxa" w:w="129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分布变化</w:t>
            </w:r>
          </w:p>
        </w:tc>
        <w:tc>
          <w:tcPr>
            <w:tcW w:type="dxa" w:w="129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912 满足率</w:t>
            </w:r>
          </w:p>
        </w:tc>
        <w:tc>
          <w:tcPr>
            <w:tcW w:type="dxa" w:w="129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915 满足率</w:t>
            </w:r>
          </w:p>
        </w:tc>
        <w:tc>
          <w:tcPr>
            <w:tcW w:type="dxa" w:w="129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满足率变化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商品搜索-指定类目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181 / 12.07%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588 / 39.20%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+27.13pp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97.79%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95.24%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-2.55pp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商品决策信息获取-多个商品对比决策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235 / 15.67%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295 / 19.67%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+4.00pp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96.17%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96.61%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+0.44pp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物流配送咨询-物流状态查询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71 / 4.73%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163 / 10.87%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+6.13pp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94.37%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93.87%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-0.50pp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商品推荐-无任何指定条件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34 / 2.27%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111 / 7.40%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+5.13pp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92.79%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-7.21pp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历史订单查询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21 / 1.40%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110 / 7.33%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+5.93pp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90.48%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93.64%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+3.16pp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平台功能&amp;机制&amp;政策咨询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83 / 5.53%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80 / 5.33%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-0.20pp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97.59%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-17.59pp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商品搜索-指定商品使用对象/使用场景/使用效果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16 / 1.07%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59 / 3.93%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+2.87pp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96.61%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-3.39pp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售后问题-退货/退款/换货申请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52 / 3.47%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44 / 2.93%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-0.53pp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94.23%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86.36%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-7.87pp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商品决策信息获取-单个商品咨询-整体评价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15 / 1.00%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38 / 2.53%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+1.53pp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97.37%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-2.63pp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其他通识咨询&amp;闲聊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241 / 16.07%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35 / 2.33%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-13.73pp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95.85%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85.71%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-10.14pp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商品决策信息获取-单个商品咨询-商品客观属性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33 / 2.20%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34 / 2.27%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+0.07pp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97.06%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-2.94pp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商品决策信息获取-单个商品咨询-使用对象/使用场景/使用效果咨询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26 / 1.73%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34 / 2.27%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+0.53pp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96.15%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82.35%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-13.80pp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商品搜索-指定商品客观属性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32 / 2.13%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33 / 2.20%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+0.07pp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96.88%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90.91%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-5.97pp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售后问题-售后问题反馈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31 / 2.07%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32 / 2.13%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+0.07pp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93.55%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71.88%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-21.67pp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商品搜索-指定价格预期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883 / 58.87%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19 / 1.27%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-57.60pp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95.36%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89.47%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-5.88pp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商品搜索-指定店铺范围明确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92 / 6.13%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15 / 1.00%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-5.13pp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物流配送咨询-物流异常问题反馈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29 / 1.93%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15 / 1.00%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-0.93pp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93.10%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-13.10pp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售后问题-售后流程/进度/结果异常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19 / 1.27%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14 / 0.93%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-0.33pp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92.86%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-7.14pp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订单信息更改-物流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6 / 0.40%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 / 0.53%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+0.13pp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87.50%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-12.50pp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异常订单问题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20 / 1.33%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6 / 0.40%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-0.93pp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66.67%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-33.33pp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平台交易信息咨询-找券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6 / 0.40%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4 / 0.27%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-0.13pp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订单操作-订单取消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14 / 0.93%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 / 0.20%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-0.73pp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订单信息更改-规格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 / 0.13%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 / 0.13%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+0.00pp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商品搜索-指定同款/相似款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11 / 0.73%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 / 0.07%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-0.67pp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90.91%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+9.09pp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平台交易信息咨询-用券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 / 0.07%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 / 0.07%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+0.00pp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+0.00pp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453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意图</w:t>
            </w:r>
          </w:p>
        </w:tc>
        <w:tc>
          <w:tcPr>
            <w:tcW w:type="dxa" w:w="1655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912 数量和占比</w:t>
            </w:r>
          </w:p>
        </w:tc>
        <w:tc>
          <w:tcPr>
            <w:tcW w:type="dxa" w:w="1655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915 数量和占比</w:t>
            </w:r>
          </w:p>
        </w:tc>
        <w:tc>
          <w:tcPr>
            <w:tcW w:type="dxa" w:w="129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分布变化</w:t>
            </w:r>
          </w:p>
        </w:tc>
        <w:tc>
          <w:tcPr>
            <w:tcW w:type="dxa" w:w="129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912 满足率</w:t>
            </w:r>
          </w:p>
        </w:tc>
        <w:tc>
          <w:tcPr>
            <w:tcW w:type="dxa" w:w="129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915 满足率</w:t>
            </w:r>
          </w:p>
        </w:tc>
        <w:tc>
          <w:tcPr>
            <w:tcW w:type="dxa" w:w="1296"/>
            <w:shd w:fill="1F4E78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满足率变化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订单操作-确认收货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5 / 0.33%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 / 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-0.33pp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80.00%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453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订单操作-订单删除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 / 0.20%</w:t>
            </w:r>
          </w:p>
        </w:tc>
        <w:tc>
          <w:tcPr>
            <w:tcW w:type="dxa" w:w="1655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 / 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-0.20pp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296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订单信息更改-备注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 / 0.13%</w:t>
            </w:r>
          </w:p>
        </w:tc>
        <w:tc>
          <w:tcPr>
            <w:tcW w:type="dxa" w:w="1655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 / 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-0.13pp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100.00%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1296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20"/>
      </w:pPr>
      <w:r>
        <w:rPr>
          <w:rFonts w:ascii="Arial" w:hAnsi="Arial" w:eastAsia="Arial Unicode MS"/>
          <w:b/>
          <w:color w:val="000000"/>
          <w:sz w:val="32"/>
        </w:rPr>
        <w:t>数据来源</w:t>
      </w:r>
    </w:p>
    <w:p>
      <w:pPr>
        <w:spacing w:after="14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912 回评  https://langbridge-eval.test.gifshow.com/evals/report/run_927793432436428807?source=business</w:t>
      </w:r>
    </w:p>
    <w:p>
      <w:pPr>
        <w:spacing w:after="14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915 回评  https://langbridge-eval.test.gifshow.com/evals/report/run_929533206641774619?source=business</w:t>
      </w:r>
    </w:p>
    <w:p>
      <w:pPr>
        <w:spacing w:after="14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两次评测均使用相同评分方案 plan 05b2e444，评分成功率为 100%。两批任务没有共同 taskId。</w:t>
      </w:r>
    </w:p>
    <w:sectPr w:rsidR="00FC693F" w:rsidRPr="0006063C" w:rsidSect="00034616">
      <w:footerReference w:type="default" r:id="rId12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 w:eastAsia="Arial Unicode MS"/>
        <w:b w:val="0"/>
        <w:color w:val="666666"/>
        <w:sz w:val="17"/>
      </w:rPr>
      <w:t>LangBridge 915 与 912 线上回评意图对比</w:t>
    </w:r>
    <w:r>
      <w:rPr>
        <w:rFonts w:ascii="Arial" w:hAnsi="Arial" w:eastAsia="Arial Unicode MS"/>
        <w:b w:val="0"/>
        <w:color w:val="666666"/>
        <w:sz w:val="17"/>
      </w:rPr>
      <w:t xml:space="preserve">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 w:eastAsia="Arial Unicode MS"/>
        <w:b w:val="0"/>
        <w:color w:val="666666"/>
        <w:sz w:val="17"/>
      </w:rPr>
      <w:t>LangBridge 915 与 912 线上回评意图对比</w:t>
    </w:r>
    <w:r>
      <w:rPr>
        <w:rFonts w:ascii="Arial" w:hAnsi="Arial" w:eastAsia="Arial Unicode MS"/>
        <w:b w:val="0"/>
        <w:color w:val="666666"/>
        <w:sz w:val="17"/>
      </w:rPr>
      <w:t xml:space="preserve">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