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/>
        </w:rPr>
        <w:t>Iterative LNP Formulation Design</w:t>
      </w:r>
    </w:p>
    <w:p>
      <w:pPr>
        <w:pStyle w:val="Heading1"/>
      </w:pPr>
      <w:r>
        <w:rPr>
          <w:rFonts w:ascii="Times New Roman" w:hAnsi="Times New Roman"/>
        </w:rPr>
        <w:t>Purpose</w:t>
      </w:r>
    </w:p>
    <w:p>
      <w:r>
        <w:rPr>
          <w:rFonts w:ascii="Times New Roman" w:hAnsi="Times New Roman"/>
        </w:rPr>
        <w:t xml:space="preserve">This document describes </w:t>
      </w:r>
      <w:r>
        <w:rPr>
          <w:rFonts w:ascii="Times New Roman" w:hAnsi="Times New Roman"/>
          <w:b/>
        </w:rPr>
        <w:t>how formulations were selected across R1–R4</w:t>
      </w:r>
      <w:r>
        <w:rPr>
          <w:rFonts w:ascii="Times New Roman" w:hAnsi="Times New Roman"/>
        </w:rPr>
        <w:t xml:space="preserve"> in the small-sample iterative LNP optimization study.</w:t>
      </w:r>
    </w:p>
    <w:p>
      <w:r>
        <w:rPr>
          <w:rFonts w:ascii="Times New Roman" w:hAnsi="Times New Roman"/>
        </w:rPr>
        <w:t xml:space="preserve">The focus of this file is the </w:t>
      </w:r>
      <w:r>
        <w:rPr>
          <w:rFonts w:ascii="Times New Roman" w:hAnsi="Times New Roman"/>
          <w:b/>
        </w:rPr>
        <w:t>experimental-design logic</w:t>
      </w:r>
      <w:r>
        <w:rPr>
          <w:rFonts w:ascii="Times New Roman" w:hAnsi="Times New Roman"/>
        </w:rPr>
        <w:t>:</w:t>
      </w:r>
    </w:p>
    <w:p>
      <w:pPr>
        <w:pStyle w:val="ListBullet"/>
        <w:spacing w:after="30"/>
        <w:ind w:left="360" w:hanging="216"/>
      </w:pPr>
      <w:r>
        <w:rPr>
          <w:rFonts w:ascii="Times New Roman" w:hAnsi="Times New Roman"/>
        </w:rPr>
        <w:t>how the initial formulation space was explored;</w:t>
      </w:r>
    </w:p>
    <w:p>
      <w:pPr>
        <w:pStyle w:val="ListBullet"/>
        <w:spacing w:after="30"/>
        <w:ind w:left="360" w:hanging="216"/>
      </w:pPr>
      <w:r>
        <w:rPr>
          <w:rFonts w:ascii="Times New Roman" w:hAnsi="Times New Roman"/>
        </w:rPr>
        <w:t>how experimental feedback was used to refine later rounds;</w:t>
      </w:r>
    </w:p>
    <w:p>
      <w:pPr>
        <w:pStyle w:val="ListBullet"/>
        <w:spacing w:after="30"/>
        <w:ind w:left="360" w:hanging="216"/>
      </w:pPr>
      <w:r>
        <w:rPr>
          <w:rFonts w:ascii="Times New Roman" w:hAnsi="Times New Roman"/>
        </w:rPr>
        <w:t>how high-response regions were studied in greater detail without abandoning broader exploration;</w:t>
      </w:r>
    </w:p>
    <w:p>
      <w:pPr>
        <w:pStyle w:val="ListBullet"/>
        <w:spacing w:after="30"/>
        <w:ind w:left="360" w:hanging="216"/>
      </w:pPr>
      <w:r>
        <w:rPr>
          <w:rFonts w:ascii="Times New Roman" w:hAnsi="Times New Roman"/>
        </w:rPr>
        <w:t>how R4 combined exploitation, exploration, and calibration/validation;</w:t>
      </w:r>
    </w:p>
    <w:p>
      <w:pPr>
        <w:pStyle w:val="ListBullet"/>
        <w:spacing w:after="30"/>
        <w:ind w:left="360" w:hanging="216"/>
      </w:pPr>
      <w:r>
        <w:rPr>
          <w:rFonts w:ascii="Times New Roman" w:hAnsi="Times New Roman"/>
        </w:rPr>
        <w:t>how the completed R1–R4 dataset was separated from the planned prospective validation stage.</w:t>
      </w:r>
    </w:p>
    <w:p>
      <w:r>
        <w:rPr>
          <w:rFonts w:ascii="Times New Roman" w:hAnsi="Times New Roman"/>
        </w:rPr>
        <w:t>Detailed model training, feature engineering, grouped nested cross-validation, Morgan fingerprints, mRMR feature selection, and model benchmarking are documented separately in the publication modeling README.</w:t>
      </w:r>
    </w:p>
    <w:p>
      <w:pPr>
        <w:spacing w:before="40" w:after="80"/>
        <w:pBdr>
          <w:bottom w:val="single" w:sz="4" w:space="1" w:color="B7B7B7"/>
        </w:pBdr>
      </w:pPr>
    </w:p>
    <w:p>
      <w:pPr>
        <w:pStyle w:val="Heading1"/>
      </w:pPr>
      <w:r>
        <w:rPr>
          <w:rFonts w:ascii="Times New Roman" w:hAnsi="Times New Roman"/>
        </w:rPr>
        <w:t>1. Study Design Overview</w:t>
      </w:r>
    </w:p>
    <w:p>
      <w:r>
        <w:rPr>
          <w:rFonts w:ascii="Times New Roman" w:hAnsi="Times New Roman"/>
        </w:rPr>
        <w:t xml:space="preserve">The primary optimization task was </w:t>
      </w:r>
      <w:r>
        <w:rPr>
          <w:rFonts w:ascii="Times New Roman" w:hAnsi="Times New Roman"/>
          <w:b/>
        </w:rPr>
        <w:t>mRNA-LNP transfection in DC2.4 dendritic cells</w:t>
      </w:r>
      <w:r>
        <w:rPr>
          <w:rFonts w:ascii="Times New Roman" w:hAnsi="Times New Roman"/>
        </w:rPr>
        <w:t>.</w:t>
      </w:r>
    </w:p>
    <w:p>
      <w:r>
        <w:rPr>
          <w:rFonts w:ascii="Times New Roman" w:hAnsi="Times New Roman"/>
        </w:rPr>
        <w:t>The overall workflow followed one continuous iterative cycle:</w:t>
      </w:r>
    </w:p>
    <w:p>
      <w:r>
        <w:rPr>
          <w:rFonts w:ascii="Times New Roman" w:hAnsi="Times New Roman"/>
          <w:b/>
        </w:rPr>
        <w:t>formulation design → DC2.4 transfection testing → model updating → candidate selection → next-round design</w:t>
      </w:r>
    </w:p>
    <w:p>
      <w:r>
        <w:rPr>
          <w:rFonts w:ascii="Times New Roman" w:hAnsi="Times New Roman"/>
        </w:rPr>
        <w:t>R1 was used mainly for broad exploration of the formulation space. In subsequent rounds, experimental results and interim model predictions were used to increase sampling density in promising regions while retaining a degree of broader exploration.</w:t>
      </w:r>
    </w:p>
    <w:p>
      <w:r>
        <w:rPr>
          <w:rFonts w:ascii="Times New Roman" w:hAnsi="Times New Roman"/>
        </w:rPr>
        <w:t>The goal was not simply to increase sample number, but to make each new round more informative for the target task.</w:t>
      </w:r>
    </w:p>
    <w:p>
      <w:pPr>
        <w:pStyle w:val="Heading2"/>
      </w:pPr>
      <w:r>
        <w:rPr>
          <w:rFonts w:ascii="Times New Roman" w:hAnsi="Times New Roman"/>
        </w:rPr>
        <w:t>Primary readout</w:t>
      </w:r>
    </w:p>
    <w:p>
      <w:pPr>
        <w:pStyle w:val="ListBullet"/>
        <w:spacing w:after="30"/>
        <w:ind w:left="360" w:hanging="216"/>
      </w:pPr>
      <w:r>
        <w:rPr>
          <w:rFonts w:ascii="Times New Roman" w:hAnsi="Times New Roman"/>
        </w:rPr>
        <w:t>DC2.4 transfection efficiency</w:t>
      </w:r>
    </w:p>
    <w:p>
      <w:pPr>
        <w:pStyle w:val="ListBullet"/>
        <w:spacing w:after="30"/>
        <w:ind w:left="360" w:hanging="216"/>
      </w:pPr>
      <w:r>
        <w:rPr>
          <w:rFonts w:ascii="Times New Roman" w:hAnsi="Times New Roman"/>
        </w:rPr>
        <w:t>normalized across experimental plates before cross-round modeling</w:t>
      </w:r>
    </w:p>
    <w:p>
      <w:pPr>
        <w:pStyle w:val="Heading2"/>
      </w:pPr>
      <w:r>
        <w:rPr>
          <w:rFonts w:ascii="Times New Roman" w:hAnsi="Times New Roman"/>
        </w:rPr>
        <w:t>Secondary biological-context readout</w:t>
      </w:r>
    </w:p>
    <w:p>
      <w:pPr>
        <w:pStyle w:val="ListBullet"/>
        <w:spacing w:after="30"/>
        <w:ind w:left="360" w:hanging="216"/>
      </w:pPr>
      <w:r>
        <w:rPr>
          <w:rFonts w:ascii="Times New Roman" w:hAnsi="Times New Roman"/>
        </w:rPr>
        <w:t>HaCaT keratinocyte transfection efficiency</w:t>
      </w:r>
    </w:p>
    <w:p>
      <w:pPr>
        <w:pStyle w:val="ListBullet"/>
        <w:spacing w:after="30"/>
        <w:ind w:left="360" w:hanging="216"/>
      </w:pPr>
      <w:r>
        <w:rPr>
          <w:rFonts w:ascii="Times New Roman" w:hAnsi="Times New Roman"/>
        </w:rPr>
        <w:t>analyzed as a secondary biological context rather than as the optimization target of the primary DC2.4 model</w:t>
      </w:r>
    </w:p>
    <w:p>
      <w:pPr>
        <w:pStyle w:val="Heading2"/>
      </w:pPr>
      <w:r>
        <w:rPr>
          <w:rFonts w:ascii="Times New Roman" w:hAnsi="Times New Roman"/>
        </w:rPr>
        <w:t>Final modeling dataset</w:t>
      </w:r>
    </w:p>
    <w:p>
      <w:r>
        <w:rPr>
          <w:rFonts w:ascii="Times New Roman" w:hAnsi="Times New Roman"/>
        </w:rPr>
        <w:t xml:space="preserve">After data cleaning and QC, </w:t>
      </w:r>
      <w:r>
        <w:rPr>
          <w:rFonts w:ascii="Times New Roman" w:hAnsi="Times New Roman"/>
          <w:b/>
        </w:rPr>
        <w:t>104 experimentally tested formulations from R1–R4</w:t>
      </w:r>
      <w:r>
        <w:rPr>
          <w:rFonts w:ascii="Times New Roman" w:hAnsi="Times New Roman"/>
        </w:rPr>
        <w:t xml:space="preserve"> were retained for final systematic modeling.</w:t>
      </w:r>
    </w:p>
    <w:p>
      <w:r>
        <w:rPr>
          <w:rFonts w:ascii="Times New Roman" w:hAnsi="Times New Roman"/>
        </w:rPr>
        <w:t>The number of formulations originally designed or experimentally prepared in individual rounds can be larger than the final retained count because replicate, calibration, template, and QC-excluded rows are not all included in the final modeling dataset.</w:t>
      </w:r>
    </w:p>
    <w:p>
      <w:pPr>
        <w:spacing w:before="40" w:after="80"/>
        <w:pBdr>
          <w:bottom w:val="single" w:sz="4" w:space="1" w:color="B7B7B7"/>
        </w:pBdr>
      </w:pPr>
    </w:p>
    <w:p>
      <w:pPr>
        <w:pStyle w:val="Heading1"/>
      </w:pPr>
      <w:r>
        <w:rPr>
          <w:rFonts w:ascii="Times New Roman" w:hAnsi="Times New Roman"/>
        </w:rPr>
        <w:t>2. Formulation Space</w:t>
      </w:r>
    </w:p>
    <w:p>
      <w:r>
        <w:rPr>
          <w:rFonts w:ascii="Times New Roman" w:hAnsi="Times New Roman"/>
        </w:rPr>
        <w:t>Each LNP formulation was defined by a combination of categorical and continuous variables.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9"/>
              </w:rPr>
              <w:t>Variable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9"/>
              </w:rPr>
              <w:t>Type</w:t>
            </w:r>
          </w:p>
        </w:tc>
        <w:tc>
          <w:tcPr>
            <w:tcW w:type="dxa" w:w="5472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9"/>
              </w:rPr>
              <w:t>Range / options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Ionizable lipid 1 (IL1)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Categorical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MC3, ALC-0315, SM102, C12-200, CKK-E12, DOTAP, DODAP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IL1 mol%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Continuous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formulation-dependent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Ionizable lipid 2 (IL2)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Categorical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same lipid palette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IL2 mol%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Continuous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formulation-dependent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Total ionizable lipid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Continuous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IL1 + IL2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Helper phospholipid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Categorical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DOPE, DSPC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Helper-lipid mol%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Continuous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formulation-dependent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Cholesterol mol%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Continuous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formulation-dependent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PEG lipid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Categorical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DMG-PEG2000, C14-PEG, PEG-Mannose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PEG mol%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Continuous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formulation-dependent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Mixture constraint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Constraint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total lipid components approximately sum to 100 mol%</w:t>
            </w:r>
          </w:p>
        </w:tc>
      </w:tr>
    </w:tbl>
    <w:p>
      <w:pPr>
        <w:spacing w:after="20"/>
      </w:pPr>
    </w:p>
    <w:p>
      <w:r>
        <w:rPr>
          <w:rFonts w:ascii="Times New Roman" w:hAnsi="Times New Roman"/>
        </w:rPr>
        <w:t xml:space="preserve">Publicly available LNP studies were used as </w:t>
      </w:r>
      <w:r>
        <w:rPr>
          <w:rFonts w:ascii="Times New Roman" w:hAnsi="Times New Roman"/>
          <w:b/>
        </w:rPr>
        <w:t>references for lipid selection and approximate formulation ranges</w:t>
      </w:r>
      <w:r>
        <w:rPr>
          <w:rFonts w:ascii="Times New Roman" w:hAnsi="Times New Roman"/>
        </w:rPr>
        <w:t>, rather than as direct training data for the target-specific DC2.4 model.</w:t>
      </w:r>
    </w:p>
    <w:p>
      <w:r>
        <w:rPr>
          <w:rFonts w:ascii="Times New Roman" w:hAnsi="Times New Roman"/>
        </w:rPr>
        <w:t>Specific formulation combinations and ratios were generated within the in-house experimental design and were experimentally tested in the DC2.4 system.</w:t>
      </w:r>
    </w:p>
    <w:p>
      <w:pPr>
        <w:spacing w:before="40" w:after="80"/>
        <w:pBdr>
          <w:bottom w:val="single" w:sz="4" w:space="1" w:color="B7B7B7"/>
        </w:pBdr>
      </w:pPr>
    </w:p>
    <w:p>
      <w:pPr>
        <w:pStyle w:val="Heading1"/>
      </w:pPr>
      <w:r>
        <w:rPr>
          <w:rFonts w:ascii="Times New Roman" w:hAnsi="Times New Roman"/>
        </w:rPr>
        <w:t>3. Round 1 — Broad Exploration</w:t>
      </w:r>
    </w:p>
    <w:p>
      <w:pPr>
        <w:pStyle w:val="Heading2"/>
      </w:pPr>
      <w:r>
        <w:rPr>
          <w:rFonts w:ascii="Times New Roman" w:hAnsi="Times New Roman"/>
        </w:rPr>
        <w:t>Role</w:t>
      </w:r>
    </w:p>
    <w:p>
      <w:r>
        <w:rPr>
          <w:rFonts w:ascii="Times New Roman" w:hAnsi="Times New Roman"/>
          <w:b/>
        </w:rPr>
        <w:t>Establish broad initial coverage of the formulation space and generate the first target-specific training data.</w:t>
      </w:r>
    </w:p>
    <w:p>
      <w:r>
        <w:rPr>
          <w:rFonts w:ascii="Times New Roman" w:hAnsi="Times New Roman"/>
        </w:rPr>
        <w:t xml:space="preserve">R1 was designed under a </w:t>
      </w:r>
      <w:r>
        <w:rPr>
          <w:rFonts w:ascii="Times New Roman" w:hAnsi="Times New Roman"/>
          <w:b/>
        </w:rPr>
        <w:t>design-of-experiments (DoE) framework with Latin hypercube sampling (LHS)-style broad coverage</w:t>
      </w:r>
      <w:r>
        <w:rPr>
          <w:rFonts w:ascii="Times New Roman" w:hAnsi="Times New Roman"/>
        </w:rPr>
        <w:t>.</w:t>
      </w:r>
    </w:p>
    <w:p>
      <w:r>
        <w:rPr>
          <w:rFonts w:ascii="Times New Roman" w:hAnsi="Times New Roman"/>
        </w:rPr>
        <w:t>The purpose was not to immediately identify a single optimum. Instead, R1 was used to sample different regions of the formulation space and establish an initial relationship between formulation composition and DC2.4 transfection efficiency.</w:t>
      </w:r>
    </w:p>
    <w:p>
      <w:pPr>
        <w:pStyle w:val="Heading2"/>
      </w:pPr>
      <w:r>
        <w:rPr>
          <w:rFonts w:ascii="Times New Roman" w:hAnsi="Times New Roman"/>
        </w:rPr>
        <w:t>Design priorities</w:t>
      </w:r>
    </w:p>
    <w:p>
      <w:pPr>
        <w:pStyle w:val="ListBullet"/>
        <w:spacing w:after="30"/>
        <w:ind w:left="360" w:hanging="216"/>
      </w:pPr>
      <w:r>
        <w:rPr>
          <w:rFonts w:ascii="Times New Roman" w:hAnsi="Times New Roman"/>
        </w:rPr>
        <w:t>represent multiple ionizable-lipid identities and combinations;</w:t>
      </w:r>
    </w:p>
    <w:p>
      <w:pPr>
        <w:pStyle w:val="ListBullet"/>
        <w:spacing w:after="30"/>
        <w:ind w:left="360" w:hanging="216"/>
      </w:pPr>
      <w:r>
        <w:rPr>
          <w:rFonts w:ascii="Times New Roman" w:hAnsi="Times New Roman"/>
        </w:rPr>
        <w:t>cover a broad range of component ratios;</w:t>
      </w:r>
    </w:p>
    <w:p>
      <w:pPr>
        <w:pStyle w:val="ListBullet"/>
        <w:spacing w:after="30"/>
        <w:ind w:left="360" w:hanging="216"/>
      </w:pPr>
      <w:r>
        <w:rPr>
          <w:rFonts w:ascii="Times New Roman" w:hAnsi="Times New Roman"/>
        </w:rPr>
        <w:t>include different helper-lipid and PEG-lipid conditions;</w:t>
      </w:r>
    </w:p>
    <w:p>
      <w:pPr>
        <w:pStyle w:val="ListBullet"/>
        <w:spacing w:after="30"/>
        <w:ind w:left="360" w:hanging="216"/>
      </w:pPr>
      <w:r>
        <w:rPr>
          <w:rFonts w:ascii="Times New Roman" w:hAnsi="Times New Roman"/>
        </w:rPr>
        <w:t>avoid concentrating all experiments in a narrow region before any target-specific response data were available;</w:t>
      </w:r>
    </w:p>
    <w:p>
      <w:pPr>
        <w:pStyle w:val="ListBullet"/>
        <w:spacing w:after="30"/>
        <w:ind w:left="360" w:hanging="216"/>
      </w:pPr>
      <w:r>
        <w:rPr>
          <w:rFonts w:ascii="Times New Roman" w:hAnsi="Times New Roman"/>
        </w:rPr>
        <w:t>generate an initial dataset suitable for subsequent model fitting.</w:t>
      </w:r>
    </w:p>
    <w:p>
      <w:pPr>
        <w:pStyle w:val="Heading2"/>
      </w:pPr>
      <w:r>
        <w:rPr>
          <w:rFonts w:ascii="Times New Roman" w:hAnsi="Times New Roman"/>
        </w:rPr>
        <w:t>Role in the iterative strategy</w:t>
      </w:r>
    </w:p>
    <w:p>
      <w:r>
        <w:rPr>
          <w:rFonts w:ascii="Times New Roman" w:hAnsi="Times New Roman"/>
        </w:rPr>
        <w:t xml:space="preserve">R1 can be viewed as the </w:t>
      </w:r>
      <w:r>
        <w:rPr>
          <w:rFonts w:ascii="Times New Roman" w:hAnsi="Times New Roman"/>
          <w:b/>
        </w:rPr>
        <w:t>initial set of sparse survey points</w:t>
      </w:r>
      <w:r>
        <w:rPr>
          <w:rFonts w:ascii="Times New Roman" w:hAnsi="Times New Roman"/>
        </w:rPr>
        <w:t xml:space="preserve"> used to begin learning the DC2.4 formulation-response landscape.</w:t>
      </w:r>
    </w:p>
    <w:p>
      <w:pPr>
        <w:spacing w:before="40" w:after="80"/>
        <w:pBdr>
          <w:bottom w:val="single" w:sz="4" w:space="1" w:color="B7B7B7"/>
        </w:pBdr>
      </w:pPr>
    </w:p>
    <w:p>
      <w:pPr>
        <w:pStyle w:val="Heading1"/>
      </w:pPr>
      <w:r>
        <w:rPr>
          <w:rFonts w:ascii="Times New Roman" w:hAnsi="Times New Roman"/>
        </w:rPr>
        <w:t>4. Round 2 — Model-Informed Space Expansion</w:t>
      </w:r>
    </w:p>
    <w:p>
      <w:pPr>
        <w:pStyle w:val="Heading2"/>
      </w:pPr>
      <w:r>
        <w:rPr>
          <w:rFonts w:ascii="Times New Roman" w:hAnsi="Times New Roman"/>
        </w:rPr>
        <w:t>Role</w:t>
      </w:r>
    </w:p>
    <w:p>
      <w:r>
        <w:rPr>
          <w:rFonts w:ascii="Times New Roman" w:hAnsi="Times New Roman"/>
          <w:b/>
        </w:rPr>
        <w:t>Expand the formulation space using information learned from R1 while introducing additional formulation diversity.</w:t>
      </w:r>
    </w:p>
    <w:p>
      <w:r>
        <w:rPr>
          <w:rFonts w:ascii="Times New Roman" w:hAnsi="Times New Roman"/>
        </w:rPr>
        <w:t>R2 was not simply a local replication of the best R1 formulations. It expanded the design by introducing additional lipid combinations and formulation conditions while increasing attention to regions that showed promising DC2.4 responses.</w:t>
      </w:r>
    </w:p>
    <w:p>
      <w:r>
        <w:rPr>
          <w:rFonts w:ascii="Times New Roman" w:hAnsi="Times New Roman"/>
        </w:rPr>
        <w:t>New formulation elements included, where experimentally applicable:</w:t>
      </w:r>
    </w:p>
    <w:p>
      <w:pPr>
        <w:pStyle w:val="ListBullet"/>
        <w:spacing w:after="30"/>
        <w:ind w:left="360" w:hanging="216"/>
      </w:pPr>
      <w:r>
        <w:rPr>
          <w:rFonts w:ascii="Times New Roman" w:hAnsi="Times New Roman"/>
        </w:rPr>
        <w:t>CKK-E12-containing formulations;</w:t>
      </w:r>
    </w:p>
    <w:p>
      <w:pPr>
        <w:pStyle w:val="ListBullet"/>
        <w:spacing w:after="30"/>
        <w:ind w:left="360" w:hanging="216"/>
      </w:pPr>
      <w:r>
        <w:rPr>
          <w:rFonts w:ascii="Times New Roman" w:hAnsi="Times New Roman"/>
        </w:rPr>
        <w:t>additional PEG-lipid variants such as PEG-Mannose and C14-PEG;</w:t>
      </w:r>
    </w:p>
    <w:p>
      <w:pPr>
        <w:pStyle w:val="ListBullet"/>
        <w:spacing w:after="30"/>
        <w:ind w:left="360" w:hanging="216"/>
      </w:pPr>
      <w:r>
        <w:rPr>
          <w:rFonts w:ascii="Times New Roman" w:hAnsi="Times New Roman"/>
        </w:rPr>
        <w:t>systematic variation of ionizable-lipid ratios;</w:t>
      </w:r>
    </w:p>
    <w:p>
      <w:pPr>
        <w:pStyle w:val="ListBullet"/>
        <w:spacing w:after="30"/>
        <w:ind w:left="360" w:hanging="216"/>
      </w:pPr>
      <w:r>
        <w:rPr>
          <w:rFonts w:ascii="Times New Roman" w:hAnsi="Times New Roman"/>
        </w:rPr>
        <w:t>helper-lipid, cholesterol, and PEG composition changes.</w:t>
      </w:r>
    </w:p>
    <w:p>
      <w:pPr>
        <w:pStyle w:val="Heading2"/>
      </w:pPr>
      <w:r>
        <w:rPr>
          <w:rFonts w:ascii="Times New Roman" w:hAnsi="Times New Roman"/>
        </w:rPr>
        <w:t>Design logic</w:t>
      </w:r>
    </w:p>
    <w:p>
      <w:r>
        <w:rPr>
          <w:rFonts w:ascii="Times New Roman" w:hAnsi="Times New Roman"/>
        </w:rPr>
        <w:t>R2 combined two objectives:</w:t>
      </w:r>
    </w:p>
    <w:p>
      <w:pPr>
        <w:pStyle w:val="ListNumber"/>
        <w:spacing w:after="40"/>
      </w:pPr>
      <w:r>
        <w:rPr>
          <w:rFonts w:ascii="Times New Roman" w:hAnsi="Times New Roman"/>
          <w:b/>
        </w:rPr>
        <w:t>refinement</w:t>
      </w:r>
      <w:r>
        <w:rPr>
          <w:rFonts w:ascii="Times New Roman" w:hAnsi="Times New Roman"/>
        </w:rPr>
        <w:t xml:space="preserve"> of regions that appeared promising from R1;</w:t>
      </w:r>
    </w:p>
    <w:p>
      <w:pPr>
        <w:pStyle w:val="ListNumber"/>
        <w:spacing w:after="40"/>
      </w:pPr>
      <w:r>
        <w:rPr>
          <w:rFonts w:ascii="Times New Roman" w:hAnsi="Times New Roman"/>
          <w:b/>
        </w:rPr>
        <w:t>continued exploration</w:t>
      </w:r>
      <w:r>
        <w:rPr>
          <w:rFonts w:ascii="Times New Roman" w:hAnsi="Times New Roman"/>
        </w:rPr>
        <w:t xml:space="preserve"> of formulation combinations that remained insufficiently sampled.</w:t>
      </w:r>
    </w:p>
    <w:p>
      <w:r>
        <w:rPr>
          <w:rFonts w:ascii="Times New Roman" w:hAnsi="Times New Roman"/>
        </w:rPr>
        <w:t>The new experimental results were then returned to the modeling workflow for the next round.</w:t>
      </w:r>
    </w:p>
    <w:p>
      <w:pPr>
        <w:spacing w:before="40" w:after="80"/>
        <w:pBdr>
          <w:bottom w:val="single" w:sz="4" w:space="1" w:color="B7B7B7"/>
        </w:pBdr>
      </w:pPr>
    </w:p>
    <w:p>
      <w:pPr>
        <w:pStyle w:val="Heading1"/>
      </w:pPr>
      <w:r>
        <w:rPr>
          <w:rFonts w:ascii="Times New Roman" w:hAnsi="Times New Roman"/>
        </w:rPr>
        <w:t>5. Round 3 — Focused Refinement of High-Response Regions</w:t>
      </w:r>
    </w:p>
    <w:p>
      <w:pPr>
        <w:pStyle w:val="Heading2"/>
      </w:pPr>
      <w:r>
        <w:rPr>
          <w:rFonts w:ascii="Times New Roman" w:hAnsi="Times New Roman"/>
        </w:rPr>
        <w:t>Role</w:t>
      </w:r>
    </w:p>
    <w:p>
      <w:r>
        <w:rPr>
          <w:rFonts w:ascii="Times New Roman" w:hAnsi="Times New Roman"/>
          <w:b/>
        </w:rPr>
        <w:t>Increase local information density around promising formulation families while preserving selected exploratory and reproducibility samples.</w:t>
      </w:r>
    </w:p>
    <w:p>
      <w:r>
        <w:rPr>
          <w:rFonts w:ascii="Times New Roman" w:hAnsi="Times New Roman"/>
        </w:rPr>
        <w:t>By R3, the accumulated R1–R2 dataset allowed the optimization process to move from primarily broad exploration toward more focused candidate selection.</w:t>
      </w:r>
    </w:p>
    <w:p>
      <w:r>
        <w:rPr>
          <w:rFonts w:ascii="Times New Roman" w:hAnsi="Times New Roman"/>
        </w:rPr>
        <w:t>Interim machine-learning models were used as decision-support tools together with the experimental results to identify formulation families and parameter ranges requiring further study.</w:t>
      </w:r>
    </w:p>
    <w:p>
      <w:pPr>
        <w:pStyle w:val="Heading2"/>
      </w:pPr>
      <w:r>
        <w:rPr>
          <w:rFonts w:ascii="Times New Roman" w:hAnsi="Times New Roman"/>
        </w:rPr>
        <w:t>Main design questions</w:t>
      </w:r>
    </w:p>
    <w:p>
      <w:r>
        <w:rPr>
          <w:rFonts w:ascii="Times New Roman" w:hAnsi="Times New Roman"/>
        </w:rPr>
        <w:t>R3 was designed to ask:</w:t>
      </w:r>
    </w:p>
    <w:p>
      <w:pPr>
        <w:pStyle w:val="ListBullet"/>
        <w:spacing w:after="30"/>
        <w:ind w:left="360" w:hanging="216"/>
      </w:pPr>
      <w:r>
        <w:rPr>
          <w:rFonts w:ascii="Times New Roman" w:hAnsi="Times New Roman"/>
        </w:rPr>
        <w:t>Which ionizable-lipid combinations consistently occupy high-response regions?</w:t>
      </w:r>
    </w:p>
    <w:p>
      <w:pPr>
        <w:pStyle w:val="ListBullet"/>
        <w:spacing w:after="30"/>
        <w:ind w:left="360" w:hanging="216"/>
      </w:pPr>
      <w:r>
        <w:rPr>
          <w:rFonts w:ascii="Times New Roman" w:hAnsi="Times New Roman"/>
        </w:rPr>
        <w:t>How sensitive is transfection efficiency to IL1/IL2 ratio changes?</w:t>
      </w:r>
    </w:p>
    <w:p>
      <w:pPr>
        <w:pStyle w:val="ListBullet"/>
        <w:spacing w:after="30"/>
        <w:ind w:left="360" w:hanging="216"/>
      </w:pPr>
      <w:r>
        <w:rPr>
          <w:rFonts w:ascii="Times New Roman" w:hAnsi="Times New Roman"/>
        </w:rPr>
        <w:t>Are promising responses robust to helper-lipid and cholesterol changes?</w:t>
      </w:r>
    </w:p>
    <w:p>
      <w:pPr>
        <w:pStyle w:val="ListBullet"/>
        <w:spacing w:after="30"/>
        <w:ind w:left="360" w:hanging="216"/>
      </w:pPr>
      <w:r>
        <w:rPr>
          <w:rFonts w:ascii="Times New Roman" w:hAnsi="Times New Roman"/>
        </w:rPr>
        <w:t>Do high-performing formulations reproduce across experimental rounds?</w:t>
      </w:r>
    </w:p>
    <w:p>
      <w:pPr>
        <w:pStyle w:val="ListBullet"/>
        <w:spacing w:after="30"/>
        <w:ind w:left="360" w:hanging="216"/>
      </w:pPr>
      <w:r>
        <w:rPr>
          <w:rFonts w:ascii="Times New Roman" w:hAnsi="Times New Roman"/>
        </w:rPr>
        <w:t>Which local formulation changes cause large decreases or increases in DC2.4 transfection?</w:t>
      </w:r>
    </w:p>
    <w:p>
      <w:pPr>
        <w:pStyle w:val="Heading2"/>
      </w:pPr>
      <w:r>
        <w:rPr>
          <w:rFonts w:ascii="Times New Roman" w:hAnsi="Times New Roman"/>
        </w:rPr>
        <w:t>Candidate roles</w:t>
      </w:r>
    </w:p>
    <w:p>
      <w:r>
        <w:rPr>
          <w:rFonts w:ascii="Times New Roman" w:hAnsi="Times New Roman"/>
        </w:rPr>
        <w:t>R3 therefore included a mixture of:</w:t>
      </w:r>
    </w:p>
    <w:p>
      <w:pPr>
        <w:pStyle w:val="ListBullet"/>
        <w:spacing w:after="30"/>
        <w:ind w:left="360" w:hanging="216"/>
      </w:pPr>
      <w:r>
        <w:rPr>
          <w:rFonts w:ascii="Times New Roman" w:hAnsi="Times New Roman"/>
        </w:rPr>
        <w:t>high-response-region refinement;</w:t>
      </w:r>
    </w:p>
    <w:p>
      <w:pPr>
        <w:pStyle w:val="ListBullet"/>
        <w:spacing w:after="30"/>
        <w:ind w:left="360" w:hanging="216"/>
      </w:pPr>
      <w:r>
        <w:rPr>
          <w:rFonts w:ascii="Times New Roman" w:hAnsi="Times New Roman"/>
        </w:rPr>
        <w:t>local ratio and composition scans;</w:t>
      </w:r>
    </w:p>
    <w:p>
      <w:pPr>
        <w:pStyle w:val="ListBullet"/>
        <w:spacing w:after="30"/>
        <w:ind w:left="360" w:hanging="216"/>
      </w:pPr>
      <w:r>
        <w:rPr>
          <w:rFonts w:ascii="Times New Roman" w:hAnsi="Times New Roman"/>
        </w:rPr>
        <w:t>selected broader probes;</w:t>
      </w:r>
    </w:p>
    <w:p>
      <w:pPr>
        <w:pStyle w:val="ListBullet"/>
        <w:spacing w:after="30"/>
        <w:ind w:left="360" w:hanging="216"/>
      </w:pPr>
      <w:r>
        <w:rPr>
          <w:rFonts w:ascii="Times New Roman" w:hAnsi="Times New Roman"/>
        </w:rPr>
        <w:t>historical/technical replicates for reproducibility.</w:t>
      </w:r>
    </w:p>
    <w:p>
      <w:r>
        <w:rPr>
          <w:rFonts w:ascii="Times New Roman" w:hAnsi="Times New Roman"/>
        </w:rPr>
        <w:t xml:space="preserve">The purpose was to learn the </w:t>
      </w:r>
      <w:r>
        <w:rPr>
          <w:rFonts w:ascii="Times New Roman" w:hAnsi="Times New Roman"/>
          <w:b/>
        </w:rPr>
        <w:t>shape of the local high-response region</w:t>
      </w:r>
      <w:r>
        <w:rPr>
          <w:rFonts w:ascii="Times New Roman" w:hAnsi="Times New Roman"/>
        </w:rPr>
        <w:t>, rather than merely to reproduce one previously successful point.</w:t>
      </w:r>
    </w:p>
    <w:p>
      <w:pPr>
        <w:spacing w:before="40" w:after="80"/>
        <w:pBdr>
          <w:bottom w:val="single" w:sz="4" w:space="1" w:color="B7B7B7"/>
        </w:pBdr>
      </w:pPr>
    </w:p>
    <w:p>
      <w:pPr>
        <w:pStyle w:val="Heading1"/>
      </w:pPr>
      <w:r>
        <w:rPr>
          <w:rFonts w:ascii="Times New Roman" w:hAnsi="Times New Roman"/>
        </w:rPr>
        <w:t>6. Round 4 — Information-Rich Adaptive Refinement</w:t>
      </w:r>
    </w:p>
    <w:p>
      <w:pPr>
        <w:pStyle w:val="Heading2"/>
      </w:pPr>
      <w:r>
        <w:rPr>
          <w:rFonts w:ascii="Times New Roman" w:hAnsi="Times New Roman"/>
        </w:rPr>
        <w:t>Role</w:t>
      </w:r>
    </w:p>
    <w:p>
      <w:r>
        <w:rPr>
          <w:rFonts w:ascii="Times New Roman" w:hAnsi="Times New Roman"/>
          <w:b/>
        </w:rPr>
        <w:t>Use the knowledge accumulated from R1–R3 to perform targeted local refinement, broader boundary exploration, and calibration/validation within the same experimental round.</w:t>
      </w:r>
    </w:p>
    <w:p>
      <w:r>
        <w:rPr>
          <w:rFonts w:ascii="Times New Roman" w:hAnsi="Times New Roman"/>
        </w:rPr>
        <w:t xml:space="preserve">R4 was not designed as a completely independent external test set. Instead, it was an </w:t>
      </w:r>
      <w:r>
        <w:rPr>
          <w:rFonts w:ascii="Times New Roman" w:hAnsi="Times New Roman"/>
          <w:b/>
        </w:rPr>
        <w:t>adaptive information-gathering round</w:t>
      </w:r>
      <w:r>
        <w:rPr>
          <w:rFonts w:ascii="Times New Roman" w:hAnsi="Times New Roman"/>
        </w:rPr>
        <w:t xml:space="preserve"> whose results were later incorporated into the final R1–R4 model.</w:t>
      </w:r>
    </w:p>
    <w:p>
      <w:r>
        <w:rPr>
          <w:rFonts w:ascii="Times New Roman" w:hAnsi="Times New Roman"/>
        </w:rPr>
        <w:t>The R4 candidates were organized conceptually into three complementary roles.</w:t>
      </w:r>
    </w:p>
    <w:p>
      <w:pPr>
        <w:pStyle w:val="Heading2"/>
      </w:pPr>
      <w:r>
        <w:rPr>
          <w:rFonts w:ascii="Times New Roman" w:hAnsi="Times New Roman"/>
        </w:rPr>
        <w:t>6.1 Exploit — Refine High-Response Regions</w:t>
      </w:r>
    </w:p>
    <w:p>
      <w:r>
        <w:rPr>
          <w:rFonts w:ascii="Times New Roman" w:hAnsi="Times New Roman"/>
        </w:rPr>
        <w:t>The Exploit subset focused on formulation families that had already shown relatively high DC2.4 transfection efficiency.</w:t>
      </w:r>
    </w:p>
    <w:p>
      <w:r>
        <w:rPr>
          <w:rFonts w:ascii="Times New Roman" w:hAnsi="Times New Roman"/>
        </w:rPr>
        <w:t>Rather than repeating a single high-performing formulation, nearby formulation variables were varied to learn the local response landscape in more detail.</w:t>
      </w:r>
    </w:p>
    <w:p>
      <w:r>
        <w:rPr>
          <w:rFonts w:ascii="Times New Roman" w:hAnsi="Times New Roman"/>
        </w:rPr>
        <w:t>Variables examined included:</w:t>
      </w:r>
    </w:p>
    <w:p>
      <w:pPr>
        <w:pStyle w:val="ListBullet"/>
        <w:spacing w:after="30"/>
        <w:ind w:left="360" w:hanging="216"/>
      </w:pPr>
      <w:r>
        <w:rPr>
          <w:rFonts w:ascii="Times New Roman" w:hAnsi="Times New Roman"/>
        </w:rPr>
        <w:t>IL1/IL2 identity and relative ratio;</w:t>
      </w:r>
    </w:p>
    <w:p>
      <w:pPr>
        <w:pStyle w:val="ListBullet"/>
        <w:spacing w:after="30"/>
        <w:ind w:left="360" w:hanging="216"/>
      </w:pPr>
      <w:r>
        <w:rPr>
          <w:rFonts w:ascii="Times New Roman" w:hAnsi="Times New Roman"/>
        </w:rPr>
        <w:t>total ionizable-lipid content;</w:t>
      </w:r>
    </w:p>
    <w:p>
      <w:pPr>
        <w:pStyle w:val="ListBullet"/>
        <w:spacing w:after="30"/>
        <w:ind w:left="360" w:hanging="216"/>
      </w:pPr>
      <w:r>
        <w:rPr>
          <w:rFonts w:ascii="Times New Roman" w:hAnsi="Times New Roman"/>
        </w:rPr>
        <w:t>helper-lipid fraction;</w:t>
      </w:r>
    </w:p>
    <w:p>
      <w:pPr>
        <w:pStyle w:val="ListBullet"/>
        <w:spacing w:after="30"/>
        <w:ind w:left="360" w:hanging="216"/>
      </w:pPr>
      <w:r>
        <w:rPr>
          <w:rFonts w:ascii="Times New Roman" w:hAnsi="Times New Roman"/>
        </w:rPr>
        <w:t>cholesterol fraction;</w:t>
      </w:r>
    </w:p>
    <w:p>
      <w:pPr>
        <w:pStyle w:val="ListBullet"/>
        <w:spacing w:after="30"/>
        <w:ind w:left="360" w:hanging="216"/>
      </w:pPr>
      <w:r>
        <w:rPr>
          <w:rFonts w:ascii="Times New Roman" w:hAnsi="Times New Roman"/>
        </w:rPr>
        <w:t>PEG-lipid composition and fraction.</w:t>
      </w:r>
    </w:p>
    <w:p>
      <w:r>
        <w:rPr>
          <w:rFonts w:ascii="Times New Roman" w:hAnsi="Times New Roman"/>
        </w:rPr>
        <w:t xml:space="preserve">Particular attention was given to promising dual-ionizable-lipid regions, including </w:t>
      </w:r>
      <w:r>
        <w:rPr>
          <w:rFonts w:ascii="Times New Roman" w:hAnsi="Times New Roman"/>
          <w:b/>
        </w:rPr>
        <w:t>C12-200/SM102</w:t>
      </w:r>
      <w:r>
        <w:rPr>
          <w:rFonts w:ascii="Times New Roman" w:hAnsi="Times New Roman"/>
        </w:rPr>
        <w:t xml:space="preserve"> and </w:t>
      </w:r>
      <w:r>
        <w:rPr>
          <w:rFonts w:ascii="Times New Roman" w:hAnsi="Times New Roman"/>
          <w:b/>
        </w:rPr>
        <w:t>CKK-E12/SM102</w:t>
      </w:r>
      <w:r>
        <w:rPr>
          <w:rFonts w:ascii="Times New Roman" w:hAnsi="Times New Roman"/>
        </w:rPr>
        <w:t xml:space="preserve"> families.</w:t>
      </w:r>
    </w:p>
    <w:p>
      <w:pPr>
        <w:pStyle w:val="Heading3"/>
      </w:pPr>
      <w:r>
        <w:rPr>
          <w:rFonts w:ascii="Times New Roman" w:hAnsi="Times New Roman"/>
        </w:rPr>
        <w:t>Scientific purpose</w:t>
      </w:r>
    </w:p>
    <w:p>
      <w:r>
        <w:rPr>
          <w:rFonts w:ascii="Times New Roman" w:hAnsi="Times New Roman"/>
        </w:rPr>
        <w:t>The goal was to determine whether a high-response formulation represented:</w:t>
      </w:r>
    </w:p>
    <w:p>
      <w:pPr>
        <w:pStyle w:val="ListBullet"/>
        <w:spacing w:after="30"/>
        <w:ind w:left="360" w:hanging="216"/>
      </w:pPr>
      <w:r>
        <w:rPr>
          <w:rFonts w:ascii="Times New Roman" w:hAnsi="Times New Roman"/>
        </w:rPr>
        <w:t>a narrow isolated peak;</w:t>
      </w:r>
    </w:p>
    <w:p>
      <w:pPr>
        <w:pStyle w:val="ListBullet"/>
        <w:spacing w:after="30"/>
        <w:ind w:left="360" w:hanging="216"/>
      </w:pPr>
      <w:r>
        <w:rPr>
          <w:rFonts w:ascii="Times New Roman" w:hAnsi="Times New Roman"/>
        </w:rPr>
        <w:t>a broader high-performance plateau;</w:t>
      </w:r>
    </w:p>
    <w:p>
      <w:pPr>
        <w:pStyle w:val="ListBullet"/>
        <w:spacing w:after="30"/>
        <w:ind w:left="360" w:hanging="216"/>
      </w:pPr>
      <w:r>
        <w:rPr>
          <w:rFonts w:ascii="Times New Roman" w:hAnsi="Times New Roman"/>
        </w:rPr>
        <w:t>or a region highly sensitive to small changes in composition.</w:t>
      </w:r>
    </w:p>
    <w:p>
      <w:r>
        <w:rPr>
          <w:rFonts w:ascii="Times New Roman" w:hAnsi="Times New Roman"/>
        </w:rPr>
        <w:t>This subset therefore provided detailed local information around promising regions rather than simply maximizing the number of high predicted values.</w:t>
      </w:r>
    </w:p>
    <w:p>
      <w:pPr>
        <w:pStyle w:val="Heading2"/>
      </w:pPr>
      <w:r>
        <w:rPr>
          <w:rFonts w:ascii="Times New Roman" w:hAnsi="Times New Roman"/>
        </w:rPr>
        <w:t>6.2 Explore — Sample Underrepresented and Boundary Regions</w:t>
      </w:r>
    </w:p>
    <w:p>
      <w:r>
        <w:rPr>
          <w:rFonts w:ascii="Times New Roman" w:hAnsi="Times New Roman"/>
        </w:rPr>
        <w:t>The Explore subset retained broader coverage of the formulation space.</w:t>
      </w:r>
    </w:p>
    <w:p>
      <w:r>
        <w:rPr>
          <w:rFonts w:ascii="Times New Roman" w:hAnsi="Times New Roman"/>
        </w:rPr>
        <w:t>These formulations were chosen from regions that were less represented in the existing R1–R3 dataset, including composition boundaries and combinations outside the densest high-response region.</w:t>
      </w:r>
    </w:p>
    <w:p>
      <w:r>
        <w:rPr>
          <w:rFonts w:ascii="Times New Roman" w:hAnsi="Times New Roman"/>
        </w:rPr>
        <w:t xml:space="preserve">Explore candidates were </w:t>
      </w:r>
      <w:r>
        <w:rPr>
          <w:rFonts w:ascii="Times New Roman" w:hAnsi="Times New Roman"/>
          <w:b/>
        </w:rPr>
        <w:t>not required to have the highest predicted transfection efficiency</w:t>
      </w:r>
      <w:r>
        <w:rPr>
          <w:rFonts w:ascii="Times New Roman" w:hAnsi="Times New Roman"/>
        </w:rPr>
        <w:t>.</w:t>
      </w:r>
    </w:p>
    <w:p>
      <w:r>
        <w:rPr>
          <w:rFonts w:ascii="Times New Roman" w:hAnsi="Times New Roman"/>
        </w:rPr>
        <w:t>Their purpose was to provide informative examples that help define:</w:t>
      </w:r>
    </w:p>
    <w:p>
      <w:pPr>
        <w:pStyle w:val="ListBullet"/>
        <w:spacing w:after="30"/>
        <w:ind w:left="360" w:hanging="216"/>
      </w:pPr>
      <w:r>
        <w:rPr>
          <w:rFonts w:ascii="Times New Roman" w:hAnsi="Times New Roman"/>
        </w:rPr>
        <w:t>low-response regions;</w:t>
      </w:r>
    </w:p>
    <w:p>
      <w:pPr>
        <w:pStyle w:val="ListBullet"/>
        <w:spacing w:after="30"/>
        <w:ind w:left="360" w:hanging="216"/>
      </w:pPr>
      <w:r>
        <w:rPr>
          <w:rFonts w:ascii="Times New Roman" w:hAnsi="Times New Roman"/>
        </w:rPr>
        <w:t>formulation-space boundaries;</w:t>
      </w:r>
    </w:p>
    <w:p>
      <w:pPr>
        <w:pStyle w:val="ListBullet"/>
        <w:spacing w:after="30"/>
        <w:ind w:left="360" w:hanging="216"/>
      </w:pPr>
      <w:r>
        <w:rPr>
          <w:rFonts w:ascii="Times New Roman" w:hAnsi="Times New Roman"/>
        </w:rPr>
        <w:t>feasible versus unstable formulation regions;</w:t>
      </w:r>
    </w:p>
    <w:p>
      <w:pPr>
        <w:pStyle w:val="ListBullet"/>
        <w:spacing w:after="30"/>
        <w:ind w:left="360" w:hanging="216"/>
      </w:pPr>
      <w:r>
        <w:rPr>
          <w:rFonts w:ascii="Times New Roman" w:hAnsi="Times New Roman"/>
        </w:rPr>
        <w:t>composition regions with limited existing experimental support;</w:t>
      </w:r>
    </w:p>
    <w:p>
      <w:pPr>
        <w:pStyle w:val="ListBullet"/>
        <w:spacing w:after="30"/>
        <w:ind w:left="360" w:hanging="216"/>
      </w:pPr>
      <w:r>
        <w:rPr>
          <w:rFonts w:ascii="Times New Roman" w:hAnsi="Times New Roman"/>
        </w:rPr>
        <w:t>areas in which model behavior required additional experimental information.</w:t>
      </w:r>
    </w:p>
    <w:p>
      <w:r>
        <w:rPr>
          <w:rFonts w:ascii="Times New Roman" w:hAnsi="Times New Roman"/>
        </w:rPr>
        <w:t>Low-performing results were therefore not considered failed experiments; they could still provide valuable information about the boundaries and structure of the formulation-response landscape.</w:t>
      </w:r>
    </w:p>
    <w:p>
      <w:pPr>
        <w:pStyle w:val="Heading2"/>
      </w:pPr>
      <w:r>
        <w:rPr>
          <w:rFonts w:ascii="Times New Roman" w:hAnsi="Times New Roman"/>
        </w:rPr>
        <w:t>6.3 Validate / Calibration — Historical Anchors and Transfer-Oriented Probes</w:t>
      </w:r>
    </w:p>
    <w:p>
      <w:r>
        <w:rPr>
          <w:rFonts w:ascii="Times New Roman" w:hAnsi="Times New Roman"/>
        </w:rPr>
        <w:t>A third subset was included for calibration and targeted validation.</w:t>
      </w:r>
    </w:p>
    <w:p>
      <w:r>
        <w:rPr>
          <w:rFonts w:ascii="Times New Roman" w:hAnsi="Times New Roman"/>
        </w:rPr>
        <w:t>This subset contained:</w:t>
      </w:r>
    </w:p>
    <w:p>
      <w:pPr>
        <w:pStyle w:val="ListBullet"/>
        <w:spacing w:after="30"/>
        <w:ind w:left="360" w:hanging="216"/>
      </w:pPr>
      <w:r>
        <w:rPr>
          <w:rFonts w:ascii="Times New Roman" w:hAnsi="Times New Roman"/>
        </w:rPr>
        <w:t>replicate formulations derived from previously high-performing R3 formulations;</w:t>
      </w:r>
    </w:p>
    <w:p>
      <w:pPr>
        <w:pStyle w:val="ListBullet"/>
        <w:spacing w:after="30"/>
        <w:ind w:left="360" w:hanging="216"/>
      </w:pPr>
      <w:r>
        <w:rPr>
          <w:rFonts w:ascii="Times New Roman" w:hAnsi="Times New Roman"/>
        </w:rPr>
        <w:t>selected CKK-E12-containing validation formulations;</w:t>
      </w:r>
    </w:p>
    <w:p>
      <w:pPr>
        <w:pStyle w:val="ListBullet"/>
        <w:spacing w:after="30"/>
        <w:ind w:left="360" w:hanging="216"/>
      </w:pPr>
      <w:r>
        <w:rPr>
          <w:rFonts w:ascii="Times New Roman" w:hAnsi="Times New Roman"/>
        </w:rPr>
        <w:t>formulations inspired by high-performing regimes reported in external/public LNP studies;</w:t>
      </w:r>
    </w:p>
    <w:p>
      <w:pPr>
        <w:pStyle w:val="ListBullet"/>
        <w:spacing w:after="30"/>
        <w:ind w:left="360" w:hanging="216"/>
      </w:pPr>
      <w:r>
        <w:rPr>
          <w:rFonts w:ascii="Times New Roman" w:hAnsi="Times New Roman"/>
        </w:rPr>
        <w:t>at least one boundary or model-disagreement probe.</w:t>
      </w:r>
    </w:p>
    <w:p>
      <w:r>
        <w:rPr>
          <w:rFonts w:ascii="Times New Roman" w:hAnsi="Times New Roman"/>
        </w:rPr>
        <w:t>Historical replicate formulations were used to monitor reproducibility and cross-round experimental shifts.</w:t>
      </w:r>
    </w:p>
    <w:p>
      <w:r>
        <w:rPr>
          <w:rFonts w:ascii="Times New Roman" w:hAnsi="Times New Roman"/>
        </w:rPr>
        <w:t xml:space="preserve">External/public LNP information was </w:t>
      </w:r>
      <w:r>
        <w:rPr>
          <w:rFonts w:ascii="Times New Roman" w:hAnsi="Times New Roman"/>
          <w:b/>
        </w:rPr>
        <w:t>not directly merged into the target-specific DC2.4 training dataset</w:t>
      </w:r>
      <w:r>
        <w:rPr>
          <w:rFonts w:ascii="Times New Roman" w:hAnsi="Times New Roman"/>
        </w:rPr>
        <w:t xml:space="preserve"> for R4. Instead, public studies were used as prior references for candidate design and to test whether selected formulation ideas could transfer to the local experimental system.</w:t>
      </w:r>
    </w:p>
    <w:p>
      <w:pPr>
        <w:spacing w:before="40" w:after="80"/>
        <w:pBdr>
          <w:bottom w:val="single" w:sz="4" w:space="1" w:color="B7B7B7"/>
        </w:pBdr>
      </w:pPr>
    </w:p>
    <w:p>
      <w:pPr>
        <w:pStyle w:val="Heading1"/>
      </w:pPr>
      <w:r>
        <w:rPr>
          <w:rFonts w:ascii="Times New Roman" w:hAnsi="Times New Roman"/>
        </w:rPr>
        <w:t>7. Interpretation of R4</w:t>
      </w:r>
    </w:p>
    <w:p>
      <w:r>
        <w:rPr>
          <w:rFonts w:ascii="Times New Roman" w:hAnsi="Times New Roman"/>
        </w:rPr>
        <w:t xml:space="preserve">R4 should therefore be interpreted as an </w:t>
      </w:r>
      <w:r>
        <w:rPr>
          <w:rFonts w:ascii="Times New Roman" w:hAnsi="Times New Roman"/>
          <w:b/>
        </w:rPr>
        <w:t>adaptive refinement round</w:t>
      </w:r>
      <w:r>
        <w:rPr>
          <w:rFonts w:ascii="Times New Roman" w:hAnsi="Times New Roman"/>
        </w:rPr>
        <w:t>, not as a single homogeneous test set.</w:t>
      </w:r>
    </w:p>
    <w:p>
      <w:r>
        <w:rPr>
          <w:rFonts w:ascii="Times New Roman" w:hAnsi="Times New Roman"/>
        </w:rPr>
        <w:t>Its subsets answered different questions: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9"/>
              </w:rPr>
              <w:t>R4 role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9"/>
              </w:rPr>
              <w:t>Main question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Exploit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What does the high-response region look like in greater local detail?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Explore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What can be learned from under-sampled, boundary, or lower-response regions?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Validate / Calibration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9"/>
              </w:rPr>
              <w:t>Are historical responses reproducible, are there cross-round shifts, and can selected external formulation ideas transfer?</w:t>
            </w:r>
          </w:p>
        </w:tc>
      </w:tr>
    </w:tbl>
    <w:p>
      <w:pPr>
        <w:spacing w:after="20"/>
      </w:pPr>
    </w:p>
    <w:p>
      <w:r>
        <w:rPr>
          <w:rFonts w:ascii="Times New Roman" w:hAnsi="Times New Roman"/>
        </w:rPr>
        <w:t xml:space="preserve">After QC, </w:t>
      </w:r>
      <w:r>
        <w:rPr>
          <w:rFonts w:ascii="Times New Roman" w:hAnsi="Times New Roman"/>
          <w:b/>
        </w:rPr>
        <w:t>20 R4 observations were retained</w:t>
      </w:r>
      <w:r>
        <w:rPr>
          <w:rFonts w:ascii="Times New Roman" w:hAnsi="Times New Roman"/>
        </w:rPr>
        <w:t xml:space="preserve"> and incorporated into the final </w:t>
      </w:r>
      <w:r>
        <w:rPr>
          <w:rFonts w:ascii="Times New Roman" w:hAnsi="Times New Roman"/>
          <w:b/>
        </w:rPr>
        <w:t>104-formulation R1–R4 dataset</w:t>
      </w:r>
      <w:r>
        <w:rPr>
          <w:rFonts w:ascii="Times New Roman" w:hAnsi="Times New Roman"/>
        </w:rPr>
        <w:t>.</w:t>
      </w:r>
    </w:p>
    <w:p>
      <w:r>
        <w:rPr>
          <w:rFonts w:ascii="Times New Roman" w:hAnsi="Times New Roman"/>
        </w:rPr>
        <w:t xml:space="preserve">Because R4 contributes to final model refinement and training, it is </w:t>
      </w:r>
      <w:r>
        <w:rPr>
          <w:rFonts w:ascii="Times New Roman" w:hAnsi="Times New Roman"/>
          <w:b/>
        </w:rPr>
        <w:t>not treated as the final prospective external validation set</w:t>
      </w:r>
      <w:r>
        <w:rPr>
          <w:rFonts w:ascii="Times New Roman" w:hAnsi="Times New Roman"/>
        </w:rPr>
        <w:t>.</w:t>
      </w:r>
    </w:p>
    <w:p>
      <w:pPr>
        <w:spacing w:before="40" w:after="80"/>
        <w:pBdr>
          <w:bottom w:val="single" w:sz="4" w:space="1" w:color="B7B7B7"/>
        </w:pBdr>
      </w:pPr>
    </w:p>
    <w:p>
      <w:pPr>
        <w:pStyle w:val="Heading1"/>
      </w:pPr>
      <w:r>
        <w:rPr>
          <w:rFonts w:ascii="Times New Roman" w:hAnsi="Times New Roman"/>
        </w:rPr>
        <w:t>8. Final Systematic Modeling After R1–R4</w:t>
      </w:r>
    </w:p>
    <w:p>
      <w:r>
        <w:rPr>
          <w:rFonts w:ascii="Times New Roman" w:hAnsi="Times New Roman"/>
        </w:rPr>
        <w:t>After all R1–R4 experimental data had been collected, the accumulated 104-formulation dataset was used for final systematic model development and evaluation.</w:t>
      </w:r>
    </w:p>
    <w:p>
      <w:r>
        <w:rPr>
          <w:rFonts w:ascii="Times New Roman" w:hAnsi="Times New Roman"/>
        </w:rPr>
        <w:t>At this stage, the publication modeling pipeline incorporated:</w:t>
      </w:r>
    </w:p>
    <w:p>
      <w:pPr>
        <w:pStyle w:val="ListBullet"/>
        <w:spacing w:after="30"/>
        <w:ind w:left="360" w:hanging="216"/>
      </w:pPr>
      <w:r>
        <w:rPr>
          <w:rFonts w:ascii="Times New Roman" w:hAnsi="Times New Roman"/>
        </w:rPr>
        <w:t>core formulation variables;</w:t>
      </w:r>
    </w:p>
    <w:p>
      <w:pPr>
        <w:pStyle w:val="ListBullet"/>
        <w:spacing w:after="30"/>
        <w:ind w:left="360" w:hanging="216"/>
      </w:pPr>
      <w:r>
        <w:rPr>
          <w:rFonts w:ascii="Times New Roman" w:hAnsi="Times New Roman"/>
        </w:rPr>
        <w:t>ionizable-lipid structural descriptors;</w:t>
      </w:r>
    </w:p>
    <w:p>
      <w:pPr>
        <w:pStyle w:val="ListBullet"/>
        <w:spacing w:after="30"/>
        <w:ind w:left="360" w:hanging="216"/>
      </w:pPr>
      <w:r>
        <w:rPr>
          <w:rFonts w:ascii="Times New Roman" w:hAnsi="Times New Roman"/>
        </w:rPr>
        <w:t>128-bit Morgan molecular fingerprints generated from SMILES;</w:t>
      </w:r>
    </w:p>
    <w:p>
      <w:pPr>
        <w:pStyle w:val="ListBullet"/>
        <w:spacing w:after="30"/>
        <w:ind w:left="360" w:hanging="216"/>
      </w:pPr>
      <w:r>
        <w:rPr>
          <w:rFonts w:ascii="Times New Roman" w:hAnsi="Times New Roman"/>
        </w:rPr>
        <w:t>IL1/IL2-weighted structural features for dual-ionizable-lipid formulations;</w:t>
      </w:r>
    </w:p>
    <w:p>
      <w:pPr>
        <w:pStyle w:val="ListBullet"/>
        <w:spacing w:after="30"/>
        <w:ind w:left="360" w:hanging="216"/>
      </w:pPr>
      <w:r>
        <w:rPr>
          <w:rFonts w:ascii="Times New Roman" w:hAnsi="Times New Roman"/>
        </w:rPr>
        <w:t>fold-safe auxiliary feature selection using mutual information and mRMR;</w:t>
      </w:r>
    </w:p>
    <w:p>
      <w:pPr>
        <w:pStyle w:val="ListBullet"/>
        <w:spacing w:after="30"/>
        <w:ind w:left="360" w:hanging="216"/>
      </w:pPr>
      <w:r>
        <w:rPr>
          <w:rFonts w:ascii="Times New Roman" w:hAnsi="Times New Roman"/>
        </w:rPr>
        <w:t>grouped nested cross-validation;</w:t>
      </w:r>
    </w:p>
    <w:p>
      <w:pPr>
        <w:pStyle w:val="ListBullet"/>
        <w:spacing w:after="30"/>
        <w:ind w:left="360" w:hanging="216"/>
      </w:pPr>
      <w:r>
        <w:rPr>
          <w:rFonts w:ascii="Times New Roman" w:hAnsi="Times New Roman"/>
        </w:rPr>
        <w:t>comparison of multiple regression models.</w:t>
      </w:r>
    </w:p>
    <w:p>
      <w:r>
        <w:rPr>
          <w:rFonts w:ascii="Times New Roman" w:hAnsi="Times New Roman"/>
        </w:rPr>
        <w:t xml:space="preserve">These final retrospective modeling procedures were performed </w:t>
      </w:r>
      <w:r>
        <w:rPr>
          <w:rFonts w:ascii="Times New Roman" w:hAnsi="Times New Roman"/>
          <w:b/>
        </w:rPr>
        <w:t>after completion of the R1–R4 experimental acquisition process</w:t>
      </w:r>
      <w:r>
        <w:rPr>
          <w:rFonts w:ascii="Times New Roman" w:hAnsi="Times New Roman"/>
        </w:rPr>
        <w:t xml:space="preserve"> and should not be interpreted as a separate experimental-design loop.</w:t>
      </w:r>
    </w:p>
    <w:p>
      <w:r>
        <w:rPr>
          <w:rFonts w:ascii="Times New Roman" w:hAnsi="Times New Roman"/>
        </w:rPr>
        <w:t>Detailed implementation is documented in the modeling README.</w:t>
      </w:r>
    </w:p>
    <w:p>
      <w:pPr>
        <w:spacing w:before="40" w:after="80"/>
        <w:pBdr>
          <w:bottom w:val="single" w:sz="4" w:space="1" w:color="B7B7B7"/>
        </w:pBdr>
      </w:pPr>
    </w:p>
    <w:p>
      <w:pPr>
        <w:pStyle w:val="Heading1"/>
      </w:pPr>
      <w:r>
        <w:rPr>
          <w:rFonts w:ascii="Times New Roman" w:hAnsi="Times New Roman"/>
        </w:rPr>
        <w:t>9. Public-Data / Meta-Learning Benchmark</w:t>
      </w:r>
    </w:p>
    <w:p>
      <w:r>
        <w:rPr>
          <w:rFonts w:ascii="Times New Roman" w:hAnsi="Times New Roman"/>
        </w:rPr>
        <w:t>Public LNP datasets were evaluated separately as a transfer-learning/meta-learning benchmark.</w:t>
      </w:r>
    </w:p>
    <w:p>
      <w:r>
        <w:rPr>
          <w:rFonts w:ascii="Times New Roman" w:hAnsi="Times New Roman"/>
        </w:rPr>
        <w:t>This analysis was designed to answer a different question:</w:t>
      </w:r>
    </w:p>
    <w:p>
      <w:pPr>
        <w:spacing w:after="80"/>
        <w:ind w:left="432" w:right="216"/>
      </w:pPr>
      <w:r>
        <w:rPr>
          <w:rFonts w:ascii="Times New Roman" w:hAnsi="Times New Roman"/>
        </w:rPr>
        <w:t>Can models trained on heterogeneous public LNP data transfer reliably to the in-house DC2.4 mRNA-LNP task?</w:t>
      </w:r>
    </w:p>
    <w:p>
      <w:r>
        <w:rPr>
          <w:rFonts w:ascii="Times New Roman" w:hAnsi="Times New Roman"/>
        </w:rPr>
        <w:t xml:space="preserve">The public-data benchmark is therefore a </w:t>
      </w:r>
      <w:r>
        <w:rPr>
          <w:rFonts w:ascii="Times New Roman" w:hAnsi="Times New Roman"/>
          <w:b/>
        </w:rPr>
        <w:t>comparison analysis</w:t>
      </w:r>
      <w:r>
        <w:rPr>
          <w:rFonts w:ascii="Times New Roman" w:hAnsi="Times New Roman"/>
        </w:rPr>
        <w:t>, not part of the target-specific R1–R4 training dataset.</w:t>
      </w:r>
    </w:p>
    <w:p>
      <w:r>
        <w:rPr>
          <w:rFonts w:ascii="Times New Roman" w:hAnsi="Times New Roman"/>
        </w:rPr>
        <w:t>Detailed MetaLNP-style benchmark methods and results are documented separately in the supporting analysis files.</w:t>
      </w:r>
    </w:p>
    <w:p>
      <w:pPr>
        <w:spacing w:before="40" w:after="80"/>
        <w:pBdr>
          <w:bottom w:val="single" w:sz="4" w:space="1" w:color="B7B7B7"/>
        </w:pBdr>
      </w:pPr>
    </w:p>
    <w:p>
      <w:pPr>
        <w:pStyle w:val="Heading1"/>
      </w:pPr>
      <w:r>
        <w:rPr>
          <w:rFonts w:ascii="Times New Roman" w:hAnsi="Times New Roman"/>
        </w:rPr>
        <w:t>10. Prospective Validation — Planned</w:t>
      </w:r>
    </w:p>
    <w:p>
      <w:r>
        <w:rPr>
          <w:rFonts w:ascii="Times New Roman" w:hAnsi="Times New Roman"/>
        </w:rPr>
        <w:t xml:space="preserve">The final prospective validation will be performed </w:t>
      </w:r>
      <w:r>
        <w:rPr>
          <w:rFonts w:ascii="Times New Roman" w:hAnsi="Times New Roman"/>
          <w:b/>
        </w:rPr>
        <w:t>after the R1–R4 model and preprocessing pipeline are frozen</w:t>
      </w:r>
      <w:r>
        <w:rPr>
          <w:rFonts w:ascii="Times New Roman" w:hAnsi="Times New Roman"/>
        </w:rPr>
        <w:t>.</w:t>
      </w:r>
    </w:p>
    <w:p>
      <w:r>
        <w:rPr>
          <w:rFonts w:ascii="Times New Roman" w:hAnsi="Times New Roman"/>
        </w:rPr>
        <w:t xml:space="preserve">Approximately </w:t>
      </w:r>
      <w:r>
        <w:rPr>
          <w:rFonts w:ascii="Times New Roman" w:hAnsi="Times New Roman"/>
          <w:b/>
        </w:rPr>
        <w:t>10–15 previously untested formulations</w:t>
      </w:r>
      <w:r>
        <w:rPr>
          <w:rFonts w:ascii="Times New Roman" w:hAnsi="Times New Roman"/>
        </w:rPr>
        <w:t xml:space="preserve"> will be selected to span different predicted-response regions, including:</w:t>
      </w:r>
    </w:p>
    <w:p>
      <w:pPr>
        <w:pStyle w:val="ListBullet"/>
        <w:spacing w:after="30"/>
        <w:ind w:left="360" w:hanging="216"/>
      </w:pPr>
      <w:r>
        <w:rPr>
          <w:rFonts w:ascii="Times New Roman" w:hAnsi="Times New Roman"/>
        </w:rPr>
        <w:t>predicted high-performing candidates;</w:t>
      </w:r>
    </w:p>
    <w:p>
      <w:pPr>
        <w:pStyle w:val="ListBullet"/>
        <w:spacing w:after="30"/>
        <w:ind w:left="360" w:hanging="216"/>
      </w:pPr>
      <w:r>
        <w:rPr>
          <w:rFonts w:ascii="Times New Roman" w:hAnsi="Times New Roman"/>
        </w:rPr>
        <w:t>intermediate predicted candidates;</w:t>
      </w:r>
    </w:p>
    <w:p>
      <w:pPr>
        <w:pStyle w:val="ListBullet"/>
        <w:spacing w:after="30"/>
        <w:ind w:left="360" w:hanging="216"/>
      </w:pPr>
      <w:r>
        <w:rPr>
          <w:rFonts w:ascii="Times New Roman" w:hAnsi="Times New Roman"/>
        </w:rPr>
        <w:t>predicted low-performing controls;</w:t>
      </w:r>
    </w:p>
    <w:p>
      <w:pPr>
        <w:pStyle w:val="ListBullet"/>
        <w:spacing w:after="30"/>
        <w:ind w:left="360" w:hanging="216"/>
      </w:pPr>
      <w:r>
        <w:rPr>
          <w:rFonts w:ascii="Times New Roman" w:hAnsi="Times New Roman"/>
        </w:rPr>
        <w:t>a limited number of exploratory, boundary, or model-disagreement candidates.</w:t>
      </w:r>
    </w:p>
    <w:p>
      <w:r>
        <w:rPr>
          <w:rFonts w:ascii="Times New Roman" w:hAnsi="Times New Roman"/>
        </w:rPr>
        <w:t>Predictions and candidate rankings will be saved before wet-lab testing.</w:t>
      </w:r>
    </w:p>
    <w:p>
      <w:r>
        <w:rPr>
          <w:rFonts w:ascii="Times New Roman" w:hAnsi="Times New Roman"/>
        </w:rPr>
        <w:t xml:space="preserve">The prospective experiment is intended to evaluate whether the final model can </w:t>
      </w:r>
      <w:r>
        <w:rPr>
          <w:rFonts w:ascii="Times New Roman" w:hAnsi="Times New Roman"/>
          <w:b/>
        </w:rPr>
        <w:t>predict and prioritize genuinely unseen LNP formulations</w:t>
      </w:r>
      <w:r>
        <w:rPr>
          <w:rFonts w:ascii="Times New Roman" w:hAnsi="Times New Roman"/>
        </w:rPr>
        <w:t>, rather than only reproduce patterns already present in the retrospective R1–R4 dataset.</w:t>
      </w:r>
    </w:p>
    <w:p>
      <w:r>
        <w:rPr>
          <w:rFonts w:ascii="Times New Roman" w:hAnsi="Times New Roman"/>
        </w:rPr>
        <w:t>Candidate performance will be evaluated using complementary metrics such as:</w:t>
      </w:r>
    </w:p>
    <w:p>
      <w:pPr>
        <w:pStyle w:val="ListBullet"/>
        <w:spacing w:after="30"/>
        <w:ind w:left="360" w:hanging="216"/>
      </w:pPr>
      <w:r>
        <w:rPr>
          <w:rFonts w:ascii="Times New Roman" w:hAnsi="Times New Roman"/>
        </w:rPr>
        <w:t>predicted-versus-measured agreement;</w:t>
      </w:r>
    </w:p>
    <w:p>
      <w:pPr>
        <w:pStyle w:val="ListBullet"/>
        <w:spacing w:after="30"/>
        <w:ind w:left="360" w:hanging="216"/>
      </w:pPr>
      <w:r>
        <w:rPr>
          <w:rFonts w:ascii="Times New Roman" w:hAnsi="Times New Roman"/>
        </w:rPr>
        <w:t>Spearman rank correlation;</w:t>
      </w:r>
    </w:p>
    <w:p>
      <w:pPr>
        <w:pStyle w:val="ListBullet"/>
        <w:spacing w:after="30"/>
        <w:ind w:left="360" w:hanging="216"/>
      </w:pPr>
      <w:r>
        <w:rPr>
          <w:rFonts w:ascii="Times New Roman" w:hAnsi="Times New Roman"/>
        </w:rPr>
        <w:t>RMSE/MAE when directly comparable;</w:t>
      </w:r>
    </w:p>
    <w:p>
      <w:pPr>
        <w:pStyle w:val="ListBullet"/>
        <w:spacing w:after="30"/>
        <w:ind w:left="360" w:hanging="216"/>
      </w:pPr>
      <w:r>
        <w:rPr>
          <w:rFonts w:ascii="Times New Roman" w:hAnsi="Times New Roman"/>
        </w:rPr>
        <w:t>high-performer recall;</w:t>
      </w:r>
    </w:p>
    <w:p>
      <w:pPr>
        <w:pStyle w:val="ListBullet"/>
        <w:spacing w:after="30"/>
        <w:ind w:left="360" w:hanging="216"/>
      </w:pPr>
      <w:r>
        <w:rPr>
          <w:rFonts w:ascii="Times New Roman" w:hAnsi="Times New Roman"/>
        </w:rPr>
        <w:t>Top-k hit rate or enrichment.</w:t>
      </w:r>
    </w:p>
    <w:p>
      <w:r>
        <w:rPr>
          <w:rFonts w:ascii="Times New Roman" w:hAnsi="Times New Roman"/>
        </w:rPr>
        <w:t xml:space="preserve">The success criterion is </w:t>
      </w:r>
      <w:r>
        <w:rPr>
          <w:rFonts w:ascii="Times New Roman" w:hAnsi="Times New Roman"/>
          <w:b/>
        </w:rPr>
        <w:t>reliable prediction and ranking of unseen formulations</w:t>
      </w:r>
      <w:r>
        <w:rPr>
          <w:rFonts w:ascii="Times New Roman" w:hAnsi="Times New Roman"/>
        </w:rPr>
        <w:t>, not necessarily discovery of a formulation exceeding every historical maximum.</w:t>
      </w:r>
    </w:p>
    <w:p>
      <w:pPr>
        <w:spacing w:before="40" w:after="80"/>
        <w:pBdr>
          <w:bottom w:val="single" w:sz="4" w:space="1" w:color="B7B7B7"/>
        </w:pBdr>
      </w:pPr>
    </w:p>
    <w:p>
      <w:pPr>
        <w:pStyle w:val="Heading1"/>
      </w:pPr>
      <w:r>
        <w:rPr>
          <w:rFonts w:ascii="Times New Roman" w:hAnsi="Times New Roman"/>
        </w:rPr>
        <w:t>11. Wet-Lab Feasibility Constraints</w:t>
      </w:r>
    </w:p>
    <w:p>
      <w:r>
        <w:rPr>
          <w:rFonts w:ascii="Times New Roman" w:hAnsi="Times New Roman"/>
        </w:rPr>
        <w:t>Candidate formulations must remain experimentally feasible.</w:t>
      </w:r>
    </w:p>
    <w:p>
      <w:r>
        <w:rPr>
          <w:rFonts w:ascii="Times New Roman" w:hAnsi="Times New Roman"/>
        </w:rPr>
        <w:t>Typical constraints include:</w:t>
      </w:r>
    </w:p>
    <w:p>
      <w:pPr>
        <w:pStyle w:val="ListBullet"/>
        <w:spacing w:after="30"/>
        <w:ind w:left="360" w:hanging="216"/>
      </w:pPr>
      <w:r>
        <w:rPr>
          <w:rFonts w:ascii="Times New Roman" w:hAnsi="Times New Roman"/>
        </w:rPr>
        <w:t>lipid components approximately sum to 100 mol%;</w:t>
      </w:r>
    </w:p>
    <w:p>
      <w:pPr>
        <w:pStyle w:val="ListBullet"/>
        <w:spacing w:after="30"/>
        <w:ind w:left="360" w:hanging="216"/>
      </w:pPr>
      <w:r>
        <w:rPr>
          <w:rFonts w:ascii="Times New Roman" w:hAnsi="Times New Roman"/>
        </w:rPr>
        <w:t>PEG-lipid fraction remains within the experimentally supported range;</w:t>
      </w:r>
    </w:p>
    <w:p>
      <w:pPr>
        <w:pStyle w:val="ListBullet"/>
        <w:spacing w:after="30"/>
        <w:ind w:left="360" w:hanging="216"/>
      </w:pPr>
      <w:r>
        <w:rPr>
          <w:rFonts w:ascii="Times New Roman" w:hAnsi="Times New Roman"/>
        </w:rPr>
        <w:t>total ionizable-lipid fraction remains within the explored range;</w:t>
      </w:r>
    </w:p>
    <w:p>
      <w:pPr>
        <w:pStyle w:val="ListBullet"/>
        <w:spacing w:after="30"/>
        <w:ind w:left="360" w:hanging="216"/>
      </w:pPr>
      <w:r>
        <w:rPr>
          <w:rFonts w:ascii="Times New Roman" w:hAnsi="Times New Roman"/>
        </w:rPr>
        <w:t>helper-lipid and cholesterol fractions remain compatible with formulation preparation;</w:t>
      </w:r>
    </w:p>
    <w:p>
      <w:pPr>
        <w:pStyle w:val="ListBullet"/>
        <w:spacing w:after="30"/>
        <w:ind w:left="360" w:hanging="216"/>
      </w:pPr>
      <w:r>
        <w:rPr>
          <w:rFonts w:ascii="Times New Roman" w:hAnsi="Times New Roman"/>
        </w:rPr>
        <w:t>candidate lipids are restricted to reagents available in-house;</w:t>
      </w:r>
    </w:p>
    <w:p>
      <w:pPr>
        <w:pStyle w:val="ListBullet"/>
        <w:spacing w:after="30"/>
        <w:ind w:left="360" w:hanging="216"/>
      </w:pPr>
      <w:r>
        <w:rPr>
          <w:rFonts w:ascii="Times New Roman" w:hAnsi="Times New Roman"/>
        </w:rPr>
        <w:t>particle size and PDI are evaluated as QC criteria before inclusion in modeling.</w:t>
      </w:r>
    </w:p>
    <w:p>
      <w:r>
        <w:rPr>
          <w:rFonts w:ascii="Times New Roman" w:hAnsi="Times New Roman"/>
        </w:rPr>
        <w:t>Exact QC thresholds and preprocessing rules are defined in the publication modeling pipeline.</w:t>
      </w:r>
    </w:p>
    <w:p>
      <w:pPr>
        <w:spacing w:before="40" w:after="80"/>
        <w:pBdr>
          <w:bottom w:val="single" w:sz="4" w:space="1" w:color="B7B7B7"/>
        </w:pBdr>
      </w:pPr>
    </w:p>
    <w:p>
      <w:pPr>
        <w:pStyle w:val="Heading1"/>
      </w:pPr>
      <w:r>
        <w:rPr>
          <w:rFonts w:ascii="Times New Roman" w:hAnsi="Times New Roman"/>
        </w:rPr>
        <w:t>12. Conceptual Summary</w:t>
      </w:r>
    </w:p>
    <w:p>
      <w:r>
        <w:rPr>
          <w:rFonts w:ascii="Times New Roman" w:hAnsi="Times New Roman"/>
        </w:rPr>
        <w:t>The experimental strategy can be summarized as:</w:t>
      </w:r>
    </w:p>
    <w:p>
      <w:pPr>
        <w:spacing w:before="60" w:after="120"/>
        <w:ind w:left="288"/>
      </w:pPr>
      <w:r>
        <w:rPr>
          <w:rFonts w:ascii="Consolas" w:hAnsi="Consolas"/>
          <w:sz w:val="17"/>
        </w:rPr>
        <w:t>Prior formulation knowledge</w:t>
        <w:br/>
        <w:t xml:space="preserve">        ↓</w:t>
        <w:br/>
        <w:t>R1 — Broad exploration</w:t>
        <w:br/>
        <w:t xml:space="preserve">        ↓</w:t>
        <w:br/>
        <w:t>Experimental feedback + model learning</w:t>
        <w:br/>
        <w:t xml:space="preserve">        ↓</w:t>
        <w:br/>
        <w:t>R2 — Space expansion + early refinement</w:t>
        <w:br/>
        <w:t xml:space="preserve">        ↓</w:t>
        <w:br/>
        <w:t>Experimental feedback + model updating</w:t>
        <w:br/>
        <w:t xml:space="preserve">        ↓</w:t>
        <w:br/>
        <w:t>R3 — Focused refinement of high-response regions</w:t>
        <w:br/>
        <w:t xml:space="preserve">        ↓</w:t>
        <w:br/>
        <w:t>Experimental feedback + model updating</w:t>
        <w:br/>
        <w:t xml:space="preserve">        ↓</w:t>
        <w:br/>
        <w:t>R4 — Exploit + Explore + Validate/Calibration</w:t>
        <w:br/>
        <w:t xml:space="preserve">        ↓</w:t>
        <w:br/>
        <w:t>Final R1–R4 model (104 QC-passed formulations)</w:t>
        <w:br/>
        <w:t xml:space="preserve">        ↓</w:t>
        <w:br/>
        <w:t>Freeze model and preprocessing</w:t>
        <w:br/>
        <w:t xml:space="preserve">        ↓</w:t>
        <w:br/>
        <w:t>Prospective prediction of 10–15 unseen formulations</w:t>
        <w:br/>
        <w:t xml:space="preserve">        ↓</w:t>
        <w:br/>
        <w:t>Experimental validation</w:t>
      </w:r>
    </w:p>
    <w:p>
      <w:r>
        <w:rPr>
          <w:rFonts w:ascii="Times New Roman" w:hAnsi="Times New Roman"/>
        </w:rPr>
        <w:t xml:space="preserve">Conceptually, the successive rounds are analogous to placing sparse experimental </w:t>
      </w:r>
      <w:r>
        <w:rPr>
          <w:rFonts w:ascii="Times New Roman" w:hAnsi="Times New Roman"/>
          <w:b/>
        </w:rPr>
        <w:t>survey points</w:t>
      </w:r>
      <w:r>
        <w:rPr>
          <w:rFonts w:ascii="Times New Roman" w:hAnsi="Times New Roman"/>
        </w:rPr>
        <w:t xml:space="preserve"> in an initially uncertain formulation landscape. Each round adds information that makes the response landscape clearer, allowing later experiments to be placed more deliberately while still preserving exploration of poorly characterized regions.</w:t>
      </w:r>
    </w:p>
    <w:p>
      <w:pPr>
        <w:spacing w:before="40" w:after="80"/>
        <w:pBdr>
          <w:bottom w:val="single" w:sz="4" w:space="1" w:color="B7B7B7"/>
        </w:pBdr>
      </w:pPr>
    </w:p>
    <w:p>
      <w:pPr>
        <w:pStyle w:val="Heading1"/>
      </w:pPr>
      <w:r>
        <w:rPr>
          <w:rFonts w:ascii="Times New Roman" w:hAnsi="Times New Roman"/>
        </w:rPr>
        <w:t>13. Relationship to Other Repository Documentation</w:t>
      </w:r>
    </w:p>
    <w:p>
      <w:r>
        <w:rPr>
          <w:rFonts w:ascii="Times New Roman" w:hAnsi="Times New Roman"/>
        </w:rPr>
        <w:t xml:space="preserve">This file documents </w:t>
      </w:r>
      <w:r>
        <w:rPr>
          <w:rFonts w:ascii="Times New Roman" w:hAnsi="Times New Roman"/>
          <w:b/>
        </w:rPr>
        <w:t>experimental formulation selection and round-by-round design logic</w:t>
      </w:r>
      <w:r>
        <w:rPr>
          <w:rFonts w:ascii="Times New Roman" w:hAnsi="Times New Roman"/>
        </w:rPr>
        <w:t>.</w:t>
      </w:r>
    </w:p>
    <w:p>
      <w:r>
        <w:rPr>
          <w:rFonts w:ascii="Times New Roman" w:hAnsi="Times New Roman"/>
        </w:rPr>
        <w:t>It should not duplicate the full modeling README.</w:t>
      </w:r>
    </w:p>
    <w:p>
      <w:r>
        <w:rPr>
          <w:rFonts w:ascii="Times New Roman" w:hAnsi="Times New Roman"/>
        </w:rPr>
        <w:t>Recommended documentation structure:</w:t>
      </w:r>
    </w:p>
    <w:p>
      <w:pPr>
        <w:spacing w:before="60" w:after="120"/>
        <w:ind w:left="288"/>
      </w:pPr>
      <w:r>
        <w:rPr>
          <w:rFonts w:ascii="Consolas" w:hAnsi="Consolas"/>
          <w:sz w:val="17"/>
        </w:rPr>
        <w:t>README.md</w:t>
        <w:br/>
        <w:t>└── project overview and links</w:t>
        <w:br/>
        <w:br/>
        <w:t>docs/</w:t>
        <w:br/>
        <w:t>├── experimental_design/</w:t>
        <w:br/>
        <w:t>│   └── iterative_formulation_design.md   ← this file</w:t>
        <w:br/>
        <w:t>│</w:t>
        <w:br/>
        <w:t>└── modeling/</w:t>
        <w:br/>
        <w:t xml:space="preserve">    └── publication_modeling_README.md    ← model training, features, CV, metrics</w:t>
        <w:br/>
        <w:br/>
        <w:t>results/</w:t>
        <w:br/>
        <w:t>└── model outputs, figures, and prospective-validation results</w:t>
      </w:r>
    </w:p>
    <w:p>
      <w:r>
        <w:rPr>
          <w:rFonts w:ascii="Times New Roman" w:hAnsi="Times New Roman"/>
        </w:rPr>
        <w:t xml:space="preserve">This separation keeps the repository reproducible while making it clear which decisions belong to </w:t>
      </w:r>
      <w:r>
        <w:rPr>
          <w:rFonts w:ascii="Times New Roman" w:hAnsi="Times New Roman"/>
          <w:b/>
        </w:rPr>
        <w:t>experimental design</w:t>
      </w:r>
      <w:r>
        <w:rPr>
          <w:rFonts w:ascii="Times New Roman" w:hAnsi="Times New Roman"/>
        </w:rPr>
        <w:t xml:space="preserve"> and which belong to </w:t>
      </w:r>
      <w:r>
        <w:rPr>
          <w:rFonts w:ascii="Times New Roman" w:hAnsi="Times New Roman"/>
          <w:b/>
        </w:rPr>
        <w:t>final statistical/model evaluation</w:t>
      </w:r>
      <w:r>
        <w:rPr>
          <w:rFonts w:ascii="Times New Roman" w:hAnsi="Times New Roman"/>
        </w:rPr>
        <w:t>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6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Iterative LNP Formulation Design</dc:title>
  <dc:subject>Experimental design logic for R1-R4 LNP formulation optimization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