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driven_lnp_formulation_optimiz_f7d1d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AI-Driven LNP Formulation Optimization — Algorithm &amp; Reproducibility README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Purpose:</w:t>
      </w:r>
      <w:r>
        <w:rPr>
          <w:rFonts w:eastAsia="source serif 4" w:cs="source serif 4" w:ascii="source serif 4" w:hAnsi="source serif 4"/>
          <w:color w:val="000000"/>
        </w:rPr>
        <w:t xml:space="preserve"> This document describes the computational strategy, algorithms, and software implementation used across four rounds of lipid nanoparticle (LNP) formulation optimization. A reader with basic Python experience should be able to reproduce the full pipeline from scratch.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uses an </w:t>
      </w:r>
      <w:r>
        <w:rPr>
          <w:rFonts w:eastAsia="source serif 4" w:cs="source serif 4" w:ascii="source serif 4" w:hAnsi="source serif 4"/>
          <w:b/>
          <w:color w:val="000000"/>
        </w:rPr>
        <w:t xml:space="preserve">iterative active learning</w:t>
      </w:r>
      <w:r>
        <w:rPr>
          <w:rFonts w:eastAsia="source serif 4" w:cs="source serif 4" w:ascii="source serif 4" w:hAnsi="source serif 4"/>
          <w:color w:val="000000"/>
        </w:rPr>
        <w:t xml:space="preserve"> framework to optimize LNP transfection efficiency in DC2.4 dendritic cells. Rather than exhaustively screening all possible formulations, a machine learning surrogate model (TabPFN) is trained on experimental data after each round, then used to predict and prioritize the next batch of candidates — dramatically reducing the number of wet-lab experiments required.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Total experimental budget:</w:t>
      </w:r>
      <w:r>
        <w:rPr>
          <w:rFonts w:eastAsia="source serif 4" w:cs="source serif 4" w:ascii="source serif 4" w:hAnsi="source serif 4"/>
          <w:color w:val="000000"/>
        </w:rPr>
        <w:t xml:space="preserve"> ~135 formulations across 4 rounds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Estimated efficiency gain:</w:t>
      </w:r>
      <w:r>
        <w:rPr>
          <w:rFonts w:eastAsia="source serif 4" w:cs="source serif 4" w:ascii="source serif 4" w:hAnsi="source serif 4"/>
          <w:color w:val="000000"/>
        </w:rPr>
        <w:t xml:space="preserve"> ~3× vs. random screening at equivalent sample size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Primary readout:</w:t>
      </w:r>
      <w:r>
        <w:rPr>
          <w:rFonts w:eastAsia="source serif 4" w:cs="source serif 4" w:ascii="source serif 4" w:hAnsi="source serif 4"/>
          <w:color w:val="000000"/>
        </w:rPr>
        <w:t xml:space="preserve"> DC2.4 cell transfection efficiency (RLU), normalized within each plate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Secondary readout (Round 4 onwards):</w:t>
      </w:r>
      <w:r>
        <w:rPr>
          <w:rFonts w:eastAsia="source serif 4" w:cs="source serif 4" w:ascii="source serif 4" w:hAnsi="source serif 4"/>
          <w:color w:val="000000"/>
        </w:rPr>
        <w:t xml:space="preserve"> HaCaT cell transfection efficiency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formulation_space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Formulation Space Definition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LNP formulation is defined by the following variables: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Range / Options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Ionizable Lipid 1 (IL1)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MC3, ALC-0315, SM102, C12-200, CCK12 (CKK-E12), DOTAP, DODAP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IL1 mol%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5–55%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Ionizable Lipid 2 (IL2)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palette as IL1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IL2 mol%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5–55%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Ionizable Lipid (TIL)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20–67% (IL1 + IL2)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Phospholipid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DOPE, DSPC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Phospholipid mol%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Cholesterol mol%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0–58%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PEG Lipid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DMG-PEG2000, C14-PEG, PEG-Mannose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PEG mol%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1.0–4.0%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Constraint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Mixture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components sum to ~100 mol%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round_by_round_algorithm_descrip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Round-by-Round Algorithm Description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round_1_d_optimal_global_coverage_n_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1 — D-Optimal Global Coverage (n = 36)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Algorithm:</w:t>
      </w:r>
      <w:r>
        <w:rPr>
          <w:rFonts w:eastAsia="source serif 4" w:cs="source serif 4" w:ascii="source serif 4" w:hAnsi="source serif 4"/>
          <w:color w:val="000000"/>
        </w:rPr>
        <w:t xml:space="preserve"> D-Optimal experimental design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Goal:</w:t>
      </w:r>
      <w:r>
        <w:rPr>
          <w:rFonts w:eastAsia="source serif 4" w:cs="source serif 4" w:ascii="source serif 4" w:hAnsi="source serif 4"/>
          <w:color w:val="000000"/>
        </w:rPr>
        <w:t xml:space="preserve"> Identify parameter boundaries; establish initial training set with maximum information content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D-Optimal design selects the set of experimental points that maximizes the determinant of the Fisher information matrix </w:t>
      </w:r>
      <m:oMath>
        <m:r>
          <m:rPr>
            <m:sty m:val="p"/>
          </m:rPr>
          <w:rPr>
            <w:color w:val="000000"/>
          </w:rPr>
          <m:t>det</m:t>
        </m:r>
        <m:r>
          <m:rPr>
            <m:sty m:val="p"/>
          </m:rPr>
          <w:rPr>
            <w:color w:val="000000"/>
          </w:rPr>
          <m:t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b"/>
              </m:rPr>
              <w:rPr>
                <w:color w:val="000000"/>
              </w:rPr>
              <m:t>X</m:t>
            </m:r>
          </m:e>
          <m:sup>
            <m:r>
              <m:rPr>
                <m:sty m:val="i"/>
              </m:rPr>
              <w:rPr>
                <w:color w:val="000000"/>
              </w:rPr>
              <m:t>T</m:t>
            </m:r>
          </m:sup>
        </m:sSup>
        <m:r>
          <m:rPr>
            <m:sty m:val="b"/>
          </m:rPr>
          <w:rPr>
            <w:color w:val="000000"/>
          </w:rPr>
          <m:t>X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. This is preferred over pure random sampling or Latin Hypercube Sampling (LHS) because the formulation space contains a mixture of categorical variables (lipid identity, PEG type) and mixture-constrained continuous variables (mol% sum ≈ 100%), which LHS does not handle efficiently.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outputs from Round 1: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SM102 identified as core active ionizable lipid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DOPE identified as superior phospholipid vs. DSPC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Initial signal: SM102+SM102 (R1-17) and ALC-0315+SM102 (R1-26) show highest normalized efficiency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Design tool: manual D-optimal grid construction</w:t>
        <w:br/>
        <w:t xml:space="preserve">Constraints enforced: component sum ≈ 100 mol%</w:t>
        <w:br/>
        <w:t xml:space="preserve">Coverage: all 7 IL types represented in pairwise combinations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round_2_semi_focused_space_expans_3f5a0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2 — Semi-Focused Space Expansion (n = 40–45)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Algorithm:</w:t>
      </w:r>
      <w:r>
        <w:rPr>
          <w:rFonts w:eastAsia="source serif 4" w:cs="source serif 4" w:ascii="source serif 4" w:hAnsi="source serif 4"/>
          <w:color w:val="000000"/>
        </w:rPr>
        <w:t xml:space="preserve"> Directed combinatorial expansion (human-in-the-loop)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Goal:</w:t>
      </w:r>
      <w:r>
        <w:rPr>
          <w:rFonts w:eastAsia="source serif 4" w:cs="source serif 4" w:ascii="source serif 4" w:hAnsi="source serif 4"/>
          <w:color w:val="000000"/>
        </w:rPr>
        <w:t xml:space="preserve"> Introduce new chemical components; explore concentration gradients systematically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Round 2 is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a local perturbation of Round 1. It introduces previously untested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 ionizable lipid: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CCK12 (CKK-E12)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 PEG variants: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PEG-Mannose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C14-PEG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Concentration gradients systematically swept: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DOPE: 5%, 15%, 25%, 35%, 50%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Cholesterol: 0%, 12.5%, 19.25%, 25.5%, 32%, 38.5%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IL ratio: 20–67%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outputs from Round 2: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CCK12+SM102 and C12-200+SM102 confirmed as dominant IL combinations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DOPE 15% identified as a "sweet spot" (mean normalized efficiency 0.871 vs. 0.148 at 5%)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DMG-PEG2000 confirmed as optimal PEG type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8 formulations all have PDI ≤ 0.4 and particle size ≤ 200 nm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ound_3_tabpfn_active_learning_mo_3811d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3 — TabPFN Active Learning, Modular Optimization (n = 26)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Algorithm:</w:t>
      </w:r>
      <w:r>
        <w:rPr>
          <w:rFonts w:eastAsia="source serif 4" w:cs="source serif 4" w:ascii="source serif 4" w:hAnsi="source serif 4"/>
          <w:color w:val="000000"/>
        </w:rPr>
        <w:t xml:space="preserve"> TabPFN surrogate model + UCB acquisition function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Training data:</w:t>
      </w:r>
      <w:r>
        <w:rPr>
          <w:rFonts w:eastAsia="source serif 4" w:cs="source serif 4" w:ascii="source serif 4" w:hAnsi="source serif 4"/>
          <w:color w:val="000000"/>
        </w:rPr>
        <w:t xml:space="preserve"> R1 + R2 combined (n = 81)</w:t>
      </w:r>
    </w:p>
    <w:p>
      <w:pPr>
        <w:spacing w:line="360" w:before="315" w:after="105" w:lineRule="auto"/>
        <w:ind w:left="-30"/>
        <w:jc w:val="left"/>
      </w:pPr>
      <w:bookmarkStart w:id="7" w:name="why_tabpf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TabPFN?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TabPFN (Tabular Prior-Data Fitted Networks) is a transformer-based model pre-trained on synthetic tabular datasets, enabling strong few-shot regression without hyperparameter tuning. At n ≈ 81 training points across ~10 features, TabPFN achieves R² ≈ 0.65 and Spearman ρ ≈ 0.81 — outperforming CatBoost and Random Forest at this sample size.</w:t>
      </w:r>
    </w:p>
    <w:p>
      <w:pPr>
        <w:spacing w:line="360" w:before="315" w:after="105" w:lineRule="auto"/>
        <w:ind w:left="-30"/>
        <w:jc w:val="left"/>
      </w:pPr>
      <w:bookmarkStart w:id="8" w:name="active_learning_loo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Active Learning Loop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Train TabPFN on all available data (R1 + R2)</w:t>
        <w:br/>
        <w:t xml:space="preserve">2. Generate candidate pool (~3,000 formulations, grid over parameter space)</w:t>
        <w:br/>
        <w:t xml:space="preserve">3. Predict mean and uncertainty for each candidate</w:t>
        <w:br/>
        <w:t xml:space="preserve">4. Score candidates by UCB = μ_predicted + β × σ_predicted  (β = 0.5)</w:t>
        <w:br/>
        <w:t xml:space="preserve">5. Select top candidates, organize into functional modules</w:t>
        <w:br/>
        <w:t xml:space="preserve">6. Run experiments, add results to training set → repeat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UCB acquisition function balances </w:t>
      </w:r>
      <w:r>
        <w:rPr>
          <w:rFonts w:eastAsia="source serif 4" w:cs="source serif 4" w:ascii="source serif 4" w:hAnsi="source serif 4"/>
          <w:b/>
          <w:color w:val="000000"/>
        </w:rPr>
        <w:t xml:space="preserve">exploitation</w:t>
      </w:r>
      <w:r>
        <w:rPr>
          <w:rFonts w:eastAsia="source serif 4" w:cs="source serif 4" w:ascii="source serif 4" w:hAnsi="source serif 4"/>
          <w:color w:val="000000"/>
        </w:rPr>
        <w:t xml:space="preserve"> (high predicted efficiency) with </w:t>
      </w:r>
      <w:r>
        <w:rPr>
          <w:rFonts w:eastAsia="source serif 4" w:cs="source serif 4" w:ascii="source serif 4" w:hAnsi="source serif 4"/>
          <w:b/>
          <w:color w:val="000000"/>
        </w:rPr>
        <w:t xml:space="preserve">exploration</w:t>
      </w:r>
      <w:r>
        <w:rPr>
          <w:rFonts w:eastAsia="source serif 4" w:cs="source serif 4" w:ascii="source serif 4" w:hAnsi="source serif 4"/>
          <w:color w:val="000000"/>
        </w:rPr>
        <w:t xml:space="preserve"> (high model uncertainty), preventing premature convergence to a local optimum.</w:t>
      </w:r>
    </w:p>
    <w:p>
      <w:pPr>
        <w:spacing w:line="360" w:before="315" w:after="105" w:lineRule="auto"/>
        <w:ind w:left="-30"/>
        <w:jc w:val="left"/>
      </w:pPr>
      <w:bookmarkStart w:id="9" w:name="round_3_module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3 Module Structure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A: CCK12+SM102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ratio gradient × 2 DOPE concentrations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Systematic optimization of top combo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B: C12-200+SM102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Dense sampling near R2-19 and R2-28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Exploit two high-scoring (&gt;0.98) anchors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C: SM102+ALC-0315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Ratio exploration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R2-22 (0.955) shows unexploited potential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D: SM102 high-conc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Validation of high-TIL regime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R2-41 result (1.0) needs confirmation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E: Replicates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Reproduce R2-17, R2-28, R2-22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Reproducibility required for publication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outputs from Round 3: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R3-11 (C12-200+SM102, norm = 1.00) confirmed as all-time best DC formulation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DOPE 15% effect validated across multiple IL combinations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C12-200+SM102 family robustly outperforms at Chol 28–38.5%, DOPE 35%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round_4_rsm_exploitation_d_optima_82c3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4 — RSM Exploitation + D-Optimal Exploration + Validation (n = 30)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Algorithm:</w:t>
      </w:r>
      <w:r>
        <w:rPr>
          <w:rFonts w:eastAsia="source serif 4" w:cs="source serif 4" w:ascii="source serif 4" w:hAnsi="source serif 4"/>
          <w:color w:val="000000"/>
        </w:rPr>
        <w:t xml:space="preserve"> Three-block structured design (A: RSM / B: D-Optimal / C: Validate)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Training data:</w:t>
      </w:r>
      <w:r>
        <w:rPr>
          <w:rFonts w:eastAsia="source serif 4" w:cs="source serif 4" w:ascii="source serif 4" w:hAnsi="source serif 4"/>
          <w:color w:val="000000"/>
        </w:rPr>
        <w:t xml:space="preserve"> R1 + R2 + R3 combined (n ≈ 107), augmented with lance external dataset (n = 3,573, same DC cell line) via RankTransfer</w:t>
      </w:r>
    </w:p>
    <w:p>
      <w:pPr>
        <w:spacing w:line="360" w:before="315" w:after="105" w:lineRule="auto"/>
        <w:ind w:left="-30"/>
        <w:jc w:val="left"/>
      </w:pPr>
      <w:bookmarkStart w:id="11" w:name="block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Block Structure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Block A — Exploit (n = 12): Face-centered RSM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Response Surface Methodology sweep around the champion formulation (C12-200+SM102):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IL1:IL2 ratio sweep: 70:30 → 30:70 (5 points)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DOPE mol% sweep: 10%, 15%, 20%, 40%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Cholesterol fine sweep: 29.5%, 38.5%, 45%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CKK-E12/SM102 mirror formulation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Block B — Explore (n = 12): D-Optimal / Maximin space-filling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Greedy maximin algorithm seeded with two high-performing lance dataset regimes: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Regime i: high cholesterol (~47%), low PEG (~1%)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Regime ii: high phospholipid (~50%), low cholesterol (~12.5%)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new point is chosen to maximize the minimum distance to all existing points in the normalized feature space, ensuring maximum information gain in undersampled regions.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Block C — Validate (n = 6): Reproducibility and transfer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Replicates of R3-11 (best DC) and R3-09 (2nd best)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Transfer of lance global champion onto local lipid palette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Best CKK-E12 arm replicate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boundary/extrapolation probe (model-disagreement point)</w:t>
      </w:r>
    </w:p>
    <w:p>
      <w:pPr>
        <w:spacing w:line="360" w:before="315" w:after="105" w:lineRule="auto"/>
        <w:ind w:left="-30"/>
        <w:jc w:val="left"/>
      </w:pPr>
      <w:bookmarkStart w:id="12" w:name="key_finding_from_round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Finding from Round 4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DC2.4 and HaCaT cells show </w:t>
      </w:r>
      <w:r>
        <w:rPr>
          <w:rFonts w:eastAsia="source serif 4" w:cs="source serif 4" w:ascii="source serif 4" w:hAnsi="source serif 4"/>
          <w:b/>
          <w:color w:val="000000"/>
        </w:rPr>
        <w:t xml:space="preserve">divergent responses</w:t>
      </w:r>
      <w:r>
        <w:rPr>
          <w:rFonts w:eastAsia="source serif 4" w:cs="source serif 4" w:ascii="source serif 4" w:hAnsi="source serif 4"/>
          <w:color w:val="000000"/>
        </w:rPr>
        <w:t xml:space="preserve"> to C12-200:SM102 ratio (Spearman ρ = 0.199, p = 0.30):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DC2.4 favors high C12-200 fraction (70:30 ratio)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HaCaT favors high SM102 fraction (30:70 ratio)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demonstrates a </w:t>
      </w:r>
      <w:r>
        <w:rPr>
          <w:rFonts w:eastAsia="source serif 4" w:cs="source serif 4" w:ascii="source serif 4" w:hAnsi="source serif 4"/>
          <w:b/>
          <w:color w:val="000000"/>
        </w:rPr>
        <w:t xml:space="preserve">cell-type-selective formulation window</w:t>
      </w:r>
      <w:r>
        <w:rPr>
          <w:rFonts w:eastAsia="source serif 4" w:cs="source serif 4" w:ascii="source serif 4" w:hAnsi="source serif 4"/>
          <w:color w:val="000000"/>
        </w:rPr>
        <w:t xml:space="preserve"> — a key mechanistic finding supporting DC-targeted LNP design.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oftware_imple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Software Implementation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instal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Installation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tabpfn scikit-learn pandas numpy openpyxl scipy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GPU acceleration (optional):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tabpfn[gpu]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required_python_ver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Required Python Version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Python ≥ 3.8 recommended. Tested on 3.9 and 3.10.</w:t>
      </w:r>
    </w:p>
    <w:p>
      <w:pPr>
        <w:spacing w:line="360" w:before="315" w:after="105" w:lineRule="auto"/>
        <w:ind w:left="-30"/>
        <w:jc w:val="left"/>
      </w:pPr>
      <w:bookmarkStart w:id="16" w:name="core_dependenc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Dependencies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tabpfn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0.1.9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Surrogate regression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scikit-learn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Label encoding, cross-validation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pandas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loading and manipulation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numpy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1.21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Numerical operations, UCB scoring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openpyxl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Excel file I/O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scipy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Spearman correlation, statistical tests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feature_enginee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Feature Engineering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formulation is encoded as a 13-dimensional feature vector: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feature_cols =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'IL1_encoded'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LabelEncoded categorical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'IL1_Mol_Percent'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'IL2_encoded'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LabelEncoded categorical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'IL2_Mol_Percent'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'Phospholipid_encoded'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LabelEncoded categorical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'Phospholipid_Mol_Percent'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'Cholesterol_Mol_Percent'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'PEG_encoded'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LabelEncoded categorical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'PEG_Mol_Percent'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'Total_IL_Mol_Ratio'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continuous (IL1% + IL2%)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'IL_ratio'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IL1% / (IL2% + 0.01)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'DOPE_flag'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binary (1 if DOPE, 0 if DSPC)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'Chol_DOPE_interact'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Cholesterol_Mol_Percent × DOPE_flag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Label encoders are fit on the full lipid/PEG palette (all 7 ILs, 2 phospholipids, 3 PEG types) before splitting train/test, ensuring consistent encoding across rounds.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tabpfn_trai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TabPFN Training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tabpfn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TabPFNRegressor</w:t>
        <w:br/>
        <w:t xml:space="preserve"/>
        <w:br/>
        <w:t xml:space="preserve">model = TabPFNRegressor(device=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'cpu'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n_estimators=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model.fit(X_train, y_train)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 = normalized DC transfection efficiency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TabPFN requires n_samples ≤ 1024 and n_features ≤ 100; both constraints are satisfied here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hyperparameter tuning needed — this is the primary advantage for small-n settings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device='cuda'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a GPU is available for faster inference over large candidate pools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ucb_active_learning_sel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UCB Active Learning Selection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ucb_select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model, candidates_df, n_select=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beta=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X_cand = prepare_features(candidates_df)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Estimate uncertainty via ensemble predictions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pred_list = [model.predict(X_cand)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pred_mean = np.mean(pred_list, axis=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pred_std  = np.std(pred_list, axis=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UCB 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ucb = pred_mean + beta * pred_std</w:t>
        <w:br/>
        <w:t xml:space="preserve">    </w:t>
        <w:br/>
        <w:t xml:space="preserve">    candidates_df[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'pred_mean'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pred_mean</w:t>
        <w:br/>
        <w:t xml:space="preserve">    candidates_df[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'pred_std'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= pred_std</w:t>
        <w:br/>
        <w:t xml:space="preserve">    candidates_df[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'ucb_score'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ucb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candidates_df.nlargest(n_select,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'ucb_score'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Parameter guidance: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beta = 0.5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balances exploitation vs. exploration (increase to explore more aggressively)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n_estimators = 10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uncertainty estimation is sufficient; increase for stability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candidate_pool_gene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Candidate Pool Generation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generate_candidates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Generate ~3,000 candidate formulations satisfying:</w:t>
        <w:br/>
        <w:t xml:space="preserve">    - Component sum = 100 mol% (±2%)</w:t>
        <w:br/>
        <w:t xml:space="preserve">    - PEG: 1.0–4.0%</w:t>
        <w:br/>
        <w:t xml:space="preserve">    - Total IL: 20–67%</w:t>
        <w:br/>
        <w:t xml:space="preserve">    - Phospholipid: 5–50%</w:t>
        <w:br/>
        <w:t xml:space="preserve">    - Cholesterol: 0–58%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lipid_combos =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'CCK12'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'SM102'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'C12-200'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'SM102'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'SM102'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'ALC-0315'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'C12-200'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'CCK12'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</w:t>
        <w:br/>
        <w:t xml:space="preserve">    il_ratios       =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phospho_configs =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chol_levels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19.25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38.5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peg_configs     =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'DMG-PEG2000'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'DMG-PEG2000'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'PEG-Mannose'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</w:t>
        <w:br/>
        <w:t xml:space="preserve">    candidates =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il1, il2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lipid_combos: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il1p, il2p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il_ratios: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pl, plp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phospho_configs: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chol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chol_levels: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peg, pegp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peg_configs:</w:t>
        <w:br/>
        <w:t xml:space="preserve">                        total = il1p + il2p + plp + chol + pegp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&lt;= total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                candidates.append({...})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pd.DataFrame(candidates)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inter_plate_normalization_critic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Inter-Plate Normalization (Critical)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Raw RLU values </w:t>
      </w:r>
      <w:r>
        <w:rPr>
          <w:rFonts w:eastAsia="source serif 4" w:cs="source serif 4" w:ascii="source serif 4" w:hAnsi="source serif 4"/>
          <w:b/>
          <w:color w:val="000000"/>
        </w:rPr>
        <w:t xml:space="preserve">cannot be compared directly across rounds</w:t>
      </w:r>
      <w:r>
        <w:rPr>
          <w:rFonts w:eastAsia="source serif 4" w:cs="source serif 4" w:ascii="source serif 4" w:hAnsi="source serif 4"/>
          <w:color w:val="000000"/>
        </w:rPr>
        <w:t xml:space="preserve"> due to inter-plate variability. Normalize within each plate before cross-round analysis: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Within each experimental plate: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'log_TE'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np.log10(df[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'DC_Transfection_Efficiency'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].clip(lower=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plate_max     = 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'log_TE'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plate_min     = 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'log_TE'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theoretical minimum (log of lowest observed)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'normalized_TE'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(df[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'log_TE'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- plate_min) / (plate_max - plate_min)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Evidence for necessity:</w:t>
      </w:r>
      <w:r>
        <w:rPr>
          <w:rFonts w:eastAsia="source serif 4" w:cs="source serif 4" w:ascii="source serif 4" w:hAnsi="source serif 4"/>
          <w:color w:val="000000"/>
        </w:rPr>
        <w:t xml:space="preserve"> Replicates of R3-11 (raw RLU ~156,000 in Round 3) measured ~5,300 in Round 4 — a 30× difference attributable entirely to inter-plate variation. All cross-round comparisons in this study use normalized values.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reproducing_the_full_pip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Reproducing the Full Pipeline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 1: Install dependencies</w:t>
        <w:br/>
        <w:t xml:space="preserve">        pip install tabpfn scikit-learn pandas numpy openpyxl scipy</w:t>
        <w:br/>
        <w:t xml:space="preserve"/>
        <w:br/>
        <w:t xml:space="preserve">Step 2: Load and merge data from all rounds</w:t>
        <w:br/>
        <w:t xml:space="preserve">        → Use All-100-DATA-in-same-log-value.xlsx (R1–R3)</w:t>
        <w:br/>
        <w:t xml:space="preserve">        → Use 4rd-round-LNP_Design_Batch_30.xlsx (R4)</w:t>
        <w:br/>
        <w:t xml:space="preserve"/>
        <w:br/>
        <w:t xml:space="preserve">Step 3: Apply inter-plate normalization (see above)</w:t>
        <w:br/>
        <w:t xml:space="preserve"/>
        <w:br/>
        <w:t xml:space="preserve">Step 4: Run feature engineering (LabelEncode categoricals, add interaction terms)</w:t>
        <w:br/>
        <w:t xml:space="preserve"/>
        <w:br/>
        <w:t xml:space="preserve">Step 5: Train TabPFN on all available normalized data</w:t>
        <w:br/>
        <w:t xml:space="preserve"/>
        <w:br/>
        <w:t xml:space="preserve">Step 6: Generate candidate pool (~3,000 formulations)</w:t>
        <w:br/>
        <w:t xml:space="preserve"/>
        <w:br/>
        <w:t xml:space="preserve">Step 7: Run UCB active learning selection (beta=0.5, n_select=15–30)</w:t>
        <w:br/>
        <w:t xml:space="preserve"/>
        <w:br/>
        <w:t xml:space="preserve">Step 8: Organize selected candidates into Exploit / Explore / Validate blocks</w:t>
        <w:br/>
        <w:t xml:space="preserve">        → ~50–60% Exploit (RSM around current champion)</w:t>
        <w:br/>
        <w:t xml:space="preserve">        → ~30–40% Explore (D-optimal / maximin space-filling)</w:t>
        <w:br/>
        <w:t xml:space="preserve">        → ~10–15% Validate (replicates of top candidates)</w:t>
        <w:br/>
        <w:t xml:space="preserve"/>
        <w:br/>
        <w:t xml:space="preserve">Step 9: Run experiments, collect data, return to Step 2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data_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Files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All-100-DATA-in-same-log-value.xlsx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formulations + DC transfection + physicochemical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R1, R2, R3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4rd-round-LNP_Design_Batch_30.xlsx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formulations with DC + HaCaT readouts + design rationale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Fu-Ben-LNP_Round3_Shi-Yan-She-Ji-_TabPFNCe-Lue-_5.xlsx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Round 3 design rationale, TabPFN code template, weighing calculations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R3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Round4_Recommendations.csv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Computer-generated Round 4 candidate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R4 pre-experiment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experimental_constraints_wet_lab_c5614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Experimental Constraints (Wet-Lab Ready Formulations Only)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algorithmically generated candidates are filtered to ensure wet-lab feasibility: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Component sum: 98–102 mol%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PEG lipid: 1.0–4.0 mol%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ionizable lipid: 20–67 mol%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Phospholipid: 5–50 mol%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Cholesterol: 0–58 mol%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Particle size target: &lt; 200 nm (PDI &lt; 0.4 preferred)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Lipid palette restricted to reagents available in-house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ci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Citation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using this pipeline, please cite the original LNP dataset (lance, n = 3,573) used as prior knowledge for RankTransfer and surrogate model initialization, and the TabPFN paper: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Hollmann, N., Müller, S., Eggensperger, K., &amp; Hutter, F. (2022). TabPFN: A Transformer That Solves Small Tabular Classification Problems in a Second. </w:t>
      </w:r>
      <w:r>
        <w:rPr>
          <w:rFonts w:eastAsia="source serif 4" w:cs="source serif 4" w:ascii="source serif 4" w:hAnsi="source serif 4"/>
          <w:i/>
          <w:color w:val="000000"/>
        </w:rPr>
        <w:t xml:space="preserve">ICLR 2023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2026-06-19T13:35:01.576Z</dcterms:created>
  <dcterms:modified xsi:type="dcterms:W3CDTF">2026-06-19T13:35:01.576Z</dcterms:modified>
</cp:coreProperties>
</file>