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9ADF4" w14:textId="0F75E857" w:rsidR="00B11067" w:rsidRPr="004C0619" w:rsidRDefault="001E227D" w:rsidP="001E227D">
      <w:pPr>
        <w:jc w:val="center"/>
        <w:rPr>
          <w:rFonts w:ascii="Times New Roman" w:hAnsi="Times New Roman" w:cs="Times New Roman"/>
          <w:sz w:val="24"/>
        </w:rPr>
      </w:pPr>
      <w:r w:rsidRPr="004C0619">
        <w:rPr>
          <w:rFonts w:ascii="Times New Roman" w:hAnsi="Times New Roman" w:cs="Times New Roman"/>
          <w:sz w:val="24"/>
        </w:rPr>
        <w:t>Dublin Rental Guide Stakeholder Report</w:t>
      </w:r>
    </w:p>
    <w:p w14:paraId="22E3B015" w14:textId="0EADA560" w:rsidR="001E69EF" w:rsidRPr="004C0619" w:rsidRDefault="004C0619" w:rsidP="001E227D">
      <w:pPr>
        <w:rPr>
          <w:rFonts w:ascii="Times New Roman" w:hAnsi="Times New Roman" w:cs="Times New Roman"/>
        </w:rPr>
      </w:pPr>
      <w:r w:rsidRPr="004C0619">
        <w:rPr>
          <w:rFonts w:ascii="Times New Roman" w:hAnsi="Times New Roman" w:cs="Times New Roman"/>
        </w:rPr>
        <w:t xml:space="preserve">In the past decade, Ireland's private rental market has undergone a major transformation, and the resulting problems such as excessive rent burden and rental instability are the main challenges faced by tenants, which are particularly serious in Dublin. </w:t>
      </w:r>
      <w:r w:rsidR="00486C49" w:rsidRPr="00486C49">
        <w:rPr>
          <w:rFonts w:ascii="Times New Roman" w:hAnsi="Times New Roman" w:cs="Times New Roman"/>
        </w:rPr>
        <w:t>Only the top 5% of income earners</w:t>
      </w:r>
      <w:r w:rsidR="00486C49">
        <w:rPr>
          <w:rFonts w:ascii="Times New Roman" w:hAnsi="Times New Roman" w:cs="Times New Roman"/>
        </w:rPr>
        <w:t xml:space="preserve">, </w:t>
      </w:r>
      <w:r w:rsidR="00486C49" w:rsidRPr="00486C49">
        <w:rPr>
          <w:rFonts w:ascii="Times New Roman" w:hAnsi="Times New Roman" w:cs="Times New Roman"/>
        </w:rPr>
        <w:t>those earning over €115,000 annually</w:t>
      </w:r>
      <w:r w:rsidR="00486C49">
        <w:rPr>
          <w:rFonts w:ascii="Times New Roman" w:hAnsi="Times New Roman" w:cs="Times New Roman"/>
        </w:rPr>
        <w:t xml:space="preserve">, </w:t>
      </w:r>
      <w:r w:rsidR="00486C49" w:rsidRPr="00486C49">
        <w:rPr>
          <w:rFonts w:ascii="Times New Roman" w:hAnsi="Times New Roman" w:cs="Times New Roman"/>
        </w:rPr>
        <w:t>can afford Dublin's average rent while spending less than one-third of their net income</w:t>
      </w:r>
      <w:r>
        <w:rPr>
          <w:rFonts w:ascii="Times New Roman" w:hAnsi="Times New Roman" w:cs="Times New Roman"/>
        </w:rPr>
        <w:t xml:space="preserve"> (</w:t>
      </w:r>
      <w:r w:rsidRPr="004C0619">
        <w:rPr>
          <w:rFonts w:ascii="Times New Roman" w:hAnsi="Times New Roman" w:cs="Times New Roman"/>
        </w:rPr>
        <w:t>Lima et al.</w:t>
      </w:r>
      <w:r>
        <w:rPr>
          <w:rFonts w:ascii="Times New Roman" w:hAnsi="Times New Roman" w:cs="Times New Roman"/>
        </w:rPr>
        <w:t xml:space="preserve">, </w:t>
      </w:r>
      <w:r w:rsidRPr="004C0619">
        <w:rPr>
          <w:rFonts w:ascii="Times New Roman" w:hAnsi="Times New Roman" w:cs="Times New Roman"/>
        </w:rPr>
        <w:t>2023</w:t>
      </w:r>
      <w:r>
        <w:rPr>
          <w:rFonts w:ascii="Times New Roman" w:hAnsi="Times New Roman" w:cs="Times New Roman"/>
        </w:rPr>
        <w:t>)</w:t>
      </w:r>
      <w:r w:rsidRPr="004C0619">
        <w:rPr>
          <w:rFonts w:ascii="Times New Roman" w:hAnsi="Times New Roman" w:cs="Times New Roman"/>
        </w:rPr>
        <w:t>.</w:t>
      </w:r>
    </w:p>
    <w:p w14:paraId="2A14D9EF" w14:textId="31C1084F" w:rsidR="004C0619" w:rsidRPr="004C0619" w:rsidRDefault="004C0619" w:rsidP="001E227D">
      <w:pPr>
        <w:rPr>
          <w:rFonts w:ascii="Times New Roman" w:hAnsi="Times New Roman" w:cs="Times New Roman"/>
        </w:rPr>
      </w:pPr>
      <w:r w:rsidRPr="004C0619">
        <w:rPr>
          <w:rFonts w:ascii="Times New Roman" w:hAnsi="Times New Roman" w:cs="Times New Roman"/>
        </w:rPr>
        <w:t xml:space="preserve">In addition to affordability, according to Waldron (2023), applying the </w:t>
      </w:r>
      <w:r w:rsidR="00486C49" w:rsidRPr="00486C49">
        <w:rPr>
          <w:rFonts w:ascii="Times New Roman" w:hAnsi="Times New Roman" w:cs="Times New Roman"/>
        </w:rPr>
        <w:t>Housing Precarity Index</w:t>
      </w:r>
      <w:r w:rsidRPr="004C0619">
        <w:rPr>
          <w:rFonts w:ascii="Times New Roman" w:hAnsi="Times New Roman" w:cs="Times New Roman"/>
        </w:rPr>
        <w:t xml:space="preserve"> (HPI) to the 2016 census data shows that 235,074 rental families (78</w:t>
      </w:r>
      <w:r w:rsidRPr="004C0619">
        <w:rPr>
          <w:rFonts w:ascii="Times New Roman" w:hAnsi="Times New Roman" w:cs="Times New Roman"/>
        </w:rPr>
        <w:t>%</w:t>
      </w:r>
      <w:r w:rsidRPr="004C0619">
        <w:rPr>
          <w:rFonts w:ascii="Times New Roman" w:hAnsi="Times New Roman" w:cs="Times New Roman"/>
        </w:rPr>
        <w:t>) face housing instability, of which 22,854 households (7%) face high instability. These data show that there is a huge difference between rental costs and income, and there is an urgent need to develop easy-to-use rental decision-making tools to provide guidance for tenants and other stakeholders to respond to changes in the rental market.</w:t>
      </w:r>
    </w:p>
    <w:p w14:paraId="0112E21D" w14:textId="7347AC13" w:rsidR="004C0619" w:rsidRPr="004C0619" w:rsidRDefault="004C0619" w:rsidP="001E227D">
      <w:pPr>
        <w:rPr>
          <w:rFonts w:ascii="Times New Roman" w:hAnsi="Times New Roman" w:cs="Times New Roman"/>
        </w:rPr>
      </w:pPr>
      <w:r w:rsidRPr="004C0619">
        <w:rPr>
          <w:rFonts w:ascii="Times New Roman" w:hAnsi="Times New Roman" w:cs="Times New Roman"/>
        </w:rPr>
        <w:t xml:space="preserve">The purpose of the development of the Dublin rental guidance dashboard is to integrate rental data into an interactive visual platform to </w:t>
      </w:r>
      <w:r w:rsidR="00486C49" w:rsidRPr="00486C49">
        <w:rPr>
          <w:rFonts w:ascii="Times New Roman" w:hAnsi="Times New Roman" w:cs="Times New Roman"/>
        </w:rPr>
        <w:t>address the lack of accessible rental market information in Dublin</w:t>
      </w:r>
      <w:r w:rsidR="00486C49">
        <w:rPr>
          <w:rFonts w:ascii="Times New Roman" w:hAnsi="Times New Roman" w:cs="Times New Roman"/>
        </w:rPr>
        <w:t>.</w:t>
      </w:r>
      <w:r w:rsidRPr="004C0619">
        <w:rPr>
          <w:rFonts w:ascii="Times New Roman" w:hAnsi="Times New Roman" w:cs="Times New Roman"/>
        </w:rPr>
        <w:t xml:space="preserve"> Although the </w:t>
      </w:r>
      <w:r w:rsidR="00486C49" w:rsidRPr="00486C49">
        <w:rPr>
          <w:rFonts w:ascii="Times New Roman" w:hAnsi="Times New Roman" w:cs="Times New Roman"/>
        </w:rPr>
        <w:t>Residential Tenancies Board</w:t>
      </w:r>
      <w:r w:rsidRPr="004C0619">
        <w:rPr>
          <w:rFonts w:ascii="Times New Roman" w:hAnsi="Times New Roman" w:cs="Times New Roman"/>
        </w:rPr>
        <w:t xml:space="preserve"> (RTB) has released the official rental data, the presentation of these data is static and difficult to customize according to the personal needs of users. Interactive data visualization tools can help users intuitively explore complex data and make wiser decisions.</w:t>
      </w:r>
    </w:p>
    <w:p w14:paraId="4B2D3DA5" w14:textId="1E2E15A2" w:rsidR="004C0619" w:rsidRPr="004C0619" w:rsidRDefault="004C0619" w:rsidP="001E227D">
      <w:pPr>
        <w:rPr>
          <w:rFonts w:ascii="Times New Roman" w:hAnsi="Times New Roman" w:cs="Times New Roman"/>
        </w:rPr>
      </w:pPr>
      <w:r w:rsidRPr="004C0619">
        <w:rPr>
          <w:rFonts w:ascii="Times New Roman" w:hAnsi="Times New Roman" w:cs="Times New Roman"/>
        </w:rPr>
        <w:t xml:space="preserve">By using the dashboard, tenants can intuitively see which areas meet their needs on the map and bar chart, and which areas have the lowest rent under the current requirements by selecting the budget, the number of </w:t>
      </w:r>
      <w:r w:rsidR="00486C49">
        <w:rPr>
          <w:rFonts w:ascii="Times New Roman" w:hAnsi="Times New Roman" w:cs="Times New Roman"/>
        </w:rPr>
        <w:t>bed</w:t>
      </w:r>
      <w:r w:rsidRPr="004C0619">
        <w:rPr>
          <w:rFonts w:ascii="Times New Roman" w:hAnsi="Times New Roman" w:cs="Times New Roman"/>
        </w:rPr>
        <w:t xml:space="preserve">rooms and the type of property. It is simple and efficient, saving tenants' decision-making time. At the same time, tenants can help them determine the ideal property type and number of rooms under a fixed budget </w:t>
      </w:r>
      <w:r w:rsidR="00486C49" w:rsidRPr="00486C49">
        <w:rPr>
          <w:rFonts w:ascii="Times New Roman" w:hAnsi="Times New Roman" w:cs="Times New Roman"/>
        </w:rPr>
        <w:t>by observing the heatmap and bedroom premium chart</w:t>
      </w:r>
      <w:r w:rsidR="00486C49">
        <w:rPr>
          <w:rFonts w:ascii="Times New Roman" w:hAnsi="Times New Roman" w:cs="Times New Roman"/>
        </w:rPr>
        <w:t>.</w:t>
      </w:r>
      <w:r w:rsidRPr="004C0619">
        <w:rPr>
          <w:rFonts w:ascii="Times New Roman" w:hAnsi="Times New Roman" w:cs="Times New Roman"/>
        </w:rPr>
        <w:t xml:space="preserve"> Secondly, </w:t>
      </w:r>
      <w:r w:rsidR="00486C49">
        <w:rPr>
          <w:rFonts w:ascii="Times New Roman" w:hAnsi="Times New Roman" w:cs="Times New Roman"/>
        </w:rPr>
        <w:t xml:space="preserve">policymakers </w:t>
      </w:r>
      <w:r w:rsidRPr="004C0619">
        <w:rPr>
          <w:rFonts w:ascii="Times New Roman" w:hAnsi="Times New Roman" w:cs="Times New Roman"/>
        </w:rPr>
        <w:t xml:space="preserve">can identify the areas with the fastest rent increase and the most severe housing burden pressure according to the rent trend chart and heat map, </w:t>
      </w:r>
      <w:proofErr w:type="gramStart"/>
      <w:r w:rsidRPr="004C0619">
        <w:rPr>
          <w:rFonts w:ascii="Times New Roman" w:hAnsi="Times New Roman" w:cs="Times New Roman"/>
        </w:rPr>
        <w:t>so as to</w:t>
      </w:r>
      <w:proofErr w:type="gramEnd"/>
      <w:r w:rsidRPr="004C0619">
        <w:rPr>
          <w:rFonts w:ascii="Times New Roman" w:hAnsi="Times New Roman" w:cs="Times New Roman"/>
        </w:rPr>
        <w:t xml:space="preserve"> provide a more accurate decision-making basis for formulating policies to reduce rental pressure and improve the housing stability index. Finally, for housing researchers and </w:t>
      </w:r>
      <w:r w:rsidR="00486C49" w:rsidRPr="00486C49">
        <w:rPr>
          <w:rFonts w:ascii="Times New Roman" w:hAnsi="Times New Roman" w:cs="Times New Roman"/>
        </w:rPr>
        <w:t>NGOs such as Threshold or Focus Ireland</w:t>
      </w:r>
      <w:r w:rsidRPr="004C0619">
        <w:rPr>
          <w:rFonts w:ascii="Times New Roman" w:hAnsi="Times New Roman" w:cs="Times New Roman"/>
        </w:rPr>
        <w:t>, they can download the filtered data set through the data export function to support research work.</w:t>
      </w:r>
    </w:p>
    <w:p w14:paraId="06A58982" w14:textId="41740609" w:rsidR="004C0619" w:rsidRPr="004C0619" w:rsidRDefault="004C0619" w:rsidP="001E227D">
      <w:pPr>
        <w:rPr>
          <w:rFonts w:ascii="Times New Roman" w:hAnsi="Times New Roman" w:cs="Times New Roman"/>
        </w:rPr>
      </w:pPr>
      <w:r w:rsidRPr="004C0619">
        <w:rPr>
          <w:rFonts w:ascii="Times New Roman" w:hAnsi="Times New Roman" w:cs="Times New Roman"/>
        </w:rPr>
        <w:t>All in all</w:t>
      </w:r>
      <w:r w:rsidRPr="004C0619">
        <w:rPr>
          <w:rFonts w:ascii="Times New Roman" w:hAnsi="Times New Roman" w:cs="Times New Roman"/>
        </w:rPr>
        <w:t>, the dashboard combines the original statistics of the government with the map, which is an intuitive, efficient and easy-to-operate decision support visualization tool. In the increasingly severe rental market in Dublin, it provides insights for tenants and other stakeholders to help them cope with the rental crisis in Dublin.</w:t>
      </w:r>
    </w:p>
    <w:p w14:paraId="1DDCDE98" w14:textId="77777777" w:rsidR="00486C49" w:rsidRDefault="00486C49" w:rsidP="001E227D">
      <w:pPr>
        <w:rPr>
          <w:rFonts w:ascii="Times New Roman" w:hAnsi="Times New Roman" w:cs="Times New Roman"/>
        </w:rPr>
      </w:pPr>
    </w:p>
    <w:p w14:paraId="6DB50E57" w14:textId="77777777" w:rsidR="00486C49" w:rsidRDefault="00486C49" w:rsidP="001E227D">
      <w:pPr>
        <w:rPr>
          <w:rFonts w:ascii="Times New Roman" w:hAnsi="Times New Roman" w:cs="Times New Roman"/>
        </w:rPr>
      </w:pPr>
    </w:p>
    <w:p w14:paraId="5070F0CF" w14:textId="1D1C9CB8" w:rsidR="004C0619" w:rsidRPr="004C0619" w:rsidRDefault="004C0619" w:rsidP="001E227D">
      <w:pPr>
        <w:rPr>
          <w:rFonts w:ascii="Times New Roman" w:hAnsi="Times New Roman" w:cs="Times New Roman"/>
        </w:rPr>
      </w:pPr>
      <w:r w:rsidRPr="004C0619">
        <w:rPr>
          <w:rFonts w:ascii="Times New Roman" w:hAnsi="Times New Roman" w:cs="Times New Roman"/>
        </w:rPr>
        <w:lastRenderedPageBreak/>
        <w:t>References</w:t>
      </w:r>
    </w:p>
    <w:p w14:paraId="5A1B50E9" w14:textId="77777777" w:rsidR="004C0619" w:rsidRPr="004C0619" w:rsidRDefault="004C0619" w:rsidP="004C0619">
      <w:pPr>
        <w:rPr>
          <w:rFonts w:ascii="Times New Roman" w:hAnsi="Times New Roman" w:cs="Times New Roman"/>
        </w:rPr>
      </w:pPr>
      <w:r w:rsidRPr="004C0619">
        <w:rPr>
          <w:rFonts w:ascii="Times New Roman" w:hAnsi="Times New Roman" w:cs="Times New Roman"/>
        </w:rPr>
        <w:t xml:space="preserve">Lima, V., Hearne, R., &amp; Murphy, M. P. (2023). Housing </w:t>
      </w:r>
      <w:proofErr w:type="spellStart"/>
      <w:r w:rsidRPr="004C0619">
        <w:rPr>
          <w:rFonts w:ascii="Times New Roman" w:hAnsi="Times New Roman" w:cs="Times New Roman"/>
        </w:rPr>
        <w:t>financialisation</w:t>
      </w:r>
      <w:proofErr w:type="spellEnd"/>
      <w:r w:rsidRPr="004C0619">
        <w:rPr>
          <w:rFonts w:ascii="Times New Roman" w:hAnsi="Times New Roman" w:cs="Times New Roman"/>
        </w:rPr>
        <w:t xml:space="preserve"> and the creation of homelessness in Ireland. </w:t>
      </w:r>
      <w:r w:rsidRPr="004C0619">
        <w:rPr>
          <w:rFonts w:ascii="Times New Roman" w:hAnsi="Times New Roman" w:cs="Times New Roman"/>
          <w:i/>
          <w:iCs/>
        </w:rPr>
        <w:t>Housing Studies</w:t>
      </w:r>
      <w:r w:rsidRPr="004C0619">
        <w:rPr>
          <w:rFonts w:ascii="Times New Roman" w:hAnsi="Times New Roman" w:cs="Times New Roman"/>
        </w:rPr>
        <w:t>, </w:t>
      </w:r>
      <w:r w:rsidRPr="004C0619">
        <w:rPr>
          <w:rFonts w:ascii="Times New Roman" w:hAnsi="Times New Roman" w:cs="Times New Roman"/>
          <w:i/>
          <w:iCs/>
        </w:rPr>
        <w:t>38</w:t>
      </w:r>
      <w:r w:rsidRPr="004C0619">
        <w:rPr>
          <w:rFonts w:ascii="Times New Roman" w:hAnsi="Times New Roman" w:cs="Times New Roman"/>
        </w:rPr>
        <w:t xml:space="preserve">(9), 1695–1718. </w:t>
      </w:r>
      <w:hyperlink r:id="rId5" w:history="1">
        <w:r w:rsidRPr="004C0619">
          <w:rPr>
            <w:rStyle w:val="ae"/>
            <w:rFonts w:ascii="Times New Roman" w:hAnsi="Times New Roman" w:cs="Times New Roman"/>
          </w:rPr>
          <w:t>https://doi-org.ucd.idm.oclc.org/10.1080/02673037.2022.2042493</w:t>
        </w:r>
      </w:hyperlink>
    </w:p>
    <w:p w14:paraId="39F4E0C1" w14:textId="26BD0423" w:rsidR="004C0619" w:rsidRPr="004C0619" w:rsidRDefault="004C0619" w:rsidP="004C0619">
      <w:pPr>
        <w:rPr>
          <w:rFonts w:ascii="Times New Roman" w:hAnsi="Times New Roman" w:cs="Times New Roman"/>
        </w:rPr>
      </w:pPr>
      <w:r w:rsidRPr="004C0619">
        <w:rPr>
          <w:rFonts w:ascii="Times New Roman" w:hAnsi="Times New Roman" w:cs="Times New Roman"/>
        </w:rPr>
        <w:t xml:space="preserve">Waldron, R. (2023). Generation rent and housing precarity in 'post crisis' </w:t>
      </w:r>
      <w:proofErr w:type="spellStart"/>
      <w:r w:rsidRPr="004C0619">
        <w:rPr>
          <w:rFonts w:ascii="Times New Roman" w:hAnsi="Times New Roman" w:cs="Times New Roman"/>
        </w:rPr>
        <w:t>ireland</w:t>
      </w:r>
      <w:proofErr w:type="spellEnd"/>
      <w:r w:rsidRPr="004C0619">
        <w:rPr>
          <w:rFonts w:ascii="Times New Roman" w:hAnsi="Times New Roman" w:cs="Times New Roman"/>
        </w:rPr>
        <w:t>. Housing Studies, 38(2), 181-205. https://doi.org/10.1080/02673037.2021.1879998</w:t>
      </w:r>
    </w:p>
    <w:p w14:paraId="11FBE88E" w14:textId="77777777" w:rsidR="004C0619" w:rsidRPr="004C0619" w:rsidRDefault="004C0619" w:rsidP="001E227D"/>
    <w:p w14:paraId="06F7E5DC" w14:textId="77777777" w:rsidR="001E227D" w:rsidRDefault="001E227D" w:rsidP="001E227D">
      <w:pPr>
        <w:rPr>
          <w:rFonts w:hint="eastAsia"/>
        </w:rPr>
      </w:pPr>
    </w:p>
    <w:sectPr w:rsidR="001E227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05140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27D"/>
    <w:rsid w:val="00015A23"/>
    <w:rsid w:val="001E227D"/>
    <w:rsid w:val="001E69EF"/>
    <w:rsid w:val="00481A72"/>
    <w:rsid w:val="00486C49"/>
    <w:rsid w:val="004C0619"/>
    <w:rsid w:val="00A6605A"/>
    <w:rsid w:val="00A720FB"/>
    <w:rsid w:val="00B11067"/>
    <w:rsid w:val="00F30C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FA697"/>
  <w15:chartTrackingRefBased/>
  <w15:docId w15:val="{07D76871-601A-EC40-939F-2D2489F8D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E227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E227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E227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E227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E227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E227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E227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E227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E227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E227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E227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E227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E227D"/>
    <w:rPr>
      <w:rFonts w:cstheme="majorBidi"/>
      <w:color w:val="0F4761" w:themeColor="accent1" w:themeShade="BF"/>
      <w:sz w:val="28"/>
      <w:szCs w:val="28"/>
    </w:rPr>
  </w:style>
  <w:style w:type="character" w:customStyle="1" w:styleId="50">
    <w:name w:val="标题 5 字符"/>
    <w:basedOn w:val="a0"/>
    <w:link w:val="5"/>
    <w:uiPriority w:val="9"/>
    <w:semiHidden/>
    <w:rsid w:val="001E227D"/>
    <w:rPr>
      <w:rFonts w:cstheme="majorBidi"/>
      <w:color w:val="0F4761" w:themeColor="accent1" w:themeShade="BF"/>
      <w:sz w:val="24"/>
    </w:rPr>
  </w:style>
  <w:style w:type="character" w:customStyle="1" w:styleId="60">
    <w:name w:val="标题 6 字符"/>
    <w:basedOn w:val="a0"/>
    <w:link w:val="6"/>
    <w:uiPriority w:val="9"/>
    <w:semiHidden/>
    <w:rsid w:val="001E227D"/>
    <w:rPr>
      <w:rFonts w:cstheme="majorBidi"/>
      <w:b/>
      <w:bCs/>
      <w:color w:val="0F4761" w:themeColor="accent1" w:themeShade="BF"/>
    </w:rPr>
  </w:style>
  <w:style w:type="character" w:customStyle="1" w:styleId="70">
    <w:name w:val="标题 7 字符"/>
    <w:basedOn w:val="a0"/>
    <w:link w:val="7"/>
    <w:uiPriority w:val="9"/>
    <w:semiHidden/>
    <w:rsid w:val="001E227D"/>
    <w:rPr>
      <w:rFonts w:cstheme="majorBidi"/>
      <w:b/>
      <w:bCs/>
      <w:color w:val="595959" w:themeColor="text1" w:themeTint="A6"/>
    </w:rPr>
  </w:style>
  <w:style w:type="character" w:customStyle="1" w:styleId="80">
    <w:name w:val="标题 8 字符"/>
    <w:basedOn w:val="a0"/>
    <w:link w:val="8"/>
    <w:uiPriority w:val="9"/>
    <w:semiHidden/>
    <w:rsid w:val="001E227D"/>
    <w:rPr>
      <w:rFonts w:cstheme="majorBidi"/>
      <w:color w:val="595959" w:themeColor="text1" w:themeTint="A6"/>
    </w:rPr>
  </w:style>
  <w:style w:type="character" w:customStyle="1" w:styleId="90">
    <w:name w:val="标题 9 字符"/>
    <w:basedOn w:val="a0"/>
    <w:link w:val="9"/>
    <w:uiPriority w:val="9"/>
    <w:semiHidden/>
    <w:rsid w:val="001E227D"/>
    <w:rPr>
      <w:rFonts w:eastAsiaTheme="majorEastAsia" w:cstheme="majorBidi"/>
      <w:color w:val="595959" w:themeColor="text1" w:themeTint="A6"/>
    </w:rPr>
  </w:style>
  <w:style w:type="paragraph" w:styleId="a3">
    <w:name w:val="Title"/>
    <w:basedOn w:val="a"/>
    <w:next w:val="a"/>
    <w:link w:val="a4"/>
    <w:uiPriority w:val="10"/>
    <w:qFormat/>
    <w:rsid w:val="001E227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E22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227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E227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E227D"/>
    <w:pPr>
      <w:spacing w:before="160"/>
      <w:jc w:val="center"/>
    </w:pPr>
    <w:rPr>
      <w:i/>
      <w:iCs/>
      <w:color w:val="404040" w:themeColor="text1" w:themeTint="BF"/>
    </w:rPr>
  </w:style>
  <w:style w:type="character" w:customStyle="1" w:styleId="a8">
    <w:name w:val="引用 字符"/>
    <w:basedOn w:val="a0"/>
    <w:link w:val="a7"/>
    <w:uiPriority w:val="29"/>
    <w:rsid w:val="001E227D"/>
    <w:rPr>
      <w:i/>
      <w:iCs/>
      <w:color w:val="404040" w:themeColor="text1" w:themeTint="BF"/>
    </w:rPr>
  </w:style>
  <w:style w:type="paragraph" w:styleId="a9">
    <w:name w:val="List Paragraph"/>
    <w:basedOn w:val="a"/>
    <w:uiPriority w:val="34"/>
    <w:qFormat/>
    <w:rsid w:val="001E227D"/>
    <w:pPr>
      <w:ind w:left="720"/>
      <w:contextualSpacing/>
    </w:pPr>
  </w:style>
  <w:style w:type="character" w:styleId="aa">
    <w:name w:val="Intense Emphasis"/>
    <w:basedOn w:val="a0"/>
    <w:uiPriority w:val="21"/>
    <w:qFormat/>
    <w:rsid w:val="001E227D"/>
    <w:rPr>
      <w:i/>
      <w:iCs/>
      <w:color w:val="0F4761" w:themeColor="accent1" w:themeShade="BF"/>
    </w:rPr>
  </w:style>
  <w:style w:type="paragraph" w:styleId="ab">
    <w:name w:val="Intense Quote"/>
    <w:basedOn w:val="a"/>
    <w:next w:val="a"/>
    <w:link w:val="ac"/>
    <w:uiPriority w:val="30"/>
    <w:qFormat/>
    <w:rsid w:val="001E22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E227D"/>
    <w:rPr>
      <w:i/>
      <w:iCs/>
      <w:color w:val="0F4761" w:themeColor="accent1" w:themeShade="BF"/>
    </w:rPr>
  </w:style>
  <w:style w:type="character" w:styleId="ad">
    <w:name w:val="Intense Reference"/>
    <w:basedOn w:val="a0"/>
    <w:uiPriority w:val="32"/>
    <w:qFormat/>
    <w:rsid w:val="001E227D"/>
    <w:rPr>
      <w:b/>
      <w:bCs/>
      <w:smallCaps/>
      <w:color w:val="0F4761" w:themeColor="accent1" w:themeShade="BF"/>
      <w:spacing w:val="5"/>
    </w:rPr>
  </w:style>
  <w:style w:type="character" w:styleId="ae">
    <w:name w:val="Hyperlink"/>
    <w:basedOn w:val="a0"/>
    <w:uiPriority w:val="99"/>
    <w:unhideWhenUsed/>
    <w:rsid w:val="001E227D"/>
    <w:rPr>
      <w:color w:val="467886" w:themeColor="hyperlink"/>
      <w:u w:val="single"/>
    </w:rPr>
  </w:style>
  <w:style w:type="character" w:styleId="af">
    <w:name w:val="Unresolved Mention"/>
    <w:basedOn w:val="a0"/>
    <w:uiPriority w:val="99"/>
    <w:semiHidden/>
    <w:unhideWhenUsed/>
    <w:rsid w:val="001E22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ucd.idm.oclc.org/10.1080/02673037.2022.2042493"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489</Words>
  <Characters>2793</Characters>
  <Application>Microsoft Office Word</Application>
  <DocSecurity>0</DocSecurity>
  <Lines>23</Lines>
  <Paragraphs>6</Paragraphs>
  <ScaleCrop>false</ScaleCrop>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Ying Qiao</dc:creator>
  <cp:keywords/>
  <dc:description/>
  <cp:lastModifiedBy>Ying Qiao</cp:lastModifiedBy>
  <cp:revision>2</cp:revision>
  <dcterms:created xsi:type="dcterms:W3CDTF">2026-05-10T22:03:00Z</dcterms:created>
  <dcterms:modified xsi:type="dcterms:W3CDTF">2026-05-11T12:55:00Z</dcterms:modified>
</cp:coreProperties>
</file>