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6"/>
        </w:rPr>
        <w:t>V-LiSEMOD: structure-guided viral ligand analysis with transparent degrader-readiness triage</w:t>
      </w:r>
    </w:p>
    <w:p>
      <w:pPr>
        <w:jc w:val="center"/>
      </w:pPr>
      <w:r>
        <w:t>Draft manuscript for collaborator review</w:t>
      </w:r>
    </w:p>
    <w:p>
      <w:pPr>
        <w:jc w:val="center"/>
      </w:pPr>
      <w:r>
        <w:t>Authors: [AUTHOR NAMES TO ADD]</w:t>
      </w:r>
    </w:p>
    <w:p>
      <w:pPr>
        <w:jc w:val="center"/>
      </w:pPr>
      <w:r>
        <w:t>Affiliations: [AFFILIATIONS TO ADD]</w:t>
      </w:r>
    </w:p>
    <w:p>
      <w:pPr>
        <w:jc w:val="center"/>
      </w:pPr>
      <w:r>
        <w:t>Corresponding author: [CONTACT TO ADD]</w:t>
      </w:r>
    </w:p>
    <w:p>
      <w:pPr>
        <w:jc w:val="center"/>
      </w:pPr>
      <w:r>
        <w:t>Running title: V-LiSEMOD viral ligand analysis platform</w:t>
      </w:r>
    </w:p>
    <w:p>
      <w:pPr>
        <w:jc w:val="center"/>
      </w:pPr>
      <w:r>
        <w:t>Article type: software article, webserver paper, application note, methods article, or resource article</w:t>
      </w:r>
    </w:p>
    <w:p>
      <w:pPr>
        <w:jc w:val="center"/>
      </w:pPr>
      <w:r>
        <w:t>Reference status: citations are placeholders and require curator review.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Viral protein-ligand co-crystal structures contain practical signals for antiviral chemical biology and medicinal chemistry, but design-relevant evidence is often distributed across structural files, interaction tables, solvent accessibility calculations, ligand identifiers, and downstream scripts. V-LiSEMOD is a structure-guided viral protein-ligand exploration platform that brings curated viral target metadata, ligand-centered interaction evidence, solvent-exposed atom review, functional-group annotations, cross-structure ligand comparison, and PROTACability-style heuristic triage into a web-accessible workflow. The platform supports structure-specific exploration, target-centric query, ligand-first lookup, ligand comparison, PyMOL-oriented export, and companion-tool handoff for downstream degrader-oriented design exploration. Its PROTACability layer is framed as transparent hypothesis generation: warhead linkability, target-side lysine accessibility, structural-priority cues, and combined degrader-readiness summaries help users prioritize contexts for review without claiming experimental degradation prediction. Representative screenshots and lightweight endpoint evidence document the current public-facing workflow, while validation notes outline reproducibility checks for local SQLite-backed and optional RANDY-backed deployments. V-LiSEMOD is intended to help researchers move from viral co-crystal context to interpretable design questions, not to replace biochemical validation, cellular degradation assays, ternary-complex modeling, or medicinal chemistry judgment.</w:t>
      </w:r>
    </w:p>
    <w:p>
      <w:r>
        <w:t>Keywords: viral ligand analysis; structural bioinformatics; solvent exposure; PROTACability; degrader design; ligand comparison; web resource; hypothesis generation</w:t>
      </w:r>
    </w:p>
    <w:p>
      <w:pPr>
        <w:pStyle w:val="Heading1"/>
      </w:pPr>
      <w:r>
        <w:t>Introduction</w:t>
      </w:r>
    </w:p>
    <w:p>
      <w:r>
        <w:t>Ligand-bound viral protein structures can provide a direct starting point for interpreting antiviral design opportunities. A bound ligand may reveal conserved interaction patterns, exposed atoms that can be discussed as potential modification sites, and target-side structural features that motivate additional review. [CITATION NEEDED: RCSB/PDB]</w:t>
      </w:r>
    </w:p>
    <w:p>
      <w:r>
        <w:t>Induced-proximity and degrader-oriented design questions add a further layer of interpretation. A viral target context may have a ligand-bound structure, but degrader-oriented follow-up also requires cautious review of ligand attachment opportunities, target-side exposed lysine cues, and the distinction between structural plausibility and experimental degradability. [CITATION NEEDED: PROTAC review]</w:t>
      </w:r>
    </w:p>
    <w:p>
      <w:r>
        <w:t>V-LiSEMOD addresses this gap as a structure-guided viral protein-ligand exploration platform for evidence review, heuristic triage, and companion-tool handoff.</w:t>
      </w:r>
    </w:p>
    <w:p>
      <w:pPr>
        <w:pStyle w:val="Heading1"/>
      </w:pPr>
      <w:r>
        <w:t>Software Overview</w:t>
      </w:r>
    </w:p>
    <w:p>
      <w:r>
        <w:t>V-LiSEMOD is organized around Structure Explorer, Protein Query, Ligand Indexer, Ligand Comparison, PROTACability Assessment, companion-tool handoff, and an optional deployment-dependent assistant route.</w:t>
      </w:r>
    </w:p>
    <w:p>
      <w:r>
        <w:t>The main scientific workflows are documented as public and no-login by default in the current deployment notes. Companion tools provide context and downstream continuation, not evidence of a single unified backend.</w:t>
      </w:r>
    </w:p>
    <w:p>
      <w:pPr>
        <w:pStyle w:val="Heading1"/>
      </w:pPr>
      <w:r>
        <w:t>Implementation and Architecture</w:t>
      </w:r>
    </w:p>
    <w:p>
      <w:r>
        <w:t>The repository documentation describes V-LiSEMOD as a Flask-based web application with local SQLite-backed operation and optional RANDY-backed route groups. Generated assets include charts, ligand images, coordinate caches, ligand SDF caches, PyMOL-oriented sessions, and export outputs.</w:t>
      </w:r>
    </w:p>
    <w:p>
      <w:r>
        <w:t>The database layer supports curated target metadata, ligand identity, atom-level context, interaction evidence, solvent-exposure cues, functional-group annotation, and PROTACability-style triage. These layers support review workflows but do not validate biological conclusions by themselves.</w:t>
      </w:r>
    </w:p>
    <w:p>
      <w:pPr>
        <w:pStyle w:val="Heading1"/>
      </w:pPr>
      <w:r>
        <w:t>User Workflows and Feature Demonstration</w:t>
      </w:r>
    </w:p>
    <w:p>
      <w:r>
        <w:t>A structure-specific workflow begins with virus, PDB, and ligand selection, then moves into ligand imagery, exposed-atom context, functional-group annotations, and PyMOL-oriented review. Target-centric, ligand-first, and comparison workflows support complementary entry points for review.</w:t>
      </w:r>
    </w:p>
    <w:p>
      <w:r>
        <w:t>The PROTACability workflow combines ligand-centered and target-centered evidence layers as transparent heuristic triage. The appropriate interpretation is prioritization for follow-up review, not experimental degradation prediction.</w:t>
      </w:r>
    </w:p>
    <w:p>
      <w:pPr>
        <w:pStyle w:val="Heading1"/>
      </w:pPr>
      <w:r>
        <w:t>Tables</w:t>
      </w:r>
    </w:p>
    <w:p>
      <w:pPr>
        <w:pStyle w:val="Caption"/>
        <w:jc w:val="left"/>
      </w:pPr>
      <w:r>
        <w:t>Table 1. Platform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240"/>
            <w:shd w:fill="F2F4F7"/>
          </w:tcPr>
          <w:p>
            <w:r>
              <w:rPr>
                <w:b/>
              </w:rPr>
              <w:t>Primary user question</w:t>
            </w:r>
          </w:p>
        </w:tc>
        <w:tc>
          <w:tcPr>
            <w:tcW w:type="dxa" w:w="3744"/>
            <w:shd w:fill="F2F4F7"/>
          </w:tcPr>
          <w:p>
            <w:r>
              <w:rPr>
                <w:b/>
              </w:rPr>
              <w:t>Manuscript-safe role</w:t>
            </w:r>
          </w:p>
        </w:tc>
      </w:tr>
      <w:tr>
        <w:tc>
          <w:tcPr>
            <w:tcW w:type="dxa" w:w="3120"/>
            <w:vAlign w:val="center"/>
          </w:tcPr>
          <w:p>
            <w:r>
              <w:t>Structure Explorer</w:t>
            </w:r>
          </w:p>
        </w:tc>
        <w:tc>
          <w:tcPr>
            <w:tcW w:type="dxa" w:w="3120"/>
            <w:vAlign w:val="center"/>
          </w:tcPr>
          <w:p>
            <w:r>
              <w:t>What does this ligand-bound viral structure show?</w:t>
            </w:r>
          </w:p>
        </w:tc>
        <w:tc>
          <w:tcPr>
            <w:tcW w:type="dxa" w:w="3120"/>
            <w:vAlign w:val="center"/>
          </w:tcPr>
          <w:p>
            <w:r>
              <w:t>Structure-specific review, ligand imagery, PyMOL-oriented export, exposed-atom and functional-group context when available.</w:t>
            </w:r>
          </w:p>
        </w:tc>
      </w:tr>
      <w:tr>
        <w:tc>
          <w:tcPr>
            <w:tcW w:type="dxa" w:w="3120"/>
            <w:vAlign w:val="center"/>
          </w:tcPr>
          <w:p>
            <w:r>
              <w:t>Protein Query</w:t>
            </w:r>
          </w:p>
        </w:tc>
        <w:tc>
          <w:tcPr>
            <w:tcW w:type="dxa" w:w="3120"/>
            <w:vAlign w:val="center"/>
          </w:tcPr>
          <w:p>
            <w:r>
              <w:t>Which structures exist for a target or virus?</w:t>
            </w:r>
          </w:p>
        </w:tc>
        <w:tc>
          <w:tcPr>
            <w:tcW w:type="dxa" w:w="3120"/>
            <w:vAlign w:val="center"/>
          </w:tcPr>
          <w:p>
            <w:r>
              <w:t>Target-centric filtering, PDB selection, export-oriented data assembly, and PROTACability handoff.</w:t>
            </w:r>
          </w:p>
        </w:tc>
      </w:tr>
      <w:tr>
        <w:tc>
          <w:tcPr>
            <w:tcW w:type="dxa" w:w="3120"/>
            <w:vAlign w:val="center"/>
          </w:tcPr>
          <w:p>
            <w:r>
              <w:t>Ligand Indexer</w:t>
            </w:r>
          </w:p>
        </w:tc>
        <w:tc>
          <w:tcPr>
            <w:tcW w:type="dxa" w:w="3120"/>
            <w:vAlign w:val="center"/>
          </w:tcPr>
          <w:p>
            <w:r>
              <w:t>Where does this ligand appear?</w:t>
            </w:r>
          </w:p>
        </w:tc>
        <w:tc>
          <w:tcPr>
            <w:tcW w:type="dxa" w:w="3120"/>
            <w:vAlign w:val="center"/>
          </w:tcPr>
          <w:p>
            <w:r>
              <w:t>Ligand-first lookup across mapped viral structure contexts with interaction chart generation.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Ligand Comparison</w:t>
            </w:r>
          </w:p>
        </w:tc>
        <w:tc>
          <w:tcPr>
            <w:tcW w:type="dxa" w:w="3120"/>
            <w:vAlign w:val="center"/>
          </w:tcPr>
          <w:p>
            <w:r>
              <w:t>How does a ligand behave across structures?</w:t>
            </w:r>
          </w:p>
        </w:tc>
        <w:tc>
          <w:tcPr>
            <w:tcW w:type="dxa" w:w="3120"/>
            <w:vAlign w:val="center"/>
          </w:tcPr>
          <w:p>
            <w:r>
              <w:t>Cross-structure comparison of ligand contacts and mapped context, not a validated SAR engine.</w:t>
            </w:r>
          </w:p>
        </w:tc>
      </w:tr>
      <w:tr>
        <w:tc>
          <w:tcPr>
            <w:tcW w:type="dxa" w:w="3120"/>
            <w:vAlign w:val="center"/>
          </w:tcPr>
          <w:p>
            <w:r>
              <w:t>PROTACability Assessment</w:t>
            </w:r>
          </w:p>
        </w:tc>
        <w:tc>
          <w:tcPr>
            <w:tcW w:type="dxa" w:w="3120"/>
            <w:vAlign w:val="center"/>
          </w:tcPr>
          <w:p>
            <w:r>
              <w:t>Which contexts merit degrader-oriented review?</w:t>
            </w:r>
          </w:p>
        </w:tc>
        <w:tc>
          <w:tcPr>
            <w:tcW w:type="dxa" w:w="3120"/>
            <w:vAlign w:val="center"/>
          </w:tcPr>
          <w:p>
            <w:r>
              <w:t>Transparent heuristic triage across target, protein, structure, and chain views.</w:t>
            </w:r>
          </w:p>
        </w:tc>
      </w:tr>
      <w:tr>
        <w:tc>
          <w:tcPr>
            <w:tcW w:type="dxa" w:w="3120"/>
            <w:vAlign w:val="center"/>
          </w:tcPr>
          <w:p>
            <w:r>
              <w:t>Companion-tool handoff</w:t>
            </w:r>
          </w:p>
        </w:tc>
        <w:tc>
          <w:tcPr>
            <w:tcW w:type="dxa" w:w="3120"/>
            <w:vAlign w:val="center"/>
          </w:tcPr>
          <w:p>
            <w:r>
              <w:t>Where can follow-up design exploration continue?</w:t>
            </w:r>
          </w:p>
        </w:tc>
        <w:tc>
          <w:tcPr>
            <w:tcW w:type="dxa" w:w="3120"/>
            <w:vAlign w:val="center"/>
          </w:tcPr>
          <w:p>
            <w:r>
              <w:t>External continuation into PROTAC Builder and related tools without implying full backend unification.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Optional assistant route</w:t>
            </w:r>
          </w:p>
        </w:tc>
        <w:tc>
          <w:tcPr>
            <w:tcW w:type="dxa" w:w="3120"/>
            <w:vAlign w:val="center"/>
          </w:tcPr>
          <w:p>
            <w:r>
              <w:t>Can a deployment provide local assistant context?</w:t>
            </w:r>
          </w:p>
        </w:tc>
        <w:tc>
          <w:tcPr>
            <w:tcW w:type="dxa" w:w="3120"/>
            <w:vAlign w:val="center"/>
          </w:tcPr>
          <w:p>
            <w:r>
              <w:t>Deployment-dependent surface only when explicitly enabled.</w:t>
            </w:r>
          </w:p>
        </w:tc>
      </w:tr>
    </w:tbl>
    <w:p/>
    <w:p>
      <w:pPr>
        <w:pStyle w:val="Caption"/>
        <w:jc w:val="left"/>
      </w:pPr>
      <w:r>
        <w:t>Table 2. Data-layer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240"/>
            <w:shd w:fill="F2F4F7"/>
          </w:tcPr>
          <w:p>
            <w:r>
              <w:rPr>
                <w:b/>
              </w:rPr>
              <w:t>Representative tables or assets</w:t>
            </w:r>
          </w:p>
        </w:tc>
        <w:tc>
          <w:tcPr>
            <w:tcW w:type="dxa" w:w="3744"/>
            <w:shd w:fill="F2F4F7"/>
          </w:tcPr>
          <w:p>
            <w:r>
              <w:rPr>
                <w:b/>
              </w:rPr>
              <w:t>Role in manuscript framing</w:t>
            </w:r>
          </w:p>
        </w:tc>
      </w:tr>
      <w:tr>
        <w:tc>
          <w:tcPr>
            <w:tcW w:type="dxa" w:w="3120"/>
            <w:vAlign w:val="center"/>
          </w:tcPr>
          <w:p>
            <w:r>
              <w:t>Target metadata</w:t>
            </w:r>
          </w:p>
        </w:tc>
        <w:tc>
          <w:tcPr>
            <w:tcW w:type="dxa" w:w="3120"/>
            <w:vAlign w:val="center"/>
          </w:tcPr>
          <w:p>
            <w:r>
              <w:t>Virus_Proteins</w:t>
            </w:r>
          </w:p>
        </w:tc>
        <w:tc>
          <w:tcPr>
            <w:tcW w:type="dxa" w:w="3120"/>
            <w:vAlign w:val="center"/>
          </w:tcPr>
          <w:p>
            <w:r>
              <w:t>Curated virus, protein, and PDB-linked target context.</w:t>
            </w:r>
          </w:p>
        </w:tc>
      </w:tr>
      <w:tr>
        <w:tc>
          <w:tcPr>
            <w:tcW w:type="dxa" w:w="3120"/>
            <w:vAlign w:val="center"/>
          </w:tcPr>
          <w:p>
            <w:r>
              <w:t>Ligand identity</w:t>
            </w:r>
          </w:p>
        </w:tc>
        <w:tc>
          <w:tcPr>
            <w:tcW w:type="dxa" w:w="3120"/>
            <w:vAlign w:val="center"/>
          </w:tcPr>
          <w:p>
            <w:r>
              <w:t>ligand_synonyms, Ligand_Atoms_Smiles, SMILES_MAP_PDB</w:t>
            </w:r>
          </w:p>
        </w:tc>
        <w:tc>
          <w:tcPr>
            <w:tcW w:type="dxa" w:w="3120"/>
            <w:vAlign w:val="center"/>
          </w:tcPr>
          <w:p>
            <w:r>
              <w:t>Ligand-code, synonym, SMILES, and mapping support for lookup and comparison.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Structural atoms and pockets</w:t>
            </w:r>
          </w:p>
        </w:tc>
        <w:tc>
          <w:tcPr>
            <w:tcW w:type="dxa" w:w="3120"/>
            <w:vAlign w:val="center"/>
          </w:tcPr>
          <w:p>
            <w:r>
              <w:t>ligand_atoms, distal_atoms, receptor_binding_pocket</w:t>
            </w:r>
          </w:p>
        </w:tc>
        <w:tc>
          <w:tcPr>
            <w:tcW w:type="dxa" w:w="3120"/>
            <w:vAlign w:val="center"/>
          </w:tcPr>
          <w:p>
            <w:r>
              <w:t>Atom-level ligand context and binding-pocket evidence for selected structures.</w:t>
            </w:r>
          </w:p>
        </w:tc>
      </w:tr>
      <w:tr>
        <w:tc>
          <w:tcPr>
            <w:tcW w:type="dxa" w:w="3120"/>
            <w:vAlign w:val="center"/>
          </w:tcPr>
          <w:p>
            <w:r>
              <w:t>Interactions</w:t>
            </w:r>
          </w:p>
        </w:tc>
        <w:tc>
          <w:tcPr>
            <w:tcW w:type="dxa" w:w="3120"/>
            <w:vAlign w:val="center"/>
          </w:tcPr>
          <w:p>
            <w:r>
              <w:t>Arpeggio_Contacts_Data, Ligand_Arp_Diagram</w:t>
            </w:r>
          </w:p>
        </w:tc>
        <w:tc>
          <w:tcPr>
            <w:tcW w:type="dxa" w:w="3120"/>
            <w:vAlign w:val="center"/>
          </w:tcPr>
          <w:p>
            <w:r>
              <w:t>Descriptive contact summaries and interaction charts.</w:t>
            </w:r>
          </w:p>
        </w:tc>
      </w:tr>
      <w:tr>
        <w:tc>
          <w:tcPr>
            <w:tcW w:type="dxa" w:w="3120"/>
            <w:vAlign w:val="center"/>
          </w:tcPr>
          <w:p>
            <w:r>
              <w:t>Solvent exposure</w:t>
            </w:r>
          </w:p>
        </w:tc>
        <w:tc>
          <w:tcPr>
            <w:tcW w:type="dxa" w:w="3120"/>
            <w:vAlign w:val="center"/>
          </w:tcPr>
          <w:p>
            <w:r>
              <w:t>RUPLEY_SASA_DATA, solvent_exposed_atoms, ligand_water_distances</w:t>
            </w:r>
          </w:p>
        </w:tc>
        <w:tc>
          <w:tcPr>
            <w:tcW w:type="dxa" w:w="3120"/>
            <w:vAlign w:val="center"/>
          </w:tcPr>
          <w:p>
            <w:r>
              <w:t>SASA-derived exposed-atom and solvent-context cues.</w:t>
            </w:r>
          </w:p>
        </w:tc>
      </w:tr>
      <w:tr>
        <w:tc>
          <w:tcPr>
            <w:tcW w:type="dxa" w:w="3120"/>
            <w:vAlign w:val="center"/>
          </w:tcPr>
          <w:p>
            <w:r>
              <w:t>Functional groups</w:t>
            </w:r>
          </w:p>
        </w:tc>
        <w:tc>
          <w:tcPr>
            <w:tcW w:type="dxa" w:w="3120"/>
            <w:vAlign w:val="center"/>
          </w:tcPr>
          <w:p>
            <w:r>
              <w:t>Functional_GROUPED, Functional_Group_Atoms</w:t>
            </w:r>
          </w:p>
        </w:tc>
        <w:tc>
          <w:tcPr>
            <w:tcW w:type="dxa" w:w="3120"/>
            <w:vAlign w:val="center"/>
          </w:tcPr>
          <w:p>
            <w:r>
              <w:t>Functional-group annotations for ligand-context interpretation.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PROTACability</w:t>
            </w:r>
          </w:p>
        </w:tc>
        <w:tc>
          <w:tcPr>
            <w:tcW w:type="dxa" w:w="3120"/>
            <w:vAlign w:val="center"/>
          </w:tcPr>
          <w:p>
            <w:r>
              <w:t>protacability_assessment and related lysine, ligand inventory, warhead linkability, and readiness tables</w:t>
            </w:r>
          </w:p>
        </w:tc>
        <w:tc>
          <w:tcPr>
            <w:tcW w:type="dxa" w:w="3120"/>
            <w:vAlign w:val="center"/>
          </w:tcPr>
          <w:p>
            <w:r>
              <w:t>Transparent degrader-readiness triage layers rather than experimental degradation evidence.</w:t>
            </w:r>
          </w:p>
        </w:tc>
      </w:tr>
      <w:tr>
        <w:tc>
          <w:tcPr>
            <w:tcW w:type="dxa" w:w="3120"/>
            <w:vAlign w:val="center"/>
          </w:tcPr>
          <w:p>
            <w:r>
              <w:t>Generated assets</w:t>
            </w:r>
          </w:p>
        </w:tc>
        <w:tc>
          <w:tcPr>
            <w:tcW w:type="dxa" w:w="3120"/>
            <w:vAlign w:val="center"/>
          </w:tcPr>
          <w:p>
            <w:r>
              <w:t>static/charts, static/ligand_images, pml_sessions, output_csvs</w:t>
            </w:r>
          </w:p>
        </w:tc>
        <w:tc>
          <w:tcPr>
            <w:tcW w:type="dxa" w:w="3120"/>
            <w:vAlign w:val="center"/>
          </w:tcPr>
          <w:p>
            <w:r>
              <w:t>Runtime outputs and exports that require writable local storage.</w:t>
            </w:r>
          </w:p>
        </w:tc>
      </w:tr>
    </w:tbl>
    <w:p/>
    <w:p>
      <w:pPr>
        <w:pStyle w:val="Caption"/>
        <w:jc w:val="left"/>
      </w:pPr>
      <w:r>
        <w:t>Table 3. PROTACability interpretation guardrails.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</w:tcPr>
          <w:p>
            <w:r>
              <w:rPr>
                <w:b/>
              </w:rPr>
              <w:t>Evidence layer</w:t>
            </w:r>
          </w:p>
        </w:tc>
        <w:tc>
          <w:tcPr>
            <w:tcW w:type="dxa" w:w="3240"/>
            <w:shd w:fill="F2F4F7"/>
          </w:tcPr>
          <w:p>
            <w:r>
              <w:rPr>
                <w:b/>
              </w:rPr>
              <w:t>Useful interpretation</w:t>
            </w:r>
          </w:p>
        </w:tc>
        <w:tc>
          <w:tcPr>
            <w:tcW w:type="dxa" w:w="3744"/>
            <w:shd w:fill="F2F4F7"/>
          </w:tcPr>
          <w:p>
            <w:r>
              <w:rPr>
                <w:b/>
              </w:rPr>
              <w:t>What it does not establish</w:t>
            </w:r>
          </w:p>
        </w:tc>
      </w:tr>
      <w:tr>
        <w:tc>
          <w:tcPr>
            <w:tcW w:type="dxa" w:w="3120"/>
            <w:vAlign w:val="center"/>
          </w:tcPr>
          <w:p>
            <w:r>
              <w:t>Warhead linkability</w:t>
            </w:r>
          </w:p>
        </w:tc>
        <w:tc>
          <w:tcPr>
            <w:tcW w:type="dxa" w:w="3120"/>
            <w:vAlign w:val="center"/>
          </w:tcPr>
          <w:p>
            <w:r>
              <w:t>Ligand-centered attachment opportunity based on exposed atoms, contact preservation, and functional-group context.</w:t>
            </w:r>
          </w:p>
        </w:tc>
        <w:tc>
          <w:tcPr>
            <w:tcW w:type="dxa" w:w="3120"/>
            <w:vAlign w:val="center"/>
          </w:tcPr>
          <w:p>
            <w:r>
              <w:t>An optimal linker atom or confirmed medicinal chemistry route.</w:t>
            </w:r>
          </w:p>
        </w:tc>
      </w:tr>
      <w:tr>
        <w:tc>
          <w:tcPr>
            <w:tcW w:type="dxa" w:w="3120"/>
            <w:vAlign w:val="center"/>
          </w:tcPr>
          <w:p>
            <w:r>
              <w:t>Target lysine accessibility</w:t>
            </w:r>
          </w:p>
        </w:tc>
        <w:tc>
          <w:tcPr>
            <w:tcW w:type="dxa" w:w="3120"/>
            <w:vAlign w:val="center"/>
          </w:tcPr>
          <w:p>
            <w:r>
              <w:t>Target-side exposed lysine cues in the same structural context.</w:t>
            </w:r>
          </w:p>
        </w:tc>
        <w:tc>
          <w:tcPr>
            <w:tcW w:type="dxa" w:w="3120"/>
            <w:vAlign w:val="center"/>
          </w:tcPr>
          <w:p>
            <w:r>
              <w:t>Ubiquitination, degradation, or productive ternary-complex formation.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Protein structural priority</w:t>
            </w:r>
          </w:p>
        </w:tc>
        <w:tc>
          <w:tcPr>
            <w:tcW w:type="dxa" w:w="3120"/>
            <w:vAlign w:val="center"/>
          </w:tcPr>
          <w:p>
            <w:r>
              <w:t>A higher-priority starting point for design review.</w:t>
            </w:r>
          </w:p>
        </w:tc>
        <w:tc>
          <w:tcPr>
            <w:tcW w:type="dxa" w:w="3120"/>
            <w:vAlign w:val="center"/>
          </w:tcPr>
          <w:p>
            <w:r>
              <w:t>Target degradability or biological tractability.</w:t>
            </w:r>
          </w:p>
        </w:tc>
      </w:tr>
      <w:tr>
        <w:tc>
          <w:tcPr>
            <w:tcW w:type="dxa" w:w="3120"/>
            <w:vAlign w:val="center"/>
          </w:tcPr>
          <w:p>
            <w:r>
              <w:t>Ternary geometry cue</w:t>
            </w:r>
          </w:p>
        </w:tc>
        <w:tc>
          <w:tcPr>
            <w:tcW w:type="dxa" w:w="3120"/>
            <w:vAlign w:val="center"/>
          </w:tcPr>
          <w:p>
            <w:r>
              <w:t>A simplified geometry-informed hypothesis for follow-up.</w:t>
            </w:r>
          </w:p>
        </w:tc>
        <w:tc>
          <w:tcPr>
            <w:tcW w:type="dxa" w:w="3120"/>
            <w:vAlign w:val="center"/>
          </w:tcPr>
          <w:p>
            <w:r>
              <w:t>A modeled ternary complex or binding-energy prediction.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Overall degrader readiness</w:t>
            </w:r>
          </w:p>
        </w:tc>
        <w:tc>
          <w:tcPr>
            <w:tcW w:type="dxa" w:w="3120"/>
            <w:vAlign w:val="center"/>
          </w:tcPr>
          <w:p>
            <w:r>
              <w:t>A combined structural-priority heuristic for triage.</w:t>
            </w:r>
          </w:p>
        </w:tc>
        <w:tc>
          <w:tcPr>
            <w:tcW w:type="dxa" w:w="3120"/>
            <w:vAlign w:val="center"/>
          </w:tcPr>
          <w:p>
            <w:r>
              <w:t>Experimentally validated degrader prediction or guaranteed PROTAC success.</w:t>
            </w:r>
          </w:p>
        </w:tc>
      </w:tr>
    </w:tbl>
    <w:p/>
    <w:p>
      <w:pPr>
        <w:pStyle w:val="Caption"/>
        <w:jc w:val="left"/>
      </w:pPr>
      <w:r>
        <w:t>Table 4. Module-to-user-question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3240"/>
            <w:shd w:fill="F2F4F7"/>
          </w:tcPr>
          <w:p>
            <w:r>
              <w:rPr>
                <w:b/>
              </w:rPr>
              <w:t>Representative question</w:t>
            </w:r>
          </w:p>
        </w:tc>
        <w:tc>
          <w:tcPr>
            <w:tcW w:type="dxa" w:w="3744"/>
            <w:shd w:fill="F2F4F7"/>
          </w:tcPr>
          <w:p>
            <w:r>
              <w:rPr>
                <w:b/>
              </w:rPr>
              <w:t>Output to review</w:t>
            </w:r>
          </w:p>
        </w:tc>
      </w:tr>
      <w:tr>
        <w:tc>
          <w:tcPr>
            <w:tcW w:type="dxa" w:w="3120"/>
            <w:vAlign w:val="center"/>
          </w:tcPr>
          <w:p>
            <w:r>
              <w:t>Structure-specific review</w:t>
            </w:r>
          </w:p>
        </w:tc>
        <w:tc>
          <w:tcPr>
            <w:tcW w:type="dxa" w:w="3120"/>
            <w:vAlign w:val="center"/>
          </w:tcPr>
          <w:p>
            <w:r>
              <w:t>Which ligand atoms appear exposed enough to discuss as modification sites?</w:t>
            </w:r>
          </w:p>
        </w:tc>
        <w:tc>
          <w:tcPr>
            <w:tcW w:type="dxa" w:w="3120"/>
            <w:vAlign w:val="center"/>
          </w:tcPr>
          <w:p>
            <w:r>
              <w:t>Ligand image, exposed-atom context, functional-group annotations, and PyMOL-oriented session files.</w:t>
            </w:r>
          </w:p>
        </w:tc>
      </w:tr>
      <w:tr>
        <w:tc>
          <w:tcPr>
            <w:tcW w:type="dxa" w:w="3120"/>
            <w:vAlign w:val="center"/>
          </w:tcPr>
          <w:p>
            <w:r>
              <w:t>Target-centric query</w:t>
            </w:r>
          </w:p>
        </w:tc>
        <w:tc>
          <w:tcPr>
            <w:tcW w:type="dxa" w:w="3120"/>
            <w:vAlign w:val="center"/>
          </w:tcPr>
          <w:p>
            <w:r>
              <w:t>Which structures and ligands are available for this viral protein?</w:t>
            </w:r>
          </w:p>
        </w:tc>
        <w:tc>
          <w:tcPr>
            <w:tcW w:type="dxa" w:w="3120"/>
            <w:vAlign w:val="center"/>
          </w:tcPr>
          <w:p>
            <w:r>
              <w:t>Filtered PDB/ligand selections and export-ready linked data.</w:t>
            </w:r>
          </w:p>
        </w:tc>
      </w:tr>
      <w:tr>
        <w:tc>
          <w:tcPr>
            <w:tcW w:type="dxa" w:w="3120"/>
            <w:vAlign w:val="center"/>
          </w:tcPr>
          <w:p>
            <w:r>
              <w:t>Ligand-first lookup</w:t>
            </w:r>
          </w:p>
        </w:tc>
        <w:tc>
          <w:tcPr>
            <w:tcW w:type="dxa" w:w="3120"/>
            <w:vAlign w:val="center"/>
          </w:tcPr>
          <w:p>
            <w:r>
              <w:t>Where else does this ligand or synonym appear?</w:t>
            </w:r>
          </w:p>
        </w:tc>
        <w:tc>
          <w:tcPr>
            <w:tcW w:type="dxa" w:w="3120"/>
            <w:vAlign w:val="center"/>
          </w:tcPr>
          <w:p>
            <w:r>
              <w:t>Mapped structures, chains, residue selections, and interaction charts.</w:t>
            </w:r>
          </w:p>
        </w:tc>
      </w:tr>
      <w:tr>
        <w:tc>
          <w:tcPr>
            <w:tcW w:type="dxa" w:w="3120"/>
            <w:vAlign w:val="center"/>
          </w:tcPr>
          <w:p>
            <w:r>
              <w:t>Cross-structure comparison</w:t>
            </w:r>
          </w:p>
        </w:tc>
        <w:tc>
          <w:tcPr>
            <w:tcW w:type="dxa" w:w="3120"/>
            <w:vAlign w:val="center"/>
          </w:tcPr>
          <w:p>
            <w:r>
              <w:t>Does the same ligand preserve contacts across structures?</w:t>
            </w:r>
          </w:p>
        </w:tc>
        <w:tc>
          <w:tcPr>
            <w:tcW w:type="dxa" w:w="3120"/>
            <w:vAlign w:val="center"/>
          </w:tcPr>
          <w:p>
            <w:r>
              <w:t>Comparison charts and atom-level interaction burden views.</w:t>
            </w:r>
          </w:p>
        </w:tc>
      </w:tr>
      <w:tr>
        <w:tc>
          <w:tcPr>
            <w:tcW w:type="dxa" w:w="3120"/>
            <w:vAlign w:val="center"/>
          </w:tcPr>
          <w:p>
            <w:r>
              <w:t>Heuristic triage</w:t>
            </w:r>
          </w:p>
        </w:tc>
        <w:tc>
          <w:tcPr>
            <w:tcW w:type="dxa" w:w="3120"/>
            <w:vAlign w:val="center"/>
          </w:tcPr>
          <w:p>
            <w:r>
              <w:t>Which structures are worth follow-up review for degrader-oriented exploration?</w:t>
            </w:r>
          </w:p>
        </w:tc>
        <w:tc>
          <w:tcPr>
            <w:tcW w:type="dxa" w:w="3120"/>
            <w:vAlign w:val="center"/>
          </w:tcPr>
          <w:p>
            <w:r>
              <w:t>Filtered PROTACability result tables and evidence-layer detail views.</w:t>
            </w:r>
          </w:p>
        </w:tc>
      </w:tr>
    </w:tbl>
    <w:p/>
    <w:p>
      <w:pPr>
        <w:pStyle w:val="Caption"/>
        <w:jc w:val="left"/>
      </w:pPr>
      <w:r>
        <w:t>Table 5. Limitations and future work.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</w:tcPr>
          <w:p>
            <w:r>
              <w:rPr>
                <w:b/>
              </w:rPr>
              <w:t>Current limitation</w:t>
            </w:r>
          </w:p>
        </w:tc>
        <w:tc>
          <w:tcPr>
            <w:tcW w:type="dxa" w:w="3240"/>
            <w:shd w:fill="F2F4F7"/>
          </w:tcPr>
          <w:p>
            <w:r>
              <w:rPr>
                <w:b/>
              </w:rPr>
              <w:t>Manuscript-safe wording</w:t>
            </w:r>
          </w:p>
        </w:tc>
        <w:tc>
          <w:tcPr>
            <w:tcW w:type="dxa" w:w="3744"/>
            <w:shd w:fill="F2F4F7"/>
          </w:tcPr>
          <w:p>
            <w:r>
              <w:rPr>
                <w:b/>
              </w:rPr>
              <w:t>Future-work direction</w:t>
            </w:r>
          </w:p>
        </w:tc>
      </w:tr>
      <w:tr>
        <w:tc>
          <w:tcPr>
            <w:tcW w:type="dxa" w:w="3120"/>
            <w:vAlign w:val="center"/>
          </w:tcPr>
          <w:p>
            <w:r>
              <w:t>Co-crystal dependence</w:t>
            </w:r>
          </w:p>
        </w:tc>
        <w:tc>
          <w:tcPr>
            <w:tcW w:type="dxa" w:w="3120"/>
            <w:vAlign w:val="center"/>
          </w:tcPr>
          <w:p>
            <w:r>
              <w:t>The workflow depends on available ligand-bound structures and prepared annotations.</w:t>
            </w:r>
          </w:p>
        </w:tc>
        <w:tc>
          <w:tcPr>
            <w:tcW w:type="dxa" w:w="3120"/>
            <w:vAlign w:val="center"/>
          </w:tcPr>
          <w:p>
            <w:r>
              <w:t>Expand curated target and ligand coverage.</w:t>
            </w:r>
          </w:p>
        </w:tc>
      </w:tr>
      <w:tr>
        <w:tc>
          <w:tcPr>
            <w:tcW w:type="dxa" w:w="3120"/>
            <w:vAlign w:val="center"/>
          </w:tcPr>
          <w:p>
            <w:r>
              <w:t>Coverage boundaries</w:t>
            </w:r>
          </w:p>
        </w:tc>
        <w:tc>
          <w:tcPr>
            <w:tcW w:type="dxa" w:w="3120"/>
            <w:vAlign w:val="center"/>
          </w:tcPr>
          <w:p>
            <w:r>
              <w:t>Database coverage is curated and should not be described as exhaustive.</w:t>
            </w:r>
          </w:p>
        </w:tc>
        <w:tc>
          <w:tcPr>
            <w:tcW w:type="dxa" w:w="3120"/>
            <w:vAlign w:val="center"/>
          </w:tcPr>
          <w:p>
            <w:r>
              <w:t>Add provenance, release tags, and redacted fixtures.</w:t>
            </w:r>
          </w:p>
        </w:tc>
      </w:tr>
      <w:tr>
        <w:tc>
          <w:tcPr>
            <w:tcW w:type="dxa" w:w="3120"/>
            <w:vAlign w:val="center"/>
          </w:tcPr>
          <w:p>
            <w:r>
              <w:t>Heuristic PROTACability</w:t>
            </w:r>
          </w:p>
        </w:tc>
        <w:tc>
          <w:tcPr>
            <w:tcW w:type="dxa" w:w="3120"/>
            <w:vAlign w:val="center"/>
          </w:tcPr>
          <w:p>
            <w:r>
              <w:t>PROTACability supports hypothesis generation and design triage.</w:t>
            </w:r>
          </w:p>
        </w:tc>
        <w:tc>
          <w:tcPr>
            <w:tcW w:type="dxa" w:w="3120"/>
            <w:vAlign w:val="center"/>
          </w:tcPr>
          <w:p>
            <w:r>
              <w:t>Benchmark heuristic layers against curated examples when data are available.</w:t>
            </w:r>
          </w:p>
        </w:tc>
      </w:tr>
      <w:tr>
        <w:tc>
          <w:tcPr>
            <w:tcW w:type="dxa" w:w="3120"/>
            <w:vAlign w:val="center"/>
          </w:tcPr>
          <w:p>
            <w:r>
              <w:t>Ternary-complex simplification</w:t>
            </w:r>
          </w:p>
        </w:tc>
        <w:tc>
          <w:tcPr>
            <w:tcW w:type="dxa" w:w="3120"/>
            <w:vAlign w:val="center"/>
          </w:tcPr>
          <w:p>
            <w:r>
              <w:t>Geometry cues do not model complete ternary complexes.</w:t>
            </w:r>
          </w:p>
        </w:tc>
        <w:tc>
          <w:tcPr>
            <w:tcW w:type="dxa" w:w="3120"/>
            <w:vAlign w:val="center"/>
          </w:tcPr>
          <w:p>
            <w:r>
              <w:t>Connect to dedicated modeling and experimental follow-up workflows.</w:t>
            </w:r>
          </w:p>
        </w:tc>
      </w:tr>
      <w:tr>
        <w:tc>
          <w:tcPr>
            <w:tcW w:type="dxa" w:w="3120"/>
            <w:vAlign w:val="center"/>
          </w:tcPr>
          <w:p>
            <w:r>
              <w:t>Optional assistant</w:t>
            </w:r>
          </w:p>
        </w:tc>
        <w:tc>
          <w:tcPr>
            <w:tcW w:type="dxa" w:w="3120"/>
            <w:vAlign w:val="center"/>
          </w:tcPr>
          <w:p>
            <w:r>
              <w:t>The assistant route is deployment-dependent.</w:t>
            </w:r>
          </w:p>
        </w:tc>
        <w:tc>
          <w:tcPr>
            <w:tcW w:type="dxa" w:w="3120"/>
            <w:vAlign w:val="center"/>
          </w:tcPr>
          <w:p>
            <w:r>
              <w:t>Clarify enabled/disabled states and fixture tests.</w:t>
            </w:r>
          </w:p>
        </w:tc>
      </w:tr>
      <w:tr>
        <w:tc>
          <w:tcPr>
            <w:tcW w:type="dxa" w:w="3120"/>
            <w:vAlign w:val="center"/>
          </w:tcPr>
          <w:p>
            <w:r>
              <w:t>Generated outputs</w:t>
            </w:r>
          </w:p>
        </w:tc>
        <w:tc>
          <w:tcPr>
            <w:tcW w:type="dxa" w:w="3120"/>
            <w:vAlign w:val="center"/>
          </w:tcPr>
          <w:p>
            <w:r>
              <w:t>Exports and session files depend on writable local storage.</w:t>
            </w:r>
          </w:p>
        </w:tc>
        <w:tc>
          <w:tcPr>
            <w:tcW w:type="dxa" w:w="3120"/>
            <w:vAlign w:val="center"/>
          </w:tcPr>
          <w:p>
            <w:r>
              <w:t>Improve packaging and cleanup automation.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AutoDock-Vina figure slot</w:t>
            </w:r>
          </w:p>
        </w:tc>
        <w:tc>
          <w:tcPr>
            <w:tcW w:type="dxa" w:w="3120"/>
            <w:vAlign w:val="center"/>
          </w:tcPr>
          <w:p>
            <w:r>
              <w:t>The docking-preparation panel is pending in this draft.</w:t>
            </w:r>
          </w:p>
        </w:tc>
        <w:tc>
          <w:tcPr>
            <w:tcW w:type="dxa" w:w="3120"/>
            <w:vAlign w:val="center"/>
          </w:tcPr>
          <w:p>
            <w:r>
              <w:t>Recapture once the correct local app is available.</w:t>
            </w:r>
          </w:p>
        </w:tc>
      </w:tr>
    </w:tbl>
    <w:p/>
    <w:p>
      <w:pPr>
        <w:pStyle w:val="Caption"/>
        <w:jc w:val="left"/>
      </w:pPr>
      <w:r>
        <w:t>Table 6. Reproducibility checklist.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240"/>
            <w:shd w:fill="F2F4F7"/>
          </w:tcPr>
          <w:p>
            <w:r>
              <w:rPr>
                <w:b/>
              </w:rPr>
              <w:t>Draft status</w:t>
            </w:r>
          </w:p>
        </w:tc>
        <w:tc>
          <w:tcPr>
            <w:tcW w:type="dxa" w:w="3744"/>
            <w:shd w:fill="F2F4F7"/>
          </w:tcPr>
          <w:p>
            <w:r>
              <w:rPr>
                <w:b/>
              </w:rPr>
              <w:t>Reviewer action</w:t>
            </w:r>
          </w:p>
        </w:tc>
      </w:tr>
      <w:tr>
        <w:tc>
          <w:tcPr>
            <w:tcW w:type="dxa" w:w="3120"/>
            <w:vAlign w:val="center"/>
          </w:tcPr>
          <w:p>
            <w:r>
              <w:t>Application version or commit</w:t>
            </w:r>
          </w:p>
        </w:tc>
        <w:tc>
          <w:tcPr>
            <w:tcW w:type="dxa" w:w="3120"/>
            <w:vAlign w:val="center"/>
          </w:tcPr>
          <w:p>
            <w:r>
              <w:t>Placeholder</w:t>
            </w:r>
          </w:p>
        </w:tc>
        <w:tc>
          <w:tcPr>
            <w:tcW w:type="dxa" w:w="3120"/>
            <w:vAlign w:val="center"/>
          </w:tcPr>
          <w:p>
            <w:r>
              <w:t>Record the exact release, tag, or commit before submission.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Environment setup</w:t>
            </w:r>
          </w:p>
        </w:tc>
        <w:tc>
          <w:tcPr>
            <w:tcW w:type="dxa" w:w="3120"/>
            <w:vAlign w:val="center"/>
          </w:tcPr>
          <w:p>
            <w:r>
              <w:t>Partially documented</w:t>
            </w:r>
          </w:p>
        </w:tc>
        <w:tc>
          <w:tcPr>
            <w:tcW w:type="dxa" w:w="3120"/>
            <w:vAlign w:val="center"/>
          </w:tcPr>
          <w:p>
            <w:r>
              <w:t>Confirm requirements and environment variables for the target deployment.</w:t>
            </w:r>
          </w:p>
        </w:tc>
      </w:tr>
      <w:tr>
        <w:tc>
          <w:tcPr>
            <w:tcW w:type="dxa" w:w="3120"/>
            <w:vAlign w:val="center"/>
          </w:tcPr>
          <w:p>
            <w:r>
              <w:t>Database provisioning</w:t>
            </w:r>
          </w:p>
        </w:tc>
        <w:tc>
          <w:tcPr>
            <w:tcW w:type="dxa" w:w="3120"/>
            <w:vAlign w:val="center"/>
          </w:tcPr>
          <w:p>
            <w:r>
              <w:t>Documented as local SQLite or RANDY-backed</w:t>
            </w:r>
          </w:p>
        </w:tc>
        <w:tc>
          <w:tcPr>
            <w:tcW w:type="dxa" w:w="3120"/>
            <w:vAlign w:val="center"/>
          </w:tcPr>
          <w:p>
            <w:r>
              <w:t>Add repository-safe fixture or data-access language.</w:t>
            </w:r>
          </w:p>
        </w:tc>
      </w:tr>
      <w:tr>
        <w:tc>
          <w:tcPr>
            <w:tcW w:type="dxa" w:w="3120"/>
            <w:vAlign w:val="center"/>
          </w:tcPr>
          <w:p>
            <w:r>
              <w:t>Main page validation</w:t>
            </w:r>
          </w:p>
        </w:tc>
        <w:tc>
          <w:tcPr>
            <w:tcW w:type="dxa" w:w="3120"/>
            <w:vAlign w:val="center"/>
          </w:tcPr>
          <w:p>
            <w:r>
              <w:t>Planned and screenshot-supported</w:t>
            </w:r>
          </w:p>
        </w:tc>
        <w:tc>
          <w:tcPr>
            <w:tcW w:type="dxa" w:w="3120"/>
            <w:vAlign w:val="center"/>
          </w:tcPr>
          <w:p>
            <w:r>
              <w:t>Re-run route smoke checks for the final version.</w:t>
            </w:r>
          </w:p>
        </w:tc>
      </w:tr>
      <w:tr>
        <w:tc>
          <w:tcPr>
            <w:tcW w:type="dxa" w:w="3120"/>
            <w:vAlign w:val="center"/>
          </w:tcPr>
          <w:p>
            <w:r>
              <w:t>PROTACability imports</w:t>
            </w:r>
          </w:p>
        </w:tc>
        <w:tc>
          <w:tcPr>
            <w:tcW w:type="dxa" w:w="3120"/>
            <w:vAlign w:val="center"/>
          </w:tcPr>
          <w:p>
            <w:r>
              <w:t>Planned through CSV-to-SQLite importer</w:t>
            </w:r>
          </w:p>
        </w:tc>
        <w:tc>
          <w:tcPr>
            <w:tcW w:type="dxa" w:w="3120"/>
            <w:vAlign w:val="center"/>
          </w:tcPr>
          <w:p>
            <w:r>
              <w:t>Confirm table presence and dashboard behavior in the final build.</w:t>
            </w:r>
          </w:p>
        </w:tc>
      </w:tr>
      <w:tr>
        <w:tc>
          <w:tcPr>
            <w:tcW w:type="dxa" w:w="3120"/>
            <w:vAlign w:val="center"/>
          </w:tcPr>
          <w:p>
            <w:r>
              <w:t>Figure evidence</w:t>
            </w:r>
          </w:p>
        </w:tc>
        <w:tc>
          <w:tcPr>
            <w:tcW w:type="dxa" w:w="3120"/>
            <w:vAlign w:val="center"/>
          </w:tcPr>
          <w:p>
            <w:r>
              <w:t>Representative screenshots captured on 2026-06-11</w:t>
            </w:r>
          </w:p>
        </w:tc>
        <w:tc>
          <w:tcPr>
            <w:tcW w:type="dxa" w:w="3120"/>
            <w:vAlign w:val="center"/>
          </w:tcPr>
          <w:p>
            <w:r>
              <w:t>Recapture any overlay-heavy panels and the pending AutoDock-Vina slot.</w:t>
            </w:r>
          </w:p>
        </w:tc>
      </w:tr>
      <w:tr>
        <w:tc>
          <w:tcPr>
            <w:tcW w:type="dxa" w:w="3120"/>
            <w:vAlign w:val="center"/>
          </w:tcPr>
          <w:p>
            <w:r>
              <w:t>Endpoint evidence</w:t>
            </w:r>
          </w:p>
        </w:tc>
        <w:tc>
          <w:tcPr>
            <w:tcW w:type="dxa" w:w="3120"/>
            <w:vAlign w:val="center"/>
          </w:tcPr>
          <w:p>
            <w:r>
              <w:t>Lightweight public checks captured</w:t>
            </w:r>
          </w:p>
        </w:tc>
        <w:tc>
          <w:tcPr>
            <w:tcW w:type="dxa" w:w="3120"/>
            <w:vAlign w:val="center"/>
          </w:tcPr>
          <w:p>
            <w:r>
              <w:t>Avoid service-level or long-term availability claims.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Figures</w:t>
      </w:r>
    </w:p>
    <w:p>
      <w:pPr>
        <w:pStyle w:val="Heading3"/>
      </w:pPr>
      <w:r>
        <w:t>Figure 1. Connected companion-tool ecosystem for structure-guided ligand and degrader-oriented workflows</w:t>
      </w:r>
    </w:p>
    <w:p>
      <w:r>
        <w:drawing>
          <wp:inline xmlns:a="http://schemas.openxmlformats.org/drawingml/2006/main" xmlns:pic="http://schemas.openxmlformats.org/drawingml/2006/picture">
            <wp:extent cx="4389120" cy="48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ecosystem_overview_dra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Figure 1. Connected companion-tool ecosystem for structure-guided ligand and degrader-oriented workflows. Draft figure placeholder. The current ecosystem montage illustrates Warhead Hunter, V-LiSEMOD, PROTAC Builder, E3 Ligandalyzer, and PyMACS as companion resources for adjacent stages of structure-guided analysis. It supports ecosystem framing and downstream workflow continuity, but it does not establish full technical integration, synchronized execution across tools, or a single shared backend.</w:t>
      </w:r>
    </w:p>
    <w:p>
      <w:pPr>
        <w:pStyle w:val="Heading3"/>
      </w:pPr>
      <w:r>
        <w:t>Figure 2. AutoDock-Vina PrepServer web workflow</w:t>
      </w:r>
    </w:p>
    <w:p>
      <w:r>
        <w:rPr>
          <w:b/>
        </w:rPr>
        <w:t xml:space="preserve">Draft figure placeholder: </w:t>
      </w:r>
      <w:r>
        <w:t>Image pending: regenerate this panel once the correct local AutoDock-Vina PrepServer application or repository is available.</w:t>
      </w:r>
    </w:p>
    <w:p>
      <w:pPr>
        <w:pStyle w:val="Caption"/>
        <w:jc w:val="left"/>
      </w:pPr>
      <w:r>
        <w:t>Figure 2. AutoDock-Vina PrepServer web workflow. Draft figure placeholder. This slot is reserved for the docking-package preparation tool described in the planning materials. The present workspace is V-LiSEMOD rather than an AutoDock-Vina PrepServer repository, so no screenshot is inserted in this draft.</w:t>
      </w:r>
    </w:p>
    <w:p>
      <w:pPr>
        <w:pStyle w:val="Heading3"/>
      </w:pPr>
      <w:r>
        <w:t>Figure 3. Warhead Hunter public workflow and results-library context</w:t>
      </w:r>
    </w:p>
    <w:p>
      <w:r>
        <w:drawing>
          <wp:inline xmlns:a="http://schemas.openxmlformats.org/drawingml/2006/main" xmlns:pic="http://schemas.openxmlformats.org/drawingml/2006/picture">
            <wp:extent cx="4389120" cy="3709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warhead_hunter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09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89120" cy="487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warhead_exposure_result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Figure 3. Warhead Hunter public workflow and results-library context. Draft figure placeholder. Warhead Hunter is shown through a public workflow-launch panel and a public results-library crop. These screenshots demonstrate inspectable, exposure-oriented workflow surfaces, but they do not prove validated attachment-site selection, a guaranteed linker position, or automated PROTAC design success.</w:t>
      </w:r>
    </w:p>
    <w:p>
      <w:pPr>
        <w:pStyle w:val="Heading3"/>
      </w:pPr>
      <w:r>
        <w:t>Figure 4. V-LiSEMOD viral ligand evidence review and PROTACability-style triage</w:t>
      </w:r>
    </w:p>
    <w:p>
      <w:r>
        <w:drawing>
          <wp:inline xmlns:a="http://schemas.openxmlformats.org/drawingml/2006/main" xmlns:pic="http://schemas.openxmlformats.org/drawingml/2006/picture">
            <wp:extent cx="4389120" cy="487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lisemod_home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89120" cy="42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lisemod_protein_query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89120" cy="426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lisemod_ligand_indexer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89120" cy="441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lisemod_compare_ligands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8912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lisemod_protacability_filters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Figure 4. V-LiSEMOD viral ligand evidence review and PROTACability-style triage. Draft figure placeholder. V-LiSEMOD is represented by Structure Explorer, Protein Query, Ligand Indexer, Ligand Comparison, and PROTACability-style triage panels. The figure supports a hypothesis-generation and structure-guided review claim. PROTACability outputs are structural-priority heuristics and should not be interpreted as experimentally validated degradation predictions or guaranteed target degradability.</w:t>
      </w:r>
    </w:p>
    <w:p>
      <w:pPr>
        <w:pStyle w:val="Heading3"/>
      </w:pPr>
      <w:r>
        <w:t>Figure 5. PROTAC Builder as a downstream continuation workspace</w:t>
      </w:r>
    </w:p>
    <w:p>
      <w:r>
        <w:drawing>
          <wp:inline xmlns:a="http://schemas.openxmlformats.org/drawingml/2006/main" xmlns:pic="http://schemas.openxmlformats.org/drawingml/2006/picture">
            <wp:extent cx="4389120" cy="518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rotacbuilder_home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89120" cy="5120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rotacbuilder_design_worksp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Figure 5. PROTAC Builder as a downstream continuation workspace. Draft figure placeholder. These panels position PROTAC Builder as a companion continuation tool for downstream warhead, linker, and recruiter assembly after upstream structural triage. The figure does not show experimental validation, guaranteed design success, or a fully unified automated pipeline.</w:t>
      </w:r>
    </w:p>
    <w:p>
      <w:pPr>
        <w:pStyle w:val="Heading3"/>
      </w:pPr>
      <w:r>
        <w:t>Figure 6. E3 Ligandalyzer and PyMACS as companion context resources</w:t>
      </w:r>
    </w:p>
    <w:p>
      <w:r>
        <w:drawing>
          <wp:inline xmlns:a="http://schemas.openxmlformats.org/drawingml/2006/main" xmlns:pic="http://schemas.openxmlformats.org/drawingml/2006/picture">
            <wp:extent cx="5623560" cy="30031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e3_pymacs_companion_pan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0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Figure 6. E3 Ligandalyzer and PyMACS as companion context resources. Draft figure placeholder. E3 Ligandalyzer provides recruiter-centered companion context, while PyMACS is represented as a companion computational repository. The figure should not be read as evidence that either resource is embedded directly into V-LiSEMOD or exposed through the same public web service.</w:t>
      </w:r>
    </w:p>
    <w:p>
      <w:pPr>
        <w:pStyle w:val="Heading3"/>
      </w:pPr>
      <w:r>
        <w:t>Figure 7. Public API and reproducibility evidence surfaces</w:t>
      </w:r>
    </w:p>
    <w:p>
      <w:r>
        <w:drawing>
          <wp:inline xmlns:a="http://schemas.openxmlformats.org/drawingml/2006/main" xmlns:pic="http://schemas.openxmlformats.org/drawingml/2006/picture">
            <wp:extent cx="4389120" cy="336834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warhead_api_docs_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68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Figure 7. Public API and reproducibility evidence surfaces. Draft figure placeholder. The screenshot and captured endpoint files document public API/documentation surfaces and lightweight health or manifest evidence at the time of capture. They should not be interpreted as production-scale API guarantees, long-term endpoint stability, or service-level commitments.</w:t>
      </w:r>
    </w:p>
    <w:p>
      <w:pPr>
        <w:pStyle w:val="Heading1"/>
      </w:pPr>
      <w:r>
        <w:t>Validation and Reproducibility</w:t>
      </w:r>
    </w:p>
    <w:p>
      <w:r>
        <w:t>The validation plan separates local run validation, data validation, workflow validation, manuscript evidence review, and reproducibility checklist items. Local validation should confirm `/healthz` and the major public routes.</w:t>
      </w:r>
    </w:p>
    <w:p>
      <w:r>
        <w:t>The current screenshot package documents public screenshots captured on 2026-06-11 and lightweight endpoint evidence for Warhead Hunter and V-LiSEMOD. These checks are reachability and reproducibility aids, not production-scale API guarantees.</w:t>
      </w:r>
    </w:p>
    <w:p>
      <w:pPr>
        <w:pStyle w:val="Heading1"/>
      </w:pPr>
      <w:r>
        <w:t>Limitations</w:t>
      </w:r>
    </w:p>
    <w:p>
      <w:r>
        <w:t>V-LiSEMOD depends on available co-crystal structures, curated metadata, ligand mapping, solvent-exposure calculations, functional-group annotations, and generated runtime assets. It should not be described as exhaustive.</w:t>
      </w:r>
    </w:p>
    <w:p>
      <w:r>
        <w:t>PROTACability refers to transparent structural-priority and design-readiness heuristics. It does not mean experimentally validated targeted degradation, productive ternary-complex prediction, guaranteed warhead tractability, or automated medicinal chemistry decision-making.</w:t>
      </w:r>
    </w:p>
    <w:p>
      <w:r>
        <w:t>The AutoDock-Vina PrepServer figure slot remains pending because the current workspace is V-LiSEMOD rather than the expected local docking-preparation application.</w:t>
      </w:r>
    </w:p>
    <w:p>
      <w:pPr>
        <w:pStyle w:val="Heading1"/>
      </w:pPr>
      <w:r>
        <w:t>Availability and Data Access</w:t>
      </w:r>
    </w:p>
    <w:p>
      <w:r>
        <w:t>Code availability: [REPOSITORY URL TO CONFIRM]</w:t>
      </w:r>
    </w:p>
    <w:p>
      <w:r>
        <w:t>Web availability: [PUBLIC URLS TO CONFIRM]</w:t>
      </w:r>
    </w:p>
    <w:p>
      <w:r>
        <w:t>Data availability: [DATA AVAILABILITY LANGUAGE TO CONFIRM]</w:t>
      </w:r>
    </w:p>
    <w:p>
      <w:r>
        <w:t>License: [LICENSE TO CONFIRM]</w:t>
      </w:r>
    </w:p>
    <w:p>
      <w:r>
        <w:t>Software dependencies and framework citations: [CITATION NEEDED: Flask/software framework] [CITATION NEEDED: SQLite] [CITATION NEEDED: PyMOL if cited] [CITATION NEEDED: Arpeggio/contact analysis if cited]</w:t>
      </w:r>
    </w:p>
    <w:p>
      <w:pPr>
        <w:pStyle w:val="Heading1"/>
      </w:pPr>
      <w:r>
        <w:t>Conclusions</w:t>
      </w:r>
    </w:p>
    <w:p>
      <w:r>
        <w:t>V-LiSEMOD provides a practical, transparent platform for structure-guided viral ligand review. Its contribution is evidence organization, hypothesis generation, design triage, and companion-tool context rather than prediction or automation.</w:t>
      </w:r>
    </w:p>
    <w:p>
      <w:pPr>
        <w:pStyle w:val="Heading1"/>
      </w:pPr>
      <w:r>
        <w:t>References</w:t>
      </w:r>
    </w:p>
    <w:p>
      <w:r>
        <w:t>References are placeholders and require curator review before submission.</w:t>
      </w:r>
    </w:p>
    <w:p>
      <w:r>
        <w:t>1. [CITATION NEEDED: RCSB/PDB or relevant structural database]</w:t>
      </w:r>
    </w:p>
    <w:p>
      <w:r>
        <w:t>2. [CITATION NEEDED: Flask/software framework]</w:t>
      </w:r>
    </w:p>
    <w:p>
      <w:r>
        <w:t>3. [CITATION NEEDED: SQLite or database layer if cited]</w:t>
      </w:r>
    </w:p>
    <w:p>
      <w:r>
        <w:t>4. [CITATION NEEDED: PyMOL if export workflow is discussed]</w:t>
      </w:r>
    </w:p>
    <w:p>
      <w:r>
        <w:t>5. [CITATION NEEDED: Arpeggio or contact-analysis method if cited]</w:t>
      </w:r>
    </w:p>
    <w:p>
      <w:r>
        <w:t>6. [CITATION NEEDED: solvent-accessible surface area method]</w:t>
      </w:r>
    </w:p>
    <w:p>
      <w:r>
        <w:t>7. [CITATION NEEDED: PROTAC review]</w:t>
      </w:r>
    </w:p>
    <w:p>
      <w:r>
        <w:t>8. [CITATION NEEDED: targeted protein degradation review]</w:t>
      </w:r>
    </w:p>
    <w:p>
      <w:r>
        <w:t>9. [CITATION NEEDED: viral structural bioinformatics or antiviral ligand-design context]</w:t>
      </w:r>
    </w:p>
    <w:p>
      <w:pPr>
        <w:pStyle w:val="Heading1"/>
      </w:pPr>
      <w:r>
        <w:t>Figure Captions</w:t>
      </w:r>
    </w:p>
    <w:p>
      <w:r>
        <w:t>Figure 1. Connected companion-tool ecosystem for structure-guided ligand and degrader-oriented workflows. Draft figure placeholder. The current ecosystem montage illustrates Warhead Hunter, V-LiSEMOD, PROTAC Builder, E3 Ligandalyzer, and PyMACS as companion resources for adjacent stages of structure-guided analysis. It supports ecosystem framing and downstream workflow continuity, but it does not establish full technical integration, synchronized execution across tools, or a single shared backend.</w:t>
      </w:r>
    </w:p>
    <w:p>
      <w:r>
        <w:t>Figure 2. AutoDock-Vina PrepServer web workflow. Draft figure placeholder. This slot is reserved for the docking-package preparation tool described in the planning materials. The present workspace is V-LiSEMOD rather than an AutoDock-Vina PrepServer repository, so no screenshot is inserted in this draft.</w:t>
      </w:r>
    </w:p>
    <w:p>
      <w:r>
        <w:t>Figure 3. Warhead Hunter public workflow and results-library context. Draft figure placeholder. Warhead Hunter is shown through a public workflow-launch panel and a public results-library crop. These screenshots demonstrate inspectable, exposure-oriented workflow surfaces, but they do not prove validated attachment-site selection, a guaranteed linker position, or automated PROTAC design success.</w:t>
      </w:r>
    </w:p>
    <w:p>
      <w:r>
        <w:t>Figure 4. V-LiSEMOD viral ligand evidence review and PROTACability-style triage. Draft figure placeholder. V-LiSEMOD is represented by Structure Explorer, Protein Query, Ligand Indexer, Ligand Comparison, and PROTACability-style triage panels. The figure supports a hypothesis-generation and structure-guided review claim. PROTACability outputs are structural-priority heuristics and should not be interpreted as experimentally validated degradation predictions or guaranteed target degradability.</w:t>
      </w:r>
    </w:p>
    <w:p>
      <w:r>
        <w:t>Figure 5. PROTAC Builder as a downstream continuation workspace. Draft figure placeholder. These panels position PROTAC Builder as a companion continuation tool for downstream warhead, linker, and recruiter assembly after upstream structural triage. The figure does not show experimental validation, guaranteed design success, or a fully unified automated pipeline.</w:t>
      </w:r>
    </w:p>
    <w:p>
      <w:r>
        <w:t>Figure 6. E3 Ligandalyzer and PyMACS as companion context resources. Draft figure placeholder. E3 Ligandalyzer provides recruiter-centered companion context, while PyMACS is represented as a companion computational repository. The figure should not be read as evidence that either resource is embedded directly into V-LiSEMOD or exposed through the same public web service.</w:t>
      </w:r>
    </w:p>
    <w:p>
      <w:r>
        <w:t>Figure 7. Public API and reproducibility evidence surfaces. Draft figure placeholder. The screenshot and captured endpoint files document public API/documentation surfaces and lightweight health or manifest evidence at the time of capture. They should not be interpreted as production-scale API guarantees, long-term endpoint stability, or service-level commitments.</w:t>
      </w:r>
    </w:p>
    <w:p>
      <w:pPr>
        <w:pStyle w:val="Heading1"/>
      </w:pPr>
      <w:r>
        <w:t>Table Captions</w:t>
      </w:r>
    </w:p>
    <w:p>
      <w:r>
        <w:t>Table 1. Platform capabilities: Current V-LiSEMOD modules and their primary user-facing roles.</w:t>
      </w:r>
    </w:p>
    <w:p>
      <w:r>
        <w:t>Table 2. Data-layer summary: Major V-LiSEMOD data layers supporting structure, ligand, interaction, solvent-exposure, and PROTACability workflows.</w:t>
      </w:r>
    </w:p>
    <w:p>
      <w:r>
        <w:t>Table 3. PROTACability interpretation guardrails: Interpretation boundaries for heuristic evidence layers.</w:t>
      </w:r>
    </w:p>
    <w:p>
      <w:r>
        <w:t>Table 4. Module-to-user-question map: Representative research questions supported by each V-LiSEMOD workflow.</w:t>
      </w:r>
    </w:p>
    <w:p>
      <w:r>
        <w:t>Table 5. Limitations and future work: Current limitations and future documentation or validation directions.</w:t>
      </w:r>
    </w:p>
    <w:p>
      <w:r>
        <w:t>Table 6. Reproducibility checklist: Items needed for reproducible local or provisioned V-LiSEMOD runs.</w:t>
      </w:r>
    </w:p>
    <w:p>
      <w:pPr>
        <w:pStyle w:val="Heading1"/>
      </w:pPr>
      <w:r>
        <w:t>Reviewer and Collaborator Notes</w:t>
      </w:r>
    </w:p>
    <w:p>
      <w:r>
        <w:t>This draft intentionally uses cautious language: heuristic triage, hypothesis generation, structure-guided review, representative screenshots, and companion-tool context.</w:t>
      </w:r>
    </w:p>
    <w:p>
      <w:r>
        <w:t>Citation placeholders, figure quality, public URLs, repository URL, license, data availability wording, and author/affiliation metadata need manual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