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 xml:space="preserve">For example, filter-feeding molluscs represent a nutritionally distinct and valuable source of minerals (ie.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Ca,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r w:rsidR="00D0434B" w:rsidRPr="00B17699">
        <w:rPr>
          <w:rFonts w:ascii="Times New Roman" w:eastAsia="Times New Roman" w:hAnsi="Times New Roman" w:cs="Times New Roman"/>
        </w:rPr>
        <w:t>well-being</w:t>
      </w:r>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(Kuhnlein and Receveur 2007, Kuhnlein et al. 2009, Kawarazuka and Bene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well </w:t>
      </w:r>
      <w:r w:rsidR="00975290" w:rsidRPr="00B17699">
        <w:rPr>
          <w:rFonts w:ascii="Times New Roman" w:hAnsi="Times New Roman" w:cs="Times New Roman"/>
          <w:b/>
        </w:rPr>
        <w:t xml:space="preserve">being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well-being.</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 xml:space="preserve">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(Hecky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Trites 2006; Romano et al. 2006, Osterblom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 xml:space="preserve">For human consumers, fish are a good source of high quality protein, a range of micronutrients and essential fatty acids (Tacon and Metian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(Roos et al. 2007, Tacon and Metian 2013). In many vulnerable communities around the world, fish consumption plays an important role in combating micronutrient deficiencies (Kawarazuka and Bene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(Roos et al. 2007). Locally caught seafood contributes significantly to micronutrient intakes in Arctic Canadian Indigenous populations (Kuhnlein and Receveur 2007, Johnson-Down and Egeland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well-being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pollock (0.24 g DHA/100g) would require 4-5 servings to meet the recommended daily requirements (Hyuhn and Kitts 2009). Thus, not all species are equally nutritionally valuable. This variability in essential fatty acid (EFA) content per serving size is related to the total fat content of the fish: the characteristically lean fish like pollock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humans consume diverse seafood species: finfish we tend to consume only the muscle tissue (except some small fishes), molluscs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leg meat and hepatopancreas</w:t>
      </w:r>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1DE3737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w:t>
      </w:r>
      <w:r w:rsidR="00595F3D">
        <w:rPr>
          <w:rFonts w:ascii="Times New Roman" w:hAnsi="Times New Roman" w:cs="Times New Roman"/>
          <w:b/>
        </w:rPr>
        <w:t xml:space="preserve">the </w:t>
      </w:r>
      <w:r>
        <w:rPr>
          <w:rFonts w:ascii="Times New Roman" w:hAnsi="Times New Roman" w:cs="Times New Roman"/>
          <w:b/>
        </w:rPr>
        <w:t xml:space="preserve">nutritional profile </w:t>
      </w:r>
      <w:r w:rsidR="00595F3D">
        <w:rPr>
          <w:rFonts w:ascii="Times New Roman" w:hAnsi="Times New Roman" w:cs="Times New Roman"/>
          <w:b/>
        </w:rPr>
        <w:t xml:space="preserve">of edible portions </w:t>
      </w:r>
      <w:r>
        <w:rPr>
          <w:rFonts w:ascii="Times New Roman" w:hAnsi="Times New Roman" w:cs="Times New Roman"/>
          <w:b/>
        </w:rPr>
        <w:t xml:space="preserve">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39D1E39E" w14:textId="77777777" w:rsidR="00595F3D" w:rsidRDefault="00595F3D" w:rsidP="00246CFA">
      <w:pPr>
        <w:rPr>
          <w:rFonts w:ascii="Times New Roman" w:hAnsi="Times New Roman" w:cs="Times New Roman"/>
          <w:b/>
        </w:rPr>
      </w:pPr>
    </w:p>
    <w:p w14:paraId="4415E523" w14:textId="77777777" w:rsidR="00595F3D" w:rsidRDefault="00595F3D" w:rsidP="00246CFA">
      <w:pPr>
        <w:rPr>
          <w:rFonts w:ascii="Times New Roman" w:hAnsi="Times New Roman" w:cs="Times New Roman"/>
          <w:b/>
        </w:rPr>
      </w:pPr>
    </w:p>
    <w:p w14:paraId="408F6375" w14:textId="50800C52" w:rsidR="00595F3D" w:rsidRDefault="00825A32" w:rsidP="00595F3D">
      <w:pPr>
        <w:pStyle w:val="Heading2"/>
        <w:spacing w:before="360" w:after="80" w:line="360" w:lineRule="auto"/>
      </w:pPr>
      <w:r>
        <w:rPr>
          <w:rFonts w:ascii="Times New Roman" w:eastAsia="Times New Roman" w:hAnsi="Times New Roman" w:cs="Times New Roman"/>
          <w:sz w:val="24"/>
          <w:szCs w:val="24"/>
        </w:rPr>
        <w:t>M</w:t>
      </w:r>
      <w:r w:rsidR="00595F3D">
        <w:rPr>
          <w:rFonts w:ascii="Times New Roman" w:eastAsia="Times New Roman" w:hAnsi="Times New Roman" w:cs="Times New Roman"/>
          <w:sz w:val="24"/>
          <w:szCs w:val="24"/>
        </w:rPr>
        <w:t>ethods</w:t>
      </w:r>
    </w:p>
    <w:p w14:paraId="57E75E70" w14:textId="6C2460DB" w:rsidR="00595F3D" w:rsidRDefault="00595F3D" w:rsidP="00595F3D">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commonly consumed aquatic taxa. To understand how nutrient content varies among species, we tested whether ecological traits known to be both biologically important and exhibit predictable scaling relationships could explain this variation. </w:t>
      </w:r>
      <w:commentRangeStart w:id="3"/>
      <w:r>
        <w:rPr>
          <w:rFonts w:ascii="Times New Roman" w:eastAsia="Times New Roman" w:hAnsi="Times New Roman" w:cs="Times New Roman"/>
          <w:sz w:val="24"/>
          <w:szCs w:val="24"/>
        </w:rPr>
        <w:t>[We synthesized SPATIALLY AND SIZE EXPLICIT DATA, TO IDENTIFY THRESHOLDS IN GEOGRAPHY AND OR BODY SIZE THAT INDICATE THAT A SPECIES ACHIEVES 25% RDI IN A SINGLE PORTION.]</w:t>
      </w:r>
      <w:commentRangeEnd w:id="3"/>
      <w:r>
        <w:rPr>
          <w:rStyle w:val="CommentReference"/>
        </w:rPr>
        <w:commentReference w:id="3"/>
      </w:r>
    </w:p>
    <w:p w14:paraId="621ECDD8" w14:textId="77777777" w:rsidR="00595F3D" w:rsidRDefault="00595F3D" w:rsidP="00595F3D">
      <w:pPr>
        <w:pStyle w:val="Heading3"/>
        <w:spacing w:before="280" w:after="80" w:line="360" w:lineRule="auto"/>
      </w:pPr>
      <w:bookmarkStart w:id="4" w:name="h.3znysh7" w:colFirst="0" w:colLast="0"/>
      <w:bookmarkEnd w:id="4"/>
      <w:r>
        <w:rPr>
          <w:rFonts w:ascii="Times New Roman" w:eastAsia="Times New Roman" w:hAnsi="Times New Roman" w:cs="Times New Roman"/>
          <w:color w:val="000000"/>
        </w:rPr>
        <w:t>Literature search and data collection</w:t>
      </w:r>
    </w:p>
    <w:p w14:paraId="52CBCB88" w14:textId="5039C198" w:rsidR="00595F3D" w:rsidRDefault="00595F3D" w:rsidP="00595F3D">
      <w:pPr>
        <w:pStyle w:val="normal0"/>
        <w:spacing w:line="360" w:lineRule="auto"/>
      </w:pPr>
      <w:r>
        <w:rPr>
          <w:rFonts w:ascii="Times New Roman" w:eastAsia="Times New Roman" w:hAnsi="Times New Roman" w:cs="Times New Roman"/>
          <w:sz w:val="24"/>
          <w:szCs w:val="24"/>
        </w:rPr>
        <w:t>To test how nutrient profile varies with ecological traits, we assembled a dataset of nutrient content in the edible portions of 400</w:t>
      </w:r>
      <w:commentRangeStart w:id="5"/>
      <w:r>
        <w:rPr>
          <w:rFonts w:ascii="Times New Roman" w:eastAsia="Times New Roman" w:hAnsi="Times New Roman" w:cs="Times New Roman"/>
          <w:sz w:val="24"/>
          <w:szCs w:val="24"/>
        </w:rPr>
        <w:t xml:space="preserve"> aquatic species</w:t>
      </w:r>
      <w:commentRangeEnd w:id="5"/>
      <w:r>
        <w:commentReference w:id="5"/>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t>
      </w:r>
      <w:commentRangeStart w:id="6"/>
      <w:r>
        <w:rPr>
          <w:rFonts w:ascii="Times New Roman" w:eastAsia="Times New Roman" w:hAnsi="Times New Roman" w:cs="Times New Roman"/>
          <w:sz w:val="24"/>
          <w:szCs w:val="24"/>
        </w:rPr>
        <w:t>We restricted our analysis to include only the edible portions of wild, raw fish (thus excluding prepared or farmed seafood items)</w:t>
      </w:r>
      <w:commentRangeEnd w:id="6"/>
      <w:r>
        <w:rPr>
          <w:rStyle w:val="CommentReference"/>
        </w:rPr>
        <w:commentReference w:id="6"/>
      </w:r>
      <w:r>
        <w:rPr>
          <w:rFonts w:ascii="Times New Roman" w:eastAsia="Times New Roman" w:hAnsi="Times New Roman" w:cs="Times New Roman"/>
          <w:sz w:val="24"/>
          <w:szCs w:val="24"/>
        </w:rPr>
        <w:t xml:space="preserve">. Our dataset includes quantities for the following microelements: calcium; iron; zinc; mercury and two fatty acids: eicosapentaenoic acid (EPA); and docosahexaenoic acid (DHA). To address inconsistencies in fatty acid data reporting, we standardized fatty acid measurements using the fatty acid </w:t>
      </w:r>
      <w:commentRangeStart w:id="7"/>
      <w:r>
        <w:rPr>
          <w:rFonts w:ascii="Times New Roman" w:eastAsia="Times New Roman" w:hAnsi="Times New Roman" w:cs="Times New Roman"/>
          <w:sz w:val="24"/>
          <w:szCs w:val="24"/>
        </w:rPr>
        <w:t>conversion factors proposed by Nowak et al. (2014).</w:t>
      </w:r>
      <w:commentRangeEnd w:id="7"/>
      <w:r>
        <w:commentReference w:id="7"/>
      </w:r>
    </w:p>
    <w:p w14:paraId="6F4C081B" w14:textId="77777777" w:rsidR="00595F3D" w:rsidRDefault="00595F3D" w:rsidP="00595F3D">
      <w:pPr>
        <w:pStyle w:val="normal0"/>
        <w:spacing w:line="360" w:lineRule="auto"/>
      </w:pPr>
    </w:p>
    <w:p w14:paraId="52DFDCA2" w14:textId="77777777" w:rsidR="00595F3D" w:rsidRDefault="00595F3D" w:rsidP="00595F3D">
      <w:pPr>
        <w:pStyle w:val="normal0"/>
        <w:spacing w:line="360" w:lineRule="auto"/>
      </w:pPr>
      <w:r>
        <w:rPr>
          <w:rFonts w:ascii="Times New Roman" w:eastAsia="Times New Roman" w:hAnsi="Times New Roman" w:cs="Times New Roman"/>
          <w:sz w:val="24"/>
          <w:szCs w:val="24"/>
        </w:rPr>
        <w:t>Ecological trait information was collected for each species from FishBase (Froese and Pauly 2014) and SeaLifeBase (Palomares and Pauly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a*length^b</w:t>
      </w:r>
      <w:r>
        <w:rPr>
          <w:rFonts w:ascii="Times New Roman" w:eastAsia="Times New Roman" w:hAnsi="Times New Roman" w:cs="Times New Roman"/>
          <w:sz w:val="24"/>
          <w:szCs w:val="24"/>
        </w:rPr>
        <w:t xml:space="preserve">). We used species-specific or taxon-specific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Froese et al. (2013).</w:t>
      </w:r>
    </w:p>
    <w:p w14:paraId="7120112F" w14:textId="77777777" w:rsidR="00595F3D" w:rsidRDefault="00595F3D" w:rsidP="00595F3D">
      <w:pPr>
        <w:pStyle w:val="Heading3"/>
        <w:spacing w:before="280" w:after="80" w:line="360" w:lineRule="auto"/>
      </w:pPr>
      <w:bookmarkStart w:id="8" w:name="h.2et92p0" w:colFirst="0" w:colLast="0"/>
      <w:bookmarkEnd w:id="8"/>
      <w:commentRangeStart w:id="9"/>
      <w:r>
        <w:rPr>
          <w:rFonts w:ascii="Times New Roman" w:eastAsia="Times New Roman" w:hAnsi="Times New Roman" w:cs="Times New Roman"/>
          <w:color w:val="000000"/>
        </w:rPr>
        <w:t>Statistical Analysis</w:t>
      </w:r>
      <w:commentRangeEnd w:id="9"/>
      <w:r>
        <w:rPr>
          <w:rStyle w:val="CommentReference"/>
          <w:rFonts w:ascii="Arial" w:eastAsia="Arial" w:hAnsi="Arial" w:cs="Arial"/>
          <w:b w:val="0"/>
          <w:bCs w:val="0"/>
          <w:color w:val="000000"/>
          <w:lang w:val="en-US"/>
        </w:rPr>
        <w:commentReference w:id="9"/>
      </w:r>
    </w:p>
    <w:p w14:paraId="76402C36" w14:textId="77777777" w:rsidR="00595F3D" w:rsidRDefault="00595F3D" w:rsidP="00595F3D">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16ED0270" w14:textId="77777777" w:rsidR="00595F3D" w:rsidRDefault="00595F3D" w:rsidP="00595F3D">
      <w:pPr>
        <w:pStyle w:val="normal0"/>
        <w:spacing w:line="360" w:lineRule="auto"/>
      </w:pPr>
    </w:p>
    <w:p w14:paraId="1D834F0B" w14:textId="77777777" w:rsidR="00595F3D" w:rsidRDefault="00595F3D" w:rsidP="00595F3D">
      <w:pPr>
        <w:pStyle w:val="normal0"/>
        <w:spacing w:line="576" w:lineRule="auto"/>
      </w:pPr>
      <w:r>
        <w:rPr>
          <w:rFonts w:ascii="Times New Roman" w:eastAsia="Times New Roman" w:hAnsi="Times New Roman" w:cs="Times New Roman"/>
          <w:sz w:val="24"/>
          <w:szCs w:val="24"/>
        </w:rPr>
        <w:t xml:space="preserve">ln(nutrient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 xml:space="preserve">*ln(body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 xml:space="preserve">*ln(body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*ln(body size)*(habitat) + ε</w:t>
      </w:r>
      <w:r>
        <w:rPr>
          <w:rFonts w:ascii="Times New Roman" w:eastAsia="Times New Roman" w:hAnsi="Times New Roman" w:cs="Times New Roman"/>
          <w:sz w:val="14"/>
          <w:szCs w:val="14"/>
          <w:vertAlign w:val="subscript"/>
        </w:rPr>
        <w:t>i</w:t>
      </w:r>
    </w:p>
    <w:p w14:paraId="517C0FFE"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We identified the best subset of models using the Akaike Information Criterion, adjusted for small sample sizes (AICc). We used AICc, δaic and Akaike weights (w) to compare models. We ranked models based on w, and selected the set of models that produced a cumulative w &gt; 0.95, meaning that we are 95% confident that the chosen set includes the best model (Burnham and Anderson 2002).</w:t>
      </w:r>
    </w:p>
    <w:p w14:paraId="1F7E698E" w14:textId="77777777" w:rsidR="00595F3D" w:rsidRDefault="00595F3D" w:rsidP="00595F3D">
      <w:pPr>
        <w:pStyle w:val="normal0"/>
        <w:spacing w:line="360" w:lineRule="auto"/>
      </w:pPr>
    </w:p>
    <w:p w14:paraId="4FA41DBD" w14:textId="77777777" w:rsidR="00595F3D" w:rsidRDefault="00595F3D" w:rsidP="00595F3D">
      <w:pPr>
        <w:pStyle w:val="normal0"/>
        <w:spacing w:line="360" w:lineRule="auto"/>
      </w:pPr>
      <w:commentRangeStart w:id="10"/>
      <w:commentRangeStart w:id="11"/>
      <w:r>
        <w:rPr>
          <w:rFonts w:ascii="Times New Roman" w:eastAsia="Times New Roman" w:hAnsi="Times New Roman" w:cs="Times New Roman"/>
          <w:sz w:val="24"/>
          <w:szCs w:val="24"/>
        </w:rPr>
        <w:t>We report all models with AICc differences ( δaic = AIC</w:t>
      </w:r>
      <w:r>
        <w:rPr>
          <w:rFonts w:ascii="Times New Roman" w:eastAsia="Times New Roman" w:hAnsi="Times New Roman" w:cs="Times New Roman"/>
          <w:sz w:val="24"/>
          <w:szCs w:val="24"/>
          <w:vertAlign w:val="subscript"/>
        </w:rPr>
        <w:t>i</w:t>
      </w:r>
      <w:r>
        <w:rPr>
          <w:rFonts w:ascii="Arial Unicode MS" w:eastAsia="Arial Unicode MS" w:hAnsi="Arial Unicode MS" w:cs="Arial Unicode MS"/>
          <w:sz w:val="24"/>
          <w:szCs w:val="24"/>
        </w:rPr>
        <w:t xml:space="preserve"> − AIC</w:t>
      </w:r>
      <w:r>
        <w:rPr>
          <w:rFonts w:ascii="Times New Roman" w:eastAsia="Times New Roman" w:hAnsi="Times New Roman" w:cs="Times New Roman"/>
          <w:sz w:val="24"/>
          <w:szCs w:val="24"/>
          <w:vertAlign w:val="subscript"/>
        </w:rPr>
        <w:t>min</w:t>
      </w:r>
      <w:r>
        <w:rPr>
          <w:rFonts w:ascii="Cardo" w:eastAsia="Cardo" w:hAnsi="Cardo" w:cs="Cardo"/>
          <w:sz w:val="24"/>
          <w:szCs w:val="24"/>
        </w:rPr>
        <w:t>) less than or equal to two ( δaic ≤ 2).</w:t>
      </w:r>
      <w:commentRangeEnd w:id="10"/>
      <w:r>
        <w:commentReference w:id="10"/>
      </w:r>
      <w:commentRangeEnd w:id="11"/>
      <w:r>
        <w:commentReference w:id="11"/>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δaic &lt; 2, and included zeros as coefficients when variables did not enter a particular model (Burnham and Anderson 2002). We conducted all our analyses in R version 3.1.2 (R Core Development 2014) using the MuMIn package (</w:t>
      </w:r>
      <w:hyperlink r:id="rId7">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6615BB7E" w14:textId="77777777" w:rsidR="00595F3D" w:rsidRDefault="00595F3D" w:rsidP="00595F3D">
      <w:pPr>
        <w:pStyle w:val="normal0"/>
        <w:spacing w:line="360" w:lineRule="auto"/>
      </w:pPr>
    </w:p>
    <w:p w14:paraId="6AC6B6D3" w14:textId="77777777" w:rsidR="00595F3D" w:rsidRDefault="00595F3D" w:rsidP="00595F3D">
      <w:pPr>
        <w:pStyle w:val="normal0"/>
        <w:spacing w:line="360" w:lineRule="auto"/>
      </w:pPr>
      <w:r>
        <w:rPr>
          <w:rFonts w:ascii="Times New Roman" w:eastAsia="Times New Roman" w:hAnsi="Times New Roman" w:cs="Times New Roman"/>
          <w:sz w:val="24"/>
          <w:szCs w:val="24"/>
          <w:highlight w:val="yellow"/>
        </w:rPr>
        <w:t>-somewhere here, need to address multi-collinearity of predictor variables etc.</w:t>
      </w:r>
    </w:p>
    <w:p w14:paraId="62336B1F" w14:textId="77777777" w:rsidR="00595F3D" w:rsidRDefault="00595F3D" w:rsidP="00246CFA">
      <w:pPr>
        <w:rPr>
          <w:rFonts w:ascii="Times New Roman" w:hAnsi="Times New Roman" w:cs="Times New Roman"/>
          <w:b/>
        </w:rPr>
      </w:pPr>
    </w:p>
    <w:p w14:paraId="1083C76F" w14:textId="2E2F1CAF" w:rsidR="00A463B7" w:rsidRDefault="00595F3D" w:rsidP="00550F29">
      <w:pPr>
        <w:rPr>
          <w:rFonts w:ascii="Times New Roman" w:hAnsi="Times New Roman" w:cs="Times New Roman"/>
          <w:b/>
        </w:rPr>
      </w:pPr>
      <w:r>
        <w:rPr>
          <w:rFonts w:ascii="Times New Roman" w:hAnsi="Times New Roman" w:cs="Times New Roman"/>
          <w:b/>
        </w:rPr>
        <w:t>Results:</w:t>
      </w:r>
    </w:p>
    <w:p w14:paraId="1361E8DD" w14:textId="77777777" w:rsidR="00595F3D" w:rsidRDefault="00595F3D" w:rsidP="00550F29">
      <w:pPr>
        <w:rPr>
          <w:rFonts w:ascii="Times New Roman" w:hAnsi="Times New Roman" w:cs="Times New Roman"/>
          <w:b/>
        </w:rPr>
      </w:pPr>
    </w:p>
    <w:p w14:paraId="541D0AF3" w14:textId="2B4B5700" w:rsidR="002E2FBB" w:rsidRDefault="001149D6" w:rsidP="00550F29">
      <w:pPr>
        <w:rPr>
          <w:rFonts w:ascii="Times New Roman" w:hAnsi="Times New Roman" w:cs="Times New Roman"/>
          <w:b/>
        </w:rPr>
      </w:pPr>
      <w:r>
        <w:rPr>
          <w:rFonts w:ascii="Times New Roman" w:hAnsi="Times New Roman" w:cs="Times New Roman"/>
          <w:b/>
        </w:rPr>
        <w:t>Main messages:</w:t>
      </w:r>
    </w:p>
    <w:p w14:paraId="5940F030" w14:textId="77777777" w:rsidR="001149D6" w:rsidRDefault="001149D6" w:rsidP="00550F29">
      <w:pPr>
        <w:rPr>
          <w:rFonts w:ascii="Times New Roman" w:hAnsi="Times New Roman" w:cs="Times New Roman"/>
          <w:b/>
        </w:rPr>
      </w:pPr>
    </w:p>
    <w:p w14:paraId="750A89DB" w14:textId="30578DEC"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There is considerable variability in nutritional profile among aquatic taxa.</w:t>
      </w:r>
    </w:p>
    <w:p w14:paraId="0455749E" w14:textId="4A363B54" w:rsidR="001149D6" w:rsidRPr="001149D6" w:rsidRDefault="001149D6" w:rsidP="001149D6">
      <w:pPr>
        <w:pStyle w:val="ListParagraph"/>
        <w:numPr>
          <w:ilvl w:val="0"/>
          <w:numId w:val="2"/>
        </w:numPr>
        <w:rPr>
          <w:rFonts w:ascii="Times New Roman" w:hAnsi="Times New Roman" w:cs="Times New Roman"/>
          <w:b/>
        </w:rPr>
      </w:pPr>
      <w:r w:rsidRPr="001149D6">
        <w:rPr>
          <w:rFonts w:ascii="Times New Roman" w:hAnsi="Times New Roman" w:cs="Times New Roman"/>
          <w:b/>
        </w:rPr>
        <w:t>Functional groups have distinct multi-nutrient profiles (mds plot with finfish/crustaceans/molluscs color coded).</w:t>
      </w:r>
    </w:p>
    <w:p w14:paraId="06708B32" w14:textId="6AF2F3C0"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Within functional groups, some traits such body size and latitude are strongly associated with nutritional profile.</w:t>
      </w:r>
    </w:p>
    <w:p w14:paraId="42D603FA" w14:textId="27635EF8" w:rsidR="00A91F6C" w:rsidRDefault="00A91F6C" w:rsidP="001149D6">
      <w:pPr>
        <w:pStyle w:val="ListParagraph"/>
        <w:numPr>
          <w:ilvl w:val="0"/>
          <w:numId w:val="2"/>
        </w:numPr>
        <w:rPr>
          <w:rFonts w:ascii="Times New Roman" w:hAnsi="Times New Roman" w:cs="Times New Roman"/>
          <w:b/>
        </w:rPr>
      </w:pPr>
      <w:r>
        <w:rPr>
          <w:rFonts w:ascii="Times New Roman" w:hAnsi="Times New Roman" w:cs="Times New Roman"/>
          <w:b/>
        </w:rPr>
        <w:t>Few species contain reach DRI targets for multiple nutrients.</w:t>
      </w:r>
    </w:p>
    <w:p w14:paraId="29EC57D9" w14:textId="2882F3F7"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Functional group diversity enhances dietary nutritional diversity and nutritional benefits that human communities may derive from seafood assemblages.</w:t>
      </w:r>
      <w:r w:rsidR="00A91F6C">
        <w:rPr>
          <w:rFonts w:ascii="Times New Roman" w:hAnsi="Times New Roman" w:cs="Times New Roman"/>
          <w:b/>
        </w:rPr>
        <w:t xml:space="preserve"> </w:t>
      </w:r>
    </w:p>
    <w:p w14:paraId="640AB750" w14:textId="09AE6D2A" w:rsidR="00D067EE" w:rsidRDefault="00D067EE" w:rsidP="001149D6">
      <w:pPr>
        <w:pStyle w:val="ListParagraph"/>
        <w:numPr>
          <w:ilvl w:val="0"/>
          <w:numId w:val="2"/>
        </w:numPr>
        <w:rPr>
          <w:rFonts w:ascii="Times New Roman" w:hAnsi="Times New Roman" w:cs="Times New Roman"/>
          <w:b/>
        </w:rPr>
      </w:pPr>
      <w:r>
        <w:rPr>
          <w:rFonts w:ascii="Times New Roman" w:hAnsi="Times New Roman" w:cs="Times New Roman"/>
          <w:b/>
        </w:rPr>
        <w:t>ADD SOME SORT OF CASE STUDY THAT LOOKS AT NUTRITIONAL FUNCTIONAL DIVERSITY IN A GIVEN COUNTRY OR TAXON??</w:t>
      </w:r>
      <w:bookmarkStart w:id="12" w:name="_GoBack"/>
      <w:bookmarkEnd w:id="12"/>
    </w:p>
    <w:p w14:paraId="2C716C40" w14:textId="77777777" w:rsidR="00EE6A99" w:rsidRDefault="00EE6A99" w:rsidP="00EE6A99">
      <w:pPr>
        <w:rPr>
          <w:rFonts w:ascii="Times New Roman" w:hAnsi="Times New Roman" w:cs="Times New Roman"/>
          <w:b/>
        </w:rPr>
      </w:pPr>
    </w:p>
    <w:p w14:paraId="33DAE877" w14:textId="77777777" w:rsidR="00EE6A99" w:rsidRDefault="00EE6A99" w:rsidP="00EE6A99">
      <w:pPr>
        <w:rPr>
          <w:rFonts w:ascii="Times New Roman" w:hAnsi="Times New Roman" w:cs="Times New Roman"/>
          <w:b/>
        </w:rPr>
      </w:pPr>
    </w:p>
    <w:p w14:paraId="7014EEC0" w14:textId="3098EA38" w:rsidR="00EE6A99" w:rsidRDefault="00EE6A99" w:rsidP="00EE6A99">
      <w:pPr>
        <w:rPr>
          <w:rFonts w:ascii="Times New Roman" w:hAnsi="Times New Roman" w:cs="Times New Roman"/>
          <w:b/>
        </w:rPr>
      </w:pPr>
      <w:r>
        <w:rPr>
          <w:rFonts w:ascii="Times New Roman" w:hAnsi="Times New Roman" w:cs="Times New Roman"/>
          <w:b/>
        </w:rPr>
        <w:t>Discussion:</w:t>
      </w:r>
    </w:p>
    <w:p w14:paraId="6E182D90" w14:textId="77777777" w:rsidR="00EE6A99" w:rsidRDefault="00EE6A99" w:rsidP="00EE6A99">
      <w:pPr>
        <w:rPr>
          <w:rFonts w:ascii="Times New Roman" w:hAnsi="Times New Roman" w:cs="Times New Roman"/>
          <w:b/>
        </w:rPr>
      </w:pPr>
    </w:p>
    <w:p w14:paraId="27A59D2D" w14:textId="77777777" w:rsidR="00A91F6C" w:rsidRDefault="00A91F6C" w:rsidP="00A91F6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the substantial variation in the nutritional content of an edible portion among seafood species can be explained partly major ecological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rai</w:t>
      </w:r>
      <w:r>
        <w:rPr>
          <w:rFonts w:ascii="Times New Roman" w:eastAsia="Times New Roman" w:hAnsi="Times New Roman" w:cs="Times New Roman"/>
          <w:sz w:val="24"/>
          <w:szCs w:val="24"/>
        </w:rPr>
        <w:t xml:space="preserve">ts: functional group, </w:t>
      </w:r>
      <w:r>
        <w:rPr>
          <w:rFonts w:ascii="Times New Roman" w:eastAsia="Times New Roman" w:hAnsi="Times New Roman" w:cs="Times New Roman"/>
          <w:sz w:val="24"/>
          <w:szCs w:val="24"/>
        </w:rPr>
        <w:t xml:space="preserve">latitude, body size and habitat associations. </w:t>
      </w:r>
    </w:p>
    <w:p w14:paraId="62464506" w14:textId="77777777" w:rsidR="00A91F6C" w:rsidRDefault="00A91F6C" w:rsidP="00A91F6C">
      <w:pPr>
        <w:pStyle w:val="normal0"/>
        <w:spacing w:line="360" w:lineRule="auto"/>
        <w:rPr>
          <w:rFonts w:ascii="Times New Roman" w:eastAsia="Times New Roman" w:hAnsi="Times New Roman" w:cs="Times New Roman"/>
          <w:sz w:val="24"/>
          <w:szCs w:val="24"/>
        </w:rPr>
      </w:pPr>
    </w:p>
    <w:p w14:paraId="3CD2D3B7" w14:textId="654BD04D" w:rsidR="00A91F6C" w:rsidRDefault="00A91F6C" w:rsidP="00A91F6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DRI, very few species reach 25% of DRI for more than one micronutrient in a single portion. This means that to achieve RDI targets for a broad range of micronutrients, human diets must contain a variety of seafood species.</w:t>
      </w:r>
    </w:p>
    <w:p w14:paraId="7F10F9D4" w14:textId="77777777" w:rsidR="00A91F6C" w:rsidRDefault="00A91F6C" w:rsidP="00A91F6C">
      <w:pPr>
        <w:pStyle w:val="normal0"/>
        <w:spacing w:line="360" w:lineRule="auto"/>
        <w:rPr>
          <w:rFonts w:ascii="Times New Roman" w:eastAsia="Times New Roman" w:hAnsi="Times New Roman" w:cs="Times New Roman"/>
          <w:sz w:val="24"/>
          <w:szCs w:val="24"/>
        </w:rPr>
      </w:pPr>
    </w:p>
    <w:p w14:paraId="494D3EDD" w14:textId="77777777" w:rsidR="00A91F6C" w:rsidRDefault="00A91F6C" w:rsidP="00A91F6C">
      <w:pPr>
        <w:pStyle w:val="normal0"/>
        <w:spacing w:line="360" w:lineRule="auto"/>
        <w:rPr>
          <w:rFonts w:ascii="Times New Roman" w:eastAsia="Times New Roman" w:hAnsi="Times New Roman" w:cs="Times New Roman"/>
          <w:sz w:val="24"/>
          <w:szCs w:val="24"/>
        </w:rPr>
      </w:pPr>
    </w:p>
    <w:p w14:paraId="11B55083" w14:textId="178B9E58" w:rsidR="00A91F6C" w:rsidRDefault="00A91F6C" w:rsidP="00A91F6C">
      <w:pPr>
        <w:pStyle w:val="normal0"/>
        <w:spacing w:line="360" w:lineRule="auto"/>
      </w:pPr>
      <w:r>
        <w:rPr>
          <w:rFonts w:ascii="Times New Roman" w:eastAsia="Times New Roman" w:hAnsi="Times New Roman" w:cs="Times New Roman"/>
          <w:b/>
          <w:sz w:val="24"/>
          <w:szCs w:val="24"/>
        </w:rPr>
        <w:t xml:space="preserve">The two axes that most strongly control nutritional content of the edible portion are body size and latitude. In order to meet at least 25% of RDI for a range of nutrients, species must be XX size </w:t>
      </w:r>
      <w:commentRangeStart w:id="13"/>
      <w:r>
        <w:rPr>
          <w:rFonts w:ascii="Times New Roman" w:eastAsia="Times New Roman" w:hAnsi="Times New Roman" w:cs="Times New Roman"/>
          <w:b/>
          <w:sz w:val="24"/>
          <w:szCs w:val="24"/>
        </w:rPr>
        <w:t>and</w:t>
      </w:r>
      <w:commentRangeEnd w:id="13"/>
      <w:r>
        <w:commentReference w:id="13"/>
      </w:r>
      <w:r>
        <w:rPr>
          <w:rFonts w:ascii="Times New Roman" w:eastAsia="Times New Roman" w:hAnsi="Times New Roman" w:cs="Times New Roman"/>
          <w:b/>
          <w:sz w:val="24"/>
          <w:szCs w:val="24"/>
        </w:rPr>
        <w:t xml:space="preserve"> come from XX latitude. For calcium, all species that contain 25% of RDI in one portion are 6.43kg or smaller. </w:t>
      </w:r>
      <w:r>
        <w:rPr>
          <w:rFonts w:ascii="Times New Roman" w:eastAsia="Times New Roman" w:hAnsi="Times New Roman" w:cs="Times New Roman"/>
          <w:sz w:val="24"/>
          <w:szCs w:val="24"/>
        </w:rPr>
        <w:t>In contrast to much of the existing work on stoichiometry in fishes, which address patterns of macroelement and macronutrient variability, here we studied variability in microelemental composition. We found even greater levels of variability in micronutrient stoichiometry than have been documented in the literature for macroelements. We found that Calcium content per edible portion varied by more than 500-fold (min=2.99, max=1503.00, median=45.15 mg/100 g). Fatty acids varied by X amount. Essential microelements varied by X fold, while non-essential elements such as mercury varied by X amount. It is possible that we found higher levels of variability than have been previously documented because we focused on micronutrients, which may be more variable across taxa than macronutrients due to their higher degree of functional specificity or lower level of homeostasis (Karimi et al. 2006). In addition, we sampled fishes over a much greater range of taxa, body sizes, geographic origins etc. Further, our data are for the edible portion of fish, which includes different body tissues depending on the species and its size. Sometimes the edible portion contains organs such as liver and skeleton, sometimes it is just muscle tissue. Nonetheless, in spite of the diversity of fishes included in our analysis, we found that our models had relatively high levels of explanatory power, suggesting that we have identified some traits that have a strong influence on whole body stoichiometry as well as the stoichiometry of the edible portion.</w:t>
      </w:r>
    </w:p>
    <w:p w14:paraId="22D2F2B2" w14:textId="77777777" w:rsidR="00A91F6C" w:rsidRDefault="00A91F6C" w:rsidP="00EE6A99">
      <w:pPr>
        <w:rPr>
          <w:rFonts w:ascii="Times New Roman" w:hAnsi="Times New Roman" w:cs="Times New Roman"/>
          <w:b/>
        </w:rPr>
      </w:pPr>
    </w:p>
    <w:p w14:paraId="68BF56A6" w14:textId="6FFDDE11" w:rsidR="00EE6A99" w:rsidRDefault="00EE6A99" w:rsidP="00EE6A99">
      <w:pPr>
        <w:pStyle w:val="normal0"/>
        <w:spacing w:line="360" w:lineRule="auto"/>
      </w:pPr>
      <w:r>
        <w:rPr>
          <w:rFonts w:ascii="Times New Roman" w:eastAsia="Times New Roman" w:hAnsi="Times New Roman" w:cs="Times New Roman"/>
          <w:sz w:val="24"/>
          <w:szCs w:val="24"/>
        </w:rPr>
        <w:t xml:space="preserve">The degree of variability we documented in the edible portion is substantially higher than variability documented among whole body measurements of elemental composition of fishes documented in the ecological literature. This could be due to the fact we are sampling across much broader habitat/latitudinal/phylogenetic ranges, and/or because nutrient deposition is not uniform across body tissues, so including samples that are not uniform in their inclusion of body parts could increase the range of variability. Nonetheless, the relevant metric of nutritional value from the human perspective is the nutrient content of the edible portion, not the whole body. Thus, documented variability in whole body elemental composition may underestimate the variability in nutritional value of the edible portion.  </w:t>
      </w:r>
    </w:p>
    <w:p w14:paraId="0EAEF37A" w14:textId="77777777" w:rsidR="00EE6A99" w:rsidRPr="00EE6A99" w:rsidRDefault="00EE6A99" w:rsidP="00EE6A99">
      <w:pPr>
        <w:rPr>
          <w:rFonts w:ascii="Times New Roman" w:hAnsi="Times New Roman" w:cs="Times New Roman"/>
          <w:b/>
        </w:rPr>
      </w:pPr>
    </w:p>
    <w:sectPr w:rsidR="00EE6A99" w:rsidRPr="00EE6A99"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EE6A99" w:rsidRDefault="00EE6A99">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EE6A99" w:rsidRDefault="00EE6A99">
      <w:pPr>
        <w:pStyle w:val="CommentText"/>
      </w:pPr>
      <w:r>
        <w:rPr>
          <w:rStyle w:val="CommentReference"/>
        </w:rPr>
        <w:annotationRef/>
      </w:r>
      <w:r>
        <w:t>Target audience: applied ecologists</w:t>
      </w:r>
    </w:p>
    <w:p w14:paraId="7F532613" w14:textId="77777777" w:rsidR="00EE6A99" w:rsidRDefault="00EE6A99">
      <w:pPr>
        <w:pStyle w:val="CommentText"/>
      </w:pPr>
      <w:r>
        <w:t>The target literature is the ecosystem services literature (i.e. not fisheries, not nutrition etc.)</w:t>
      </w:r>
    </w:p>
    <w:p w14:paraId="33E890DA" w14:textId="77777777" w:rsidR="00EE6A99" w:rsidRDefault="00EE6A99">
      <w:pPr>
        <w:pStyle w:val="CommentText"/>
      </w:pPr>
    </w:p>
    <w:p w14:paraId="7C09CF09" w14:textId="61BCCEE6" w:rsidR="00EE6A99" w:rsidRDefault="00EE6A99">
      <w:pPr>
        <w:pStyle w:val="CommentText"/>
      </w:pPr>
      <w:r>
        <w:t>The novelty is: We articulate and demonstrate how to assess the relationship between ecological structure and human well-being, something that is rarely done adequately in the literature (i.e. see Cardinale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EE6A99" w:rsidRDefault="00EE6A99"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EE6A99" w:rsidRDefault="00EE6A99"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EE6A99" w:rsidRDefault="00EE6A99"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EE6A99" w:rsidRDefault="00EE6A99"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EE6A99" w:rsidRDefault="00EE6A99" w:rsidP="00A463B7">
      <w:pPr>
        <w:pStyle w:val="ListParagraph"/>
        <w:rPr>
          <w:rFonts w:ascii="Times New Roman" w:eastAsia="Times New Roman" w:hAnsi="Times New Roman" w:cs="Times New Roman"/>
          <w:b/>
        </w:rPr>
      </w:pPr>
    </w:p>
    <w:p w14:paraId="340B4306" w14:textId="2F171C6A" w:rsidR="00EE6A99" w:rsidRDefault="00EE6A99">
      <w:pPr>
        <w:pStyle w:val="CommentText"/>
      </w:pPr>
    </w:p>
  </w:comment>
  <w:comment w:id="3" w:author="Joey Bernhardt" w:date="2015-12-09T13:50:00Z" w:initials="JB">
    <w:p w14:paraId="4AA4AB77" w14:textId="04FC9DC4" w:rsidR="00EE6A99" w:rsidRDefault="00EE6A99">
      <w:pPr>
        <w:pStyle w:val="CommentText"/>
      </w:pPr>
      <w:r>
        <w:rPr>
          <w:rStyle w:val="CommentReference"/>
        </w:rPr>
        <w:annotationRef/>
      </w:r>
      <w:r>
        <w:t>From older version of paper, not sure this is so relevant here.</w:t>
      </w:r>
    </w:p>
  </w:comment>
  <w:comment w:id="5" w:author="Mary O'Connor" w:date="2015-12-09T13:47:00Z" w:initials="">
    <w:p w14:paraId="6ABED765" w14:textId="77777777" w:rsidR="00EE6A99" w:rsidRDefault="00EE6A99" w:rsidP="00595F3D">
      <w:pPr>
        <w:pStyle w:val="normal0"/>
        <w:widowControl w:val="0"/>
        <w:spacing w:line="240" w:lineRule="auto"/>
      </w:pPr>
      <w:r>
        <w:t>reference here a table that will tell us what those species are. Maybe in the SI? Also a brief table of how many are fish, inverts, etc. and for which species you have info on which nutrient.</w:t>
      </w:r>
    </w:p>
  </w:comment>
  <w:comment w:id="6" w:author="Joey Bernhardt" w:date="2015-12-09T13:51:00Z" w:initials="JB">
    <w:p w14:paraId="52C4D5F6" w14:textId="3B4DEE5E" w:rsidR="00EE6A99" w:rsidRDefault="00EE6A99">
      <w:pPr>
        <w:pStyle w:val="CommentText"/>
      </w:pPr>
      <w:r>
        <w:rPr>
          <w:rStyle w:val="CommentReference"/>
        </w:rPr>
        <w:annotationRef/>
      </w:r>
      <w:r>
        <w:t>This isn’t quite true now with some of the new mollusk species</w:t>
      </w:r>
    </w:p>
  </w:comment>
  <w:comment w:id="7" w:author="Matthew Siegle" w:date="2015-12-09T13:47:00Z" w:initials="">
    <w:p w14:paraId="365A2997" w14:textId="77777777" w:rsidR="00EE6A99" w:rsidRDefault="00EE6A99" w:rsidP="00595F3D">
      <w:pPr>
        <w:pStyle w:val="normal0"/>
        <w:widowControl w:val="0"/>
        <w:spacing w:line="240" w:lineRule="auto"/>
      </w:pPr>
      <w:r>
        <w:t>brief description of this</w:t>
      </w:r>
    </w:p>
  </w:comment>
  <w:comment w:id="9" w:author="Joey Bernhardt" w:date="2015-12-09T13:52:00Z" w:initials="JB">
    <w:p w14:paraId="37BE6E9B" w14:textId="3E02FAF2" w:rsidR="00EE6A99" w:rsidRDefault="00EE6A99">
      <w:pPr>
        <w:pStyle w:val="CommentText"/>
      </w:pPr>
      <w:r>
        <w:rPr>
          <w:rStyle w:val="CommentReference"/>
        </w:rPr>
        <w:annotationRef/>
      </w:r>
      <w:r>
        <w:t>need to add in details on the multivariate stats.</w:t>
      </w:r>
    </w:p>
  </w:comment>
  <w:comment w:id="10" w:author="Mary O'Connor" w:date="2015-12-09T13:47:00Z" w:initials="">
    <w:p w14:paraId="3BFA4EE9" w14:textId="77777777" w:rsidR="00EE6A99" w:rsidRDefault="00EE6A99" w:rsidP="00595F3D">
      <w:pPr>
        <w:pStyle w:val="normal0"/>
        <w:widowControl w:val="0"/>
        <w:spacing w:line="240" w:lineRule="auto"/>
      </w:pPr>
      <w:r>
        <w:t>we need to report all of them. You could say here we averaged these models with delta vals &lt; 2</w:t>
      </w:r>
    </w:p>
  </w:comment>
  <w:comment w:id="11" w:author="Joey Bernhardt" w:date="2015-12-09T13:47:00Z" w:initials="">
    <w:p w14:paraId="0CB21E4F" w14:textId="77777777" w:rsidR="00EE6A99" w:rsidRDefault="00EE6A99" w:rsidP="00595F3D">
      <w:pPr>
        <w:pStyle w:val="normal0"/>
        <w:widowControl w:val="0"/>
        <w:spacing w:line="240" w:lineRule="auto"/>
      </w:pPr>
      <w:r>
        <w:t>ok yes, will do</w:t>
      </w:r>
    </w:p>
  </w:comment>
  <w:comment w:id="13" w:author="Joey Bernhardt" w:date="2015-12-09T14:13:00Z" w:initials="">
    <w:p w14:paraId="73DE6DC1" w14:textId="77777777" w:rsidR="00A91F6C" w:rsidRDefault="00A91F6C" w:rsidP="00A91F6C">
      <w:pPr>
        <w:pStyle w:val="normal0"/>
        <w:widowControl w:val="0"/>
        <w:spacing w:line="240" w:lineRule="auto"/>
      </w:pPr>
      <w:r>
        <w:t>identify these thresholds, and if they vary in direction depending on the nutrient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0D51"/>
    <w:multiLevelType w:val="hybridMultilevel"/>
    <w:tmpl w:val="B94A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49D6"/>
    <w:rsid w:val="00115ABA"/>
    <w:rsid w:val="001C551A"/>
    <w:rsid w:val="001F3FC5"/>
    <w:rsid w:val="0024109E"/>
    <w:rsid w:val="00246CFA"/>
    <w:rsid w:val="002E2FBB"/>
    <w:rsid w:val="002F535C"/>
    <w:rsid w:val="003307D9"/>
    <w:rsid w:val="003400D1"/>
    <w:rsid w:val="004174B2"/>
    <w:rsid w:val="00442796"/>
    <w:rsid w:val="004E60E0"/>
    <w:rsid w:val="005163B3"/>
    <w:rsid w:val="00550F29"/>
    <w:rsid w:val="00595F3D"/>
    <w:rsid w:val="006353BD"/>
    <w:rsid w:val="007E4AFF"/>
    <w:rsid w:val="00825A32"/>
    <w:rsid w:val="00904159"/>
    <w:rsid w:val="00952BF7"/>
    <w:rsid w:val="00975290"/>
    <w:rsid w:val="00987BEF"/>
    <w:rsid w:val="009E6056"/>
    <w:rsid w:val="00A463B7"/>
    <w:rsid w:val="00A91F6C"/>
    <w:rsid w:val="00B17699"/>
    <w:rsid w:val="00B3189C"/>
    <w:rsid w:val="00B34778"/>
    <w:rsid w:val="00C1503E"/>
    <w:rsid w:val="00D0434B"/>
    <w:rsid w:val="00D067EE"/>
    <w:rsid w:val="00D42066"/>
    <w:rsid w:val="00D57615"/>
    <w:rsid w:val="00D81216"/>
    <w:rsid w:val="00DF3C4B"/>
    <w:rsid w:val="00EE44E9"/>
    <w:rsid w:val="00EE6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r-forge.r-project.org/projects/mu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2619</Words>
  <Characters>14930</Characters>
  <Application>Microsoft Macintosh Word</Application>
  <DocSecurity>0</DocSecurity>
  <Lines>124</Lines>
  <Paragraphs>35</Paragraphs>
  <ScaleCrop>false</ScaleCrop>
  <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7</cp:revision>
  <dcterms:created xsi:type="dcterms:W3CDTF">2015-12-08T22:05:00Z</dcterms:created>
  <dcterms:modified xsi:type="dcterms:W3CDTF">2015-12-09T22:21:00Z</dcterms:modified>
</cp:coreProperties>
</file>