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37A7EAF"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3598E9DD"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r w:rsidR="00A23C48" w:rsidRPr="00DC1B3B">
        <w:rPr>
          <w:rFonts w:ascii="Times New Roman" w:hAnsi="Times New Roman" w:cs="Times New Roman"/>
        </w:rPr>
        <w:t>well-being</w:t>
      </w:r>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a metric of human well-being,</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complexity of aquatic food webs into a few key axes that strongly control the composition of micronutrients in fish assemblages. For some but not all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r w:rsidR="002C35DB">
        <w:rPr>
          <w:rFonts w:ascii="Times New Roman" w:eastAsia="Times New Roman" w:hAnsi="Times New Roman" w:cs="Times New Roman"/>
        </w:rPr>
        <w:t>s</w:t>
      </w:r>
      <w:r w:rsidRPr="00DC1B3B">
        <w:rPr>
          <w:rFonts w:ascii="Times New Roman" w:eastAsia="Times New Roman" w:hAnsi="Times New Roman" w:cs="Times New Roman"/>
        </w:rPr>
        <w:t xml:space="preserve">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1D5AF357" w:rsidR="00550F29" w:rsidRPr="00DC1B3B" w:rsidRDefault="00DB29B8" w:rsidP="00206C24">
      <w:pPr>
        <w:spacing w:line="360" w:lineRule="auto"/>
        <w:rPr>
          <w:rFonts w:ascii="Times New Roman" w:hAnsi="Times New Roman" w:cs="Times New Roman"/>
          <w:b/>
        </w:rPr>
      </w:pPr>
      <w:r w:rsidRPr="00DC1B3B">
        <w:rPr>
          <w:rFonts w:ascii="Times New Roman" w:eastAsia="Times New Roman" w:hAnsi="Times New Roman" w:cs="Times New Roman"/>
        </w:rPr>
        <w:t xml:space="preserve">Despite its clear links to human wellbeing, the role of aquatic assemblages in provisioning of essential micronutrients has been under-represented in marine ecosystem service </w:t>
      </w:r>
      <w:r>
        <w:rPr>
          <w:rFonts w:ascii="Times New Roman" w:eastAsia="Times New Roman" w:hAnsi="Times New Roman" w:cs="Times New Roman"/>
        </w:rPr>
        <w:t>research</w:t>
      </w:r>
      <w:r w:rsidRPr="00DC1B3B">
        <w:rPr>
          <w:rFonts w:ascii="Times New Roman" w:eastAsia="Times New Roman" w:hAnsi="Times New Roman" w:cs="Times New Roman"/>
        </w:rPr>
        <w:t>.</w:t>
      </w:r>
      <w:r>
        <w:rPr>
          <w:rFonts w:ascii="Times New Roman" w:eastAsia="Times New Roman" w:hAnsi="Times New Roman" w:cs="Times New Roman"/>
        </w:rPr>
        <w:t xml:space="preserve"> </w:t>
      </w:r>
      <w:r w:rsidR="002C35DB">
        <w:rPr>
          <w:rFonts w:ascii="Times New Roman" w:eastAsia="Times New Roman" w:hAnsi="Times New Roman" w:cs="Times New Roman"/>
        </w:rPr>
        <w:t xml:space="preserve">Like many other ecosystem services, the connections between the ecological processes responsible </w:t>
      </w:r>
      <w:r w:rsidR="003C4937">
        <w:rPr>
          <w:rFonts w:ascii="Times New Roman" w:eastAsia="Times New Roman" w:hAnsi="Times New Roman" w:cs="Times New Roman"/>
        </w:rPr>
        <w:t xml:space="preserve">for </w:t>
      </w:r>
      <w:r w:rsidR="002C35DB">
        <w:rPr>
          <w:rFonts w:ascii="Times New Roman" w:eastAsia="Times New Roman" w:hAnsi="Times New Roman" w:cs="Times New Roman"/>
        </w:rPr>
        <w:t xml:space="preserve">the supply of services and human well-being are poorly understood. These relationships are difficult to quantify because changes in many </w:t>
      </w:r>
      <w:r w:rsidR="002C35DB">
        <w:rPr>
          <w:rFonts w:ascii="Times New Roman" w:eastAsia="Times New Roman" w:hAnsi="Times New Roman" w:cs="Times New Roman"/>
        </w:rPr>
        <w:lastRenderedPageBreak/>
        <w:t xml:space="preserve">attributes of ecological systems do not translate directly into changes in ecosystem service supply and human well-being. </w:t>
      </w:r>
      <w:r w:rsidR="009258D4">
        <w:rPr>
          <w:rFonts w:ascii="Times New Roman" w:eastAsia="Times New Roman" w:hAnsi="Times New Roman" w:cs="Times New Roman"/>
        </w:rPr>
        <w:t xml:space="preserve">Further, our ability to quantify these changes in ecosystem service value and human well-being is hindered by a lack of appropriate metrics of human well-being (Reyers ref?). </w:t>
      </w:r>
      <w:r w:rsidR="002C35DB">
        <w:rPr>
          <w:rFonts w:ascii="Times New Roman" w:eastAsia="Times New Roman" w:hAnsi="Times New Roman" w:cs="Times New Roman"/>
        </w:rPr>
        <w:t xml:space="preserve">Here we overcome this challenge by defining nutrient provisioning as an ecosystem service, and drawing on established nutritional metrics, such as Dietary Reference Intakes (DRIs) to investigate how attributes of aquatic ecosystems are related to the nutritional benefits that humans may derive from seafood consumption. </w:t>
      </w:r>
    </w:p>
    <w:p w14:paraId="4FDF1989" w14:textId="77777777" w:rsidR="00DB29B8" w:rsidRDefault="00DB29B8" w:rsidP="00206C24">
      <w:pPr>
        <w:spacing w:line="360" w:lineRule="auto"/>
        <w:rPr>
          <w:rFonts w:ascii="Times New Roman" w:eastAsia="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7FD1CCB2"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species plays a fundamental role in ecosystem function. Food webs characterized by nutritionally valuable prey support higher consumer and predator biomass and have higher trophic transfer efficiencies (Hecky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Trites 2006; Romano et al. 2006, Osterblom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2076301F"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fish are a good source of high quality protein, a range of micronutrients and essential fatty acids (Tacon and Metian 2013). </w:t>
      </w:r>
      <w:r w:rsidR="003C4937" w:rsidRPr="00DC1B3B">
        <w:rPr>
          <w:rFonts w:ascii="Times New Roman" w:eastAsia="Times New Roman" w:hAnsi="Times New Roman" w:cs="Times New Roman"/>
          <w:sz w:val="24"/>
          <w:szCs w:val="24"/>
        </w:rPr>
        <w:t xml:space="preserve">In 2009, aquatic species accounted for 16.6% of the global total supply of animal protein, providing </w:t>
      </w:r>
      <w:r w:rsidR="003C4937">
        <w:rPr>
          <w:rFonts w:ascii="Times New Roman" w:eastAsia="Times New Roman" w:hAnsi="Times New Roman" w:cs="Times New Roman"/>
          <w:sz w:val="24"/>
          <w:szCs w:val="24"/>
        </w:rPr>
        <w:t xml:space="preserve">almost 20% of the average per capita intake of animal protein (FAO ref) to </w:t>
      </w:r>
      <w:r w:rsidR="003C4937" w:rsidRPr="00DC1B3B">
        <w:rPr>
          <w:rFonts w:ascii="Times New Roman" w:eastAsia="Times New Roman" w:hAnsi="Times New Roman" w:cs="Times New Roman"/>
          <w:sz w:val="24"/>
          <w:szCs w:val="24"/>
        </w:rPr>
        <w:t>more than three billion people</w:t>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0"/>
      <w:r w:rsidRPr="00DC1B3B">
        <w:rPr>
          <w:rFonts w:ascii="Times New Roman" w:eastAsia="Times New Roman" w:hAnsi="Times New Roman" w:cs="Times New Roman"/>
          <w:sz w:val="24"/>
          <w:szCs w:val="24"/>
        </w:rPr>
        <w:t xml:space="preserve">Fish is important in the diets of many poor populations </w:t>
      </w:r>
      <w:commentRangeEnd w:id="0"/>
      <w:r w:rsidR="00DD4F08">
        <w:rPr>
          <w:rStyle w:val="CommentReference"/>
        </w:rPr>
        <w:commentReference w:id="0"/>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(Roos et al. 2007, Tacon and Metian 2013). In many vulnerable communities around the world, fish consumption plays an important role in combating micronutrient deficiencies (Kawarazuka and Bene 2011). 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household level</w:t>
      </w:r>
      <w:r w:rsidR="00DB29B8">
        <w:rPr>
          <w:rFonts w:ascii="Times New Roman" w:eastAsia="Times New Roman" w:hAnsi="Times New Roman" w:cs="Times New Roman"/>
          <w:sz w:val="24"/>
          <w:szCs w:val="24"/>
        </w:rPr>
        <w:t xml:space="preserve"> </w:t>
      </w:r>
      <w:r w:rsidRPr="00DC1B3B">
        <w:rPr>
          <w:rFonts w:ascii="Times New Roman" w:eastAsia="Times New Roman" w:hAnsi="Times New Roman" w:cs="Times New Roman"/>
          <w:sz w:val="24"/>
          <w:szCs w:val="24"/>
        </w:rPr>
        <w:t xml:space="preserve">(Roos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contributes significantly to micronutrient intake</w:t>
      </w:r>
      <w:r w:rsidR="00DB29B8">
        <w:rPr>
          <w:rFonts w:ascii="Times New Roman" w:eastAsia="Times New Roman" w:hAnsi="Times New Roman" w:cs="Times New Roman"/>
          <w:sz w:val="24"/>
          <w:szCs w:val="24"/>
        </w:rPr>
        <w:t xml:space="preserve"> </w:t>
      </w:r>
      <w:r w:rsidR="00725647">
        <w:rPr>
          <w:rFonts w:ascii="Times New Roman" w:eastAsia="Times New Roman" w:hAnsi="Times New Roman" w:cs="Times New Roman"/>
          <w:sz w:val="24"/>
          <w:szCs w:val="24"/>
        </w:rPr>
        <w:t>among</w:t>
      </w:r>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 xml:space="preserve">(Kuhnlein and Receveur 2007, Johnson-Down and Egeland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The ecology of food security</w:t>
      </w:r>
      <w:r w:rsidR="00ED1029" w:rsidRPr="00DC1B3B">
        <w:rPr>
          <w:rFonts w:ascii="Times New Roman" w:eastAsia="Times New Roman" w:hAnsi="Times New Roman" w:cs="Times New Roman"/>
          <w:lang w:val="en-US"/>
        </w:rPr>
        <w:t xml:space="preserve"> </w:t>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benefits. In the context of human nutrition, one metric that facilitates comparisons is the 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pollock (0.24 g DHA/100g) would require 4-5 servings to meet the recommended daily requirements (Hyuhn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pollock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7AEE5FD7"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r w:rsidR="001B234C" w:rsidRPr="00DC1B3B">
        <w:rPr>
          <w:rFonts w:ascii="Times New Roman" w:eastAsia="Times New Roman" w:hAnsi="Times New Roman" w:cs="Times New Roman"/>
          <w:sz w:val="24"/>
          <w:szCs w:val="24"/>
        </w:rPr>
        <w:t>and because human dietary practices map onto functional traits such as body size and (exo)skeleton morphology (table 1)</w:t>
      </w:r>
      <w:r w:rsidRPr="00DC1B3B">
        <w:rPr>
          <w:rFonts w:ascii="Times New Roman" w:eastAsia="Times New Roman" w:hAnsi="Times New Roman" w:cs="Times New Roman"/>
          <w:sz w:val="24"/>
          <w:szCs w:val="24"/>
        </w:rPr>
        <w:t>. Functional traits such as trophic position may be related to the nutritional content of seafood species because they affect the dietary range and quantity of nutrients to which an organism is exposed, as well as the physiological constraints on body composition (Simpson and Raubenheimer 2012). In aquatic food webs, some evidence suggests that nutritional profile may be related to species</w:t>
      </w:r>
      <w:r w:rsidR="00F13C51">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traits: the distribution of trace metals in fish tissues has been related to feeding guild (Bernhard and Andreae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(Lall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Pb are more poorly regulated (Karimi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1"/>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1"/>
      <w:r w:rsidR="00BA5811">
        <w:rPr>
          <w:rStyle w:val="CommentReference"/>
        </w:rPr>
        <w:commentReference w:id="1"/>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rPr>
        <w:t>Not only are functional traits related to the ways in which nutrients accumulate in fish bodies, they are also related to the ways in which humans consume aquatic species. For example, in large 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hepatopancreas).</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7120C8A9"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w:t>
      </w:r>
      <w:r w:rsidR="003C4937">
        <w:rPr>
          <w:rFonts w:ascii="Times New Roman" w:hAnsi="Times New Roman" w:cs="Times New Roman"/>
        </w:rPr>
        <w:t xml:space="preserve">maximum </w:t>
      </w:r>
      <w:r w:rsidR="00DC1B3B" w:rsidRPr="005118D6">
        <w:rPr>
          <w:rFonts w:ascii="Times New Roman" w:hAnsi="Times New Roman" w:cs="Times New Roman"/>
        </w:rPr>
        <w:t xml:space="preserve">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(Ca).</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2"/>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2"/>
      <w:r w:rsidR="00BA5811">
        <w:rPr>
          <w:rStyle w:val="CommentReference"/>
          <w:rFonts w:ascii="Arial" w:eastAsia="Arial" w:hAnsi="Arial" w:cs="Arial"/>
          <w:color w:val="000000"/>
          <w:lang w:val="en-US"/>
        </w:rPr>
        <w:commentReference w:id="2"/>
      </w:r>
    </w:p>
    <w:p w14:paraId="16C8B65D" w14:textId="77777777" w:rsidR="001F5ED3" w:rsidRDefault="001F5ED3" w:rsidP="00DF7628">
      <w:pPr>
        <w:spacing w:line="360" w:lineRule="auto"/>
        <w:rPr>
          <w:rFonts w:ascii="Times New Roman" w:hAnsi="Times New Roman" w:cs="Times New Roman"/>
          <w:bCs/>
        </w:rPr>
      </w:pPr>
    </w:p>
    <w:p w14:paraId="2D08D977" w14:textId="77777777" w:rsidR="001F5ED3" w:rsidRDefault="001F5ED3" w:rsidP="00DF7628">
      <w:pPr>
        <w:spacing w:line="360" w:lineRule="auto"/>
        <w:rPr>
          <w:rFonts w:ascii="Times New Roman" w:hAnsi="Times New Roman" w:cs="Times New Roman"/>
          <w:bCs/>
        </w:rPr>
      </w:pPr>
    </w:p>
    <w:p w14:paraId="3A59B981"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Methods</w:t>
      </w:r>
    </w:p>
    <w:p w14:paraId="1F2E5CF6"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documented the variation in nutrient content across commonly consumed aquatic taxa. To understand how nutrient content varies among species, we tested whether ecological traits known to be both biologically important and that exhibit predictable scaling relationships could explain variation in nutrient content. We synthesized spatially explicit and size explicit nutrient data to identify thresholds in geography or body size that correspond to whether or not a species achieves 10% of DRI in a single portion.</w:t>
      </w:r>
    </w:p>
    <w:p w14:paraId="478B6F3D" w14:textId="77777777" w:rsidR="001F5ED3" w:rsidRDefault="001F5ED3" w:rsidP="00DF7628">
      <w:pPr>
        <w:spacing w:line="360" w:lineRule="auto"/>
        <w:rPr>
          <w:rFonts w:ascii="Times New Roman" w:hAnsi="Times New Roman" w:cs="Times New Roman"/>
          <w:bCs/>
        </w:rPr>
      </w:pPr>
    </w:p>
    <w:p w14:paraId="50B10DB3"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Literature search and data collection</w:t>
      </w:r>
    </w:p>
    <w:p w14:paraId="33677F0B" w14:textId="02504322"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 xml:space="preserve">To test how nutrient profile varies with ecological traits, we assembled a dataset of nutrient content in the edible portions of 400 aquatic species (table S1). We defined the nutritional profile of a species as the quantity of a given nutrient in 100 g of edible tissue - a metric that is commonly used in the human food composition literature (Nowak et al. 2014). We aimed to include as many species as possible, from both marine and freshwater systems, and 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For finfish, we restricted our analysis to include only the edible portions of wild, raw fish (thus excluding prepared or farmed seafood items). However, we included both farmed and wild mollusk species because mollusk farming does not typically involve additional food inputs, which could influence tissue nutrient composition. </w:t>
      </w:r>
      <w:r w:rsidR="003D21C8">
        <w:rPr>
          <w:rFonts w:ascii="Times New Roman" w:hAnsi="Times New Roman" w:cs="Times New Roman"/>
        </w:rPr>
        <w:t xml:space="preserve">For each species, we noted which body parts are included in the edible portion. </w:t>
      </w:r>
      <w:r w:rsidRPr="00DF7628">
        <w:rPr>
          <w:rFonts w:ascii="Times New Roman" w:hAnsi="Times New Roman" w:cs="Times New Roman"/>
        </w:rPr>
        <w:t xml:space="preserve">Our dataset includes quantities for the following microelements: calcium; iron; zinc; mercury and two fatty acids: eicosapentaenoic acid (EPA); and docosahexaenoic acid (DHA). To address inconsistencies in fatty acid data reporting, we standardized fatty acid measurements using the </w:t>
      </w:r>
      <w:commentRangeStart w:id="3"/>
      <w:r w:rsidRPr="00DF7628">
        <w:rPr>
          <w:rFonts w:ascii="Times New Roman" w:hAnsi="Times New Roman" w:cs="Times New Roman"/>
        </w:rPr>
        <w:t xml:space="preserve">fatty acid conversion factors </w:t>
      </w:r>
      <w:commentRangeEnd w:id="3"/>
      <w:r w:rsidR="001F5ED3">
        <w:rPr>
          <w:rStyle w:val="CommentReference"/>
          <w:rFonts w:ascii="Arial" w:eastAsia="Arial" w:hAnsi="Arial" w:cs="Arial"/>
          <w:color w:val="000000"/>
          <w:lang w:val="en-US"/>
        </w:rPr>
        <w:commentReference w:id="3"/>
      </w:r>
      <w:r w:rsidRPr="00DF7628">
        <w:rPr>
          <w:rFonts w:ascii="Times New Roman" w:hAnsi="Times New Roman" w:cs="Times New Roman"/>
        </w:rPr>
        <w:t>proposed by Nowak et al. (2014).</w:t>
      </w:r>
    </w:p>
    <w:p w14:paraId="3F3E754D" w14:textId="77777777" w:rsidR="001F5ED3" w:rsidRDefault="001F5ED3" w:rsidP="00DF7628">
      <w:pPr>
        <w:spacing w:line="360" w:lineRule="auto"/>
        <w:rPr>
          <w:rFonts w:ascii="Times New Roman" w:hAnsi="Times New Roman" w:cs="Times New Roman"/>
        </w:rPr>
      </w:pPr>
    </w:p>
    <w:p w14:paraId="24819BDE"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Ecological trait information was collected for each species using FishBase (Froese and Pauly 2014) and SeaLifeBase (Palomares and Pauly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F7628">
        <w:rPr>
          <w:rFonts w:ascii="Times New Roman" w:hAnsi="Times New Roman" w:cs="Times New Roman"/>
          <w:i/>
          <w:iCs/>
        </w:rPr>
        <w:t>mass</w:t>
      </w:r>
      <w:r w:rsidRPr="00DF7628">
        <w:rPr>
          <w:rFonts w:ascii="Times New Roman" w:hAnsi="Times New Roman" w:cs="Times New Roman"/>
        </w:rPr>
        <w:t xml:space="preserve">= </w:t>
      </w:r>
      <w:r w:rsidRPr="00DF7628">
        <w:rPr>
          <w:rFonts w:ascii="Times New Roman" w:hAnsi="Times New Roman" w:cs="Times New Roman"/>
          <w:i/>
          <w:iCs/>
        </w:rPr>
        <w:t>a*length^b</w:t>
      </w:r>
      <w:r w:rsidRPr="00DF7628">
        <w:rPr>
          <w:rFonts w:ascii="Times New Roman" w:hAnsi="Times New Roman" w:cs="Times New Roman"/>
        </w:rPr>
        <w:t xml:space="preserve">). We used species-specific or taxon-specific </w:t>
      </w:r>
      <w:r w:rsidRPr="00DF7628">
        <w:rPr>
          <w:rFonts w:ascii="Times New Roman" w:hAnsi="Times New Roman" w:cs="Times New Roman"/>
          <w:i/>
          <w:iCs/>
        </w:rPr>
        <w:t>a</w:t>
      </w:r>
      <w:r w:rsidRPr="00DF7628">
        <w:rPr>
          <w:rFonts w:ascii="Times New Roman" w:hAnsi="Times New Roman" w:cs="Times New Roman"/>
        </w:rPr>
        <w:t xml:space="preserve"> and </w:t>
      </w:r>
      <w:r w:rsidRPr="00DF7628">
        <w:rPr>
          <w:rFonts w:ascii="Times New Roman" w:hAnsi="Times New Roman" w:cs="Times New Roman"/>
          <w:i/>
          <w:iCs/>
        </w:rPr>
        <w:t>b</w:t>
      </w:r>
      <w:r w:rsidRPr="00DF7628">
        <w:rPr>
          <w:rFonts w:ascii="Times New Roman" w:hAnsi="Times New Roman" w:cs="Times New Roman"/>
        </w:rPr>
        <w:t xml:space="preserve"> parameter values published in Froese et al. (2013).</w:t>
      </w:r>
    </w:p>
    <w:p w14:paraId="4B375C2A" w14:textId="77777777" w:rsidR="001F5ED3" w:rsidRDefault="001F5ED3" w:rsidP="00DF7628">
      <w:pPr>
        <w:spacing w:line="360" w:lineRule="auto"/>
        <w:rPr>
          <w:rFonts w:ascii="Times New Roman" w:hAnsi="Times New Roman" w:cs="Times New Roman"/>
          <w:bCs/>
        </w:rPr>
      </w:pPr>
    </w:p>
    <w:p w14:paraId="1B456972"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Statistical Analysis</w:t>
      </w:r>
    </w:p>
    <w:p w14:paraId="50EAED11"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used the vegan package in R (Oksanen et al. 2010) to examine the variation in nutrient profiles among fish species. We log transformed nutrient concentration data to achieve normality. Differences in multi-nutrient profiles (including three minerals and two fatty acids) were visualized through non-metric dimensional scaling (NMDS) using the metaMDS function within the vegan package. The ordination ran for 1000 iterations, and the stress score of 0.029 for the final solution was sufficiently low to enable reliable interpretation in the two dimensions. The effect of subgroup membership (i.e. finfish, mollusk, and crustacean) on nutrient profile was assessed via permutational multivariate ANOVA (PERMANOVA) using the ‘adonis’ function in vegan, based on 999 permutations. An overall (three-way) PERMANOVA was first used to investigate subgroup effects on nutrient profile, before pair-wise tests were used to assess differences between groups. We constructed the distance matrices for NMDS and PERMANOVA using the Bray-Curtis dissimilarity index.</w:t>
      </w:r>
    </w:p>
    <w:p w14:paraId="25D78B67" w14:textId="77777777" w:rsidR="001F5ED3" w:rsidRDefault="001F5ED3" w:rsidP="00DF7628">
      <w:pPr>
        <w:spacing w:line="360" w:lineRule="auto"/>
        <w:rPr>
          <w:rFonts w:ascii="Times New Roman" w:hAnsi="Times New Roman" w:cs="Times New Roman"/>
          <w:i/>
          <w:iCs/>
        </w:rPr>
      </w:pPr>
    </w:p>
    <w:p w14:paraId="5F9576EC"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i/>
          <w:iCs/>
        </w:rPr>
        <w:t>Turnover in nutrient profiles among aquatic species</w:t>
      </w:r>
    </w:p>
    <w:p w14:paraId="04001C19"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To test the relationship between species diversity and nutritional diversity, we constructed dietary reference intake (DRI) target accumulation curves using the ‘specaccum’ function in the vegan package of R (Oksanen et al. 2012). This function is typically used to assess patterns of beta-diversity, or species turnover, in ecological community composition data. It samples random individuals sequentially in a dataset and counts the number of novel species encountered as individuals are added (Taylor et al. 2013). In an analogous approach, we used this function to assess turnover of nutrients among fish species, treating fish species as sites, and each DRI target as a species. Thus, each fish species is associated with a set of 0s and 1s corresponding to whether or not it achieves the DRI target for each of five micronutrients (equivalent to a species presence-absence matrix in community composition data). Here we used the ‘random’ method, which encounters fish species in random order and samples these species without replacement. Distinct DRI targets were accumulated as fish species were sampled in random order. This approach allowed us to explore how likely it would be for human diets containing different numbers of distinct fish species to reach a given number of DRI targets, assuming that fish species were included in the human diet at random. To examine the relative importance of certain functional groups in contributing to dietary diversity, we compared nutrient accumulation curves and 95% confidence intervals for subsets of the dataset with distinct functional groups removed and compared them to the curves constructed for the full dataset.</w:t>
      </w:r>
    </w:p>
    <w:p w14:paraId="590BC795" w14:textId="77777777" w:rsidR="001F5ED3" w:rsidRDefault="001F5ED3" w:rsidP="00DF7628">
      <w:pPr>
        <w:spacing w:line="360" w:lineRule="auto"/>
        <w:rPr>
          <w:rFonts w:ascii="Times New Roman" w:hAnsi="Times New Roman" w:cs="Times New Roman"/>
          <w:i/>
          <w:iCs/>
        </w:rPr>
      </w:pPr>
    </w:p>
    <w:p w14:paraId="33F47ED0" w14:textId="77777777" w:rsidR="001F5ED3" w:rsidRDefault="001F5ED3" w:rsidP="00DF7628">
      <w:pPr>
        <w:spacing w:line="360" w:lineRule="auto"/>
        <w:rPr>
          <w:rFonts w:ascii="Times New Roman" w:hAnsi="Times New Roman" w:cs="Times New Roman"/>
          <w:i/>
          <w:iCs/>
        </w:rPr>
      </w:pPr>
    </w:p>
    <w:p w14:paraId="13428ED3"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i/>
          <w:iCs/>
        </w:rPr>
        <w:t>Testing for associations between species’ traits and nutrient concentrations</w:t>
      </w:r>
    </w:p>
    <w:p w14:paraId="7B6E00C7"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modeled the relationship between nutrient content and species’ traits with linear regression models using a log-transformed power function. The full model included the entire set of predictors:</w:t>
      </w:r>
    </w:p>
    <w:p w14:paraId="45B1C9AE" w14:textId="77777777" w:rsidR="001F5ED3" w:rsidRDefault="001F5ED3" w:rsidP="00DF7628">
      <w:pPr>
        <w:spacing w:line="360" w:lineRule="auto"/>
        <w:rPr>
          <w:rFonts w:ascii="Times New Roman" w:hAnsi="Times New Roman" w:cs="Times New Roman"/>
        </w:rPr>
      </w:pPr>
    </w:p>
    <w:p w14:paraId="4620C11D"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 xml:space="preserve">ln(nutrient content) = </w:t>
      </w:r>
      <w:r w:rsidRPr="00DF7628">
        <w:rPr>
          <w:rFonts w:ascii="Times New Roman" w:hAnsi="Times New Roman" w:cs="Times New Roman"/>
          <w:i/>
          <w:iCs/>
        </w:rPr>
        <w:t>Β</w:t>
      </w:r>
      <w:r w:rsidRPr="00DF7628">
        <w:rPr>
          <w:rFonts w:ascii="Times New Roman" w:hAnsi="Times New Roman" w:cs="Times New Roman"/>
          <w:i/>
          <w:iCs/>
          <w:vertAlign w:val="subscript"/>
        </w:rPr>
        <w:t>0.i</w:t>
      </w:r>
      <w:r w:rsidRPr="00DF7628">
        <w:rPr>
          <w:rFonts w:ascii="Times New Roman" w:hAnsi="Times New Roman" w:cs="Times New Roman"/>
        </w:rPr>
        <w:t xml:space="preserve"> + </w:t>
      </w:r>
      <w:r w:rsidRPr="00DF7628">
        <w:rPr>
          <w:rFonts w:ascii="Times New Roman" w:hAnsi="Times New Roman" w:cs="Times New Roman"/>
          <w:i/>
          <w:iCs/>
        </w:rPr>
        <w:t>Β</w:t>
      </w:r>
      <w:r w:rsidRPr="00DF7628">
        <w:rPr>
          <w:rFonts w:ascii="Times New Roman" w:hAnsi="Times New Roman" w:cs="Times New Roman"/>
          <w:i/>
          <w:iCs/>
          <w:vertAlign w:val="subscript"/>
        </w:rPr>
        <w:t>1.i</w:t>
      </w:r>
      <w:r w:rsidRPr="00DF7628">
        <w:rPr>
          <w:rFonts w:ascii="Times New Roman" w:hAnsi="Times New Roman" w:cs="Times New Roman"/>
        </w:rPr>
        <w:t xml:space="preserve">*ln(body size)*latitude + </w:t>
      </w:r>
      <w:r w:rsidRPr="00DF7628">
        <w:rPr>
          <w:rFonts w:ascii="Times New Roman" w:hAnsi="Times New Roman" w:cs="Times New Roman"/>
          <w:i/>
          <w:iCs/>
        </w:rPr>
        <w:t>Β</w:t>
      </w:r>
      <w:r w:rsidRPr="00DF7628">
        <w:rPr>
          <w:rFonts w:ascii="Times New Roman" w:hAnsi="Times New Roman" w:cs="Times New Roman"/>
          <w:i/>
          <w:iCs/>
          <w:vertAlign w:val="subscript"/>
        </w:rPr>
        <w:t>2.i</w:t>
      </w:r>
      <w:r w:rsidRPr="00DF7628">
        <w:rPr>
          <w:rFonts w:ascii="Times New Roman" w:hAnsi="Times New Roman" w:cs="Times New Roman"/>
        </w:rPr>
        <w:t xml:space="preserve">*ln(body size)*(trophic position)  + </w:t>
      </w:r>
      <w:r w:rsidRPr="00DF7628">
        <w:rPr>
          <w:rFonts w:ascii="Times New Roman" w:hAnsi="Times New Roman" w:cs="Times New Roman"/>
          <w:i/>
          <w:iCs/>
        </w:rPr>
        <w:t>Β</w:t>
      </w:r>
      <w:r w:rsidRPr="00DF7628">
        <w:rPr>
          <w:rFonts w:ascii="Times New Roman" w:hAnsi="Times New Roman" w:cs="Times New Roman"/>
          <w:i/>
          <w:iCs/>
          <w:vertAlign w:val="subscript"/>
        </w:rPr>
        <w:t>3.i</w:t>
      </w:r>
      <w:r w:rsidRPr="00DF7628">
        <w:rPr>
          <w:rFonts w:ascii="Times New Roman" w:hAnsi="Times New Roman" w:cs="Times New Roman"/>
        </w:rPr>
        <w:t>*ln(body size)*(habitat) + ε</w:t>
      </w:r>
      <w:r w:rsidRPr="00DF7628">
        <w:rPr>
          <w:rFonts w:ascii="Times New Roman" w:hAnsi="Times New Roman" w:cs="Times New Roman"/>
          <w:vertAlign w:val="subscript"/>
        </w:rPr>
        <w:t>i</w:t>
      </w:r>
    </w:p>
    <w:p w14:paraId="5092E310" w14:textId="77777777" w:rsidR="001F5ED3" w:rsidRDefault="001F5ED3" w:rsidP="00DF7628">
      <w:pPr>
        <w:spacing w:line="360" w:lineRule="auto"/>
        <w:rPr>
          <w:rFonts w:ascii="Times New Roman" w:hAnsi="Times New Roman" w:cs="Times New Roman"/>
        </w:rPr>
      </w:pPr>
    </w:p>
    <w:p w14:paraId="719D41E2"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created models from subsets of the full model that represented hypotheses based on the known physiological roles of micronutrients and their relationships to our set of predictors. We identified the best subset of models using the Akaike Information Criterion, adjusted for small sample sizes (AICc). We used AICc, δaic and Akaike weights (w) to compare models. We ranked models based on w, and selected the set of models that produced a cumulative w &gt; 0.95, meaning that we are 95% confident that the chosen set includes the best model (Burnham and Anderson 2002).</w:t>
      </w:r>
    </w:p>
    <w:p w14:paraId="2E1DC843" w14:textId="77777777" w:rsidR="001F5ED3" w:rsidRDefault="001F5ED3" w:rsidP="00DF7628">
      <w:pPr>
        <w:spacing w:line="360" w:lineRule="auto"/>
        <w:rPr>
          <w:rFonts w:ascii="Times New Roman" w:hAnsi="Times New Roman" w:cs="Times New Roman"/>
        </w:rPr>
      </w:pPr>
    </w:p>
    <w:p w14:paraId="38F57ED4"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In cases where we could not obtain measurements of all traits for all species, we performed model selection on reduced datasets without missing values (Appendix A). To account for model uncertainty, we performed model averaging of coefficients in all models with δaic &lt; 2 ( δaic = AIC</w:t>
      </w:r>
      <w:r w:rsidRPr="00DF7628">
        <w:rPr>
          <w:rFonts w:ascii="Times New Roman" w:hAnsi="Times New Roman" w:cs="Times New Roman"/>
          <w:vertAlign w:val="subscript"/>
        </w:rPr>
        <w:t>i</w:t>
      </w:r>
      <w:r w:rsidRPr="00DF7628">
        <w:rPr>
          <w:rFonts w:ascii="Times New Roman" w:hAnsi="Times New Roman" w:cs="Times New Roman"/>
        </w:rPr>
        <w:t xml:space="preserve"> − AIC</w:t>
      </w:r>
      <w:r w:rsidRPr="00DF7628">
        <w:rPr>
          <w:rFonts w:ascii="Times New Roman" w:hAnsi="Times New Roman" w:cs="Times New Roman"/>
          <w:vertAlign w:val="subscript"/>
        </w:rPr>
        <w:t>min</w:t>
      </w:r>
      <w:r w:rsidRPr="00DF7628">
        <w:rPr>
          <w:rFonts w:ascii="Times New Roman" w:hAnsi="Times New Roman" w:cs="Times New Roman"/>
        </w:rPr>
        <w:t>), and included zeros as coefficients when variables did not enter a given model (Burnham and Anderson 2002). We conducted all our analyses in R version 3.2.2 (R Core Development 2014) using the MuMIn package (</w:t>
      </w:r>
      <w:hyperlink r:id="rId10" w:history="1">
        <w:r w:rsidRPr="00DF7628">
          <w:rPr>
            <w:rStyle w:val="Hyperlink"/>
            <w:rFonts w:ascii="Times New Roman" w:hAnsi="Times New Roman" w:cs="Times New Roman"/>
          </w:rPr>
          <w:t>http://r-forge.r-project.org/projects/mumin/</w:t>
        </w:r>
      </w:hyperlink>
      <w:r w:rsidRPr="00DF7628">
        <w:rPr>
          <w:rFonts w:ascii="Times New Roman" w:hAnsi="Times New Roman" w:cs="Times New Roman"/>
        </w:rPr>
        <w:t>).</w:t>
      </w:r>
    </w:p>
    <w:p w14:paraId="479877F3" w14:textId="77777777" w:rsidR="001F5ED3" w:rsidRDefault="001F5ED3" w:rsidP="00DF7628">
      <w:pPr>
        <w:spacing w:line="360" w:lineRule="auto"/>
        <w:rPr>
          <w:rFonts w:ascii="Times New Roman" w:hAnsi="Times New Roman" w:cs="Times New Roman"/>
        </w:rPr>
      </w:pPr>
    </w:p>
    <w:p w14:paraId="3D0F4B14"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-somewhere here, need to address multi-collinearity of predictor variables etc.</w:t>
      </w:r>
    </w:p>
    <w:p w14:paraId="0EC023B9" w14:textId="77777777" w:rsidR="00DF7628" w:rsidRPr="00DF7628" w:rsidRDefault="00DF7628" w:rsidP="00DF7628">
      <w:pPr>
        <w:spacing w:line="360" w:lineRule="auto"/>
        <w:rPr>
          <w:rFonts w:ascii="Times New Roman" w:hAnsi="Times New Roman" w:cs="Times New Roman"/>
        </w:rPr>
      </w:pPr>
    </w:p>
    <w:p w14:paraId="3B043352" w14:textId="77777777" w:rsidR="00DF7628" w:rsidRDefault="00DF7628" w:rsidP="00206C24">
      <w:pPr>
        <w:spacing w:line="360" w:lineRule="auto"/>
        <w:rPr>
          <w:rFonts w:ascii="Times New Roman" w:hAnsi="Times New Roman" w:cs="Times New Roman"/>
          <w:b/>
        </w:rPr>
      </w:pPr>
    </w:p>
    <w:p w14:paraId="2B31A8FB" w14:textId="77777777" w:rsidR="00DF7628" w:rsidRDefault="00DF7628" w:rsidP="00206C24">
      <w:pPr>
        <w:spacing w:line="360" w:lineRule="auto"/>
        <w:rPr>
          <w:rFonts w:ascii="Times New Roman" w:hAnsi="Times New Roman" w:cs="Times New Roman"/>
          <w:b/>
        </w:rPr>
      </w:pPr>
    </w:p>
    <w:p w14:paraId="1083C76F" w14:textId="2E2F1CAF" w:rsidR="00A463B7" w:rsidRPr="00DA14F4" w:rsidRDefault="00595F3D" w:rsidP="00206C24">
      <w:pPr>
        <w:spacing w:line="360" w:lineRule="auto"/>
        <w:rPr>
          <w:rFonts w:ascii="Times New Roman" w:hAnsi="Times New Roman" w:cs="Times New Roman"/>
          <w:b/>
        </w:rPr>
      </w:pPr>
      <w:r w:rsidRPr="00DA14F4">
        <w:rPr>
          <w:rFonts w:ascii="Times New Roman" w:hAnsi="Times New Roman" w:cs="Times New Roman"/>
          <w:b/>
        </w:rPr>
        <w:t>Results:</w:t>
      </w:r>
    </w:p>
    <w:p w14:paraId="261AC5A0" w14:textId="39F32924" w:rsidR="00EB08A3" w:rsidRDefault="00F917D8" w:rsidP="00EB08A3">
      <w:pPr>
        <w:spacing w:line="360" w:lineRule="auto"/>
        <w:rPr>
          <w:rFonts w:ascii="Times New Roman" w:eastAsia="Times New Roman" w:hAnsi="Times New Roman" w:cs="Times New Roman"/>
        </w:rPr>
      </w:pPr>
      <w:r w:rsidRPr="00DA14F4">
        <w:rPr>
          <w:rFonts w:ascii="Times New Roman" w:eastAsia="Times New Roman" w:hAnsi="Times New Roman" w:cs="Times New Roman"/>
        </w:rPr>
        <w:t>We found considerable variability in nutritional profiles among aquatic taxa. Variability was lowest for the macronutrients w</w:t>
      </w:r>
      <w:r>
        <w:rPr>
          <w:rFonts w:ascii="Times New Roman" w:eastAsia="Times New Roman" w:hAnsi="Times New Roman" w:cs="Times New Roman"/>
        </w:rPr>
        <w:t xml:space="preserve">e considered (i.e. protein, fat and fatty acids) and highest for the micronutrients (minerals: calcium, iron and zinc). All of macronutrients varied over one order of magnitude, while the micronutrients varied over two or three orders. </w:t>
      </w:r>
      <w:r w:rsidR="001F5ED3">
        <w:rPr>
          <w:rFonts w:ascii="Times New Roman" w:eastAsia="Times New Roman" w:hAnsi="Times New Roman" w:cs="Times New Roman"/>
        </w:rPr>
        <w:t xml:space="preserve">Here we present the nutrient variability in species grouped according to their membership in </w:t>
      </w:r>
      <w:r w:rsidR="001F5ED3" w:rsidRPr="001F5ED3">
        <w:rPr>
          <w:rFonts w:ascii="Times New Roman" w:eastAsia="Times New Roman" w:hAnsi="Times New Roman" w:cs="Times New Roman"/>
        </w:rPr>
        <w:t>FAO</w:t>
      </w:r>
      <w:r w:rsidR="001F5ED3">
        <w:rPr>
          <w:rFonts w:ascii="Times New Roman" w:eastAsia="Times New Roman" w:hAnsi="Times New Roman" w:cs="Times New Roman"/>
        </w:rPr>
        <w:t>’s</w:t>
      </w:r>
      <w:r w:rsidR="001F5ED3" w:rsidRPr="001F5ED3">
        <w:rPr>
          <w:rFonts w:ascii="Times New Roman" w:eastAsia="Times New Roman" w:hAnsi="Times New Roman" w:cs="Times New Roman"/>
        </w:rPr>
        <w:t xml:space="preserve"> 'International Standard Statistical Classification for Aquatic Animals and Plants' (ISSCAAP)</w:t>
      </w:r>
      <w:r w:rsidR="001F5ED3">
        <w:rPr>
          <w:rFonts w:ascii="Times New Roman" w:eastAsia="Times New Roman" w:hAnsi="Times New Roman" w:cs="Times New Roman"/>
        </w:rPr>
        <w:t xml:space="preserve"> category, which divides commercial species into 50 groups based on their taxonomic, ecological and economic characteristics.  </w:t>
      </w:r>
      <w:r>
        <w:rPr>
          <w:rFonts w:ascii="Times New Roman" w:eastAsia="Times New Roman" w:hAnsi="Times New Roman" w:cs="Times New Roman"/>
        </w:rPr>
        <w:t>Protein (n = 251 species) ranged from an average of 10.68g/100g in the c</w:t>
      </w:r>
      <w:r w:rsidRPr="00F40769">
        <w:rPr>
          <w:rFonts w:ascii="Times New Roman" w:eastAsia="Times New Roman" w:hAnsi="Times New Roman" w:cs="Times New Roman"/>
        </w:rPr>
        <w:t xml:space="preserve">lams, cockles, </w:t>
      </w:r>
      <w:r w:rsidR="003C4937">
        <w:rPr>
          <w:rFonts w:ascii="Times New Roman" w:eastAsia="Times New Roman" w:hAnsi="Times New Roman" w:cs="Times New Roman"/>
        </w:rPr>
        <w:t xml:space="preserve">and </w:t>
      </w:r>
      <w:r w:rsidRPr="00F40769">
        <w:rPr>
          <w:rFonts w:ascii="Times New Roman" w:eastAsia="Times New Roman" w:hAnsi="Times New Roman" w:cs="Times New Roman"/>
        </w:rPr>
        <w:t>arkshells</w:t>
      </w:r>
      <w:r>
        <w:rPr>
          <w:rFonts w:ascii="Times New Roman" w:eastAsia="Times New Roman" w:hAnsi="Times New Roman" w:cs="Times New Roman"/>
        </w:rPr>
        <w:t xml:space="preserve"> to 21.85 g/100 g in the </w:t>
      </w:r>
      <w:r w:rsidRPr="00012202">
        <w:rPr>
          <w:rFonts w:ascii="Times New Roman" w:eastAsia="Times New Roman" w:hAnsi="Times New Roman" w:cs="Times New Roman"/>
        </w:rPr>
        <w:t xml:space="preserve">Tunas, bonitos, </w:t>
      </w:r>
      <w:r w:rsidR="003C4937">
        <w:rPr>
          <w:rFonts w:ascii="Times New Roman" w:eastAsia="Times New Roman" w:hAnsi="Times New Roman" w:cs="Times New Roman"/>
        </w:rPr>
        <w:t xml:space="preserve">and </w:t>
      </w:r>
      <w:r w:rsidRPr="00012202">
        <w:rPr>
          <w:rFonts w:ascii="Times New Roman" w:eastAsia="Times New Roman" w:hAnsi="Times New Roman" w:cs="Times New Roman"/>
        </w:rPr>
        <w:t>billfishes</w:t>
      </w:r>
      <w:r>
        <w:rPr>
          <w:rFonts w:ascii="Times New Roman" w:eastAsia="Times New Roman" w:hAnsi="Times New Roman" w:cs="Times New Roman"/>
        </w:rPr>
        <w:t xml:space="preserve"> (Figure 1). Fat (n = 277 species) ranged from an average of 1.08 g/100g in the sharks and rays to 12.74 g/100 g in the shads (Figure 1). </w:t>
      </w:r>
      <w:r w:rsidR="00EB08A3">
        <w:rPr>
          <w:rFonts w:ascii="Times New Roman" w:eastAsia="Times New Roman" w:hAnsi="Times New Roman" w:cs="Times New Roman"/>
        </w:rPr>
        <w:t>EPA in the edible portion (n = 238 species) ranged from an average of 0.02 g/100g in the sharks and rays to 0.53 g/100 g in the h</w:t>
      </w:r>
      <w:r w:rsidR="00EB08A3" w:rsidRPr="00012202">
        <w:rPr>
          <w:rFonts w:ascii="Times New Roman" w:eastAsia="Times New Roman" w:hAnsi="Times New Roman" w:cs="Times New Roman"/>
        </w:rPr>
        <w:t xml:space="preserve">errings, sardines, </w:t>
      </w:r>
      <w:r w:rsidR="003C4937">
        <w:rPr>
          <w:rFonts w:ascii="Times New Roman" w:eastAsia="Times New Roman" w:hAnsi="Times New Roman" w:cs="Times New Roman"/>
        </w:rPr>
        <w:t xml:space="preserve">and </w:t>
      </w:r>
      <w:r w:rsidR="00EB08A3" w:rsidRPr="00012202">
        <w:rPr>
          <w:rFonts w:ascii="Times New Roman" w:eastAsia="Times New Roman" w:hAnsi="Times New Roman" w:cs="Times New Roman"/>
        </w:rPr>
        <w:t>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1.28 g/100 g in the </w:t>
      </w:r>
      <w:r w:rsidR="003C4937">
        <w:rPr>
          <w:rFonts w:ascii="Times New Roman" w:eastAsia="Times New Roman" w:hAnsi="Times New Roman" w:cs="Times New Roman"/>
        </w:rPr>
        <w:t>t</w:t>
      </w:r>
      <w:r w:rsidR="00EB08A3" w:rsidRPr="00012202">
        <w:rPr>
          <w:rFonts w:ascii="Times New Roman" w:eastAsia="Times New Roman" w:hAnsi="Times New Roman" w:cs="Times New Roman"/>
        </w:rPr>
        <w:t xml:space="preserve">unas, bonitos, </w:t>
      </w:r>
      <w:r w:rsidR="003C4937">
        <w:rPr>
          <w:rFonts w:ascii="Times New Roman" w:eastAsia="Times New Roman" w:hAnsi="Times New Roman" w:cs="Times New Roman"/>
        </w:rPr>
        <w:t xml:space="preserve">and </w:t>
      </w:r>
      <w:r w:rsidR="00EB08A3" w:rsidRPr="00012202">
        <w:rPr>
          <w:rFonts w:ascii="Times New Roman" w:eastAsia="Times New Roman" w:hAnsi="Times New Roman" w:cs="Times New Roman"/>
        </w:rPr>
        <w:t>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72030975" w:rsidR="00012202" w:rsidRDefault="008B7B00" w:rsidP="00012202">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contrast to the macronutrients, the micronutrients were even more variable. </w:t>
      </w:r>
      <w:r w:rsidR="00DA5BD0">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sidR="00DA5BD0">
        <w:rPr>
          <w:rFonts w:ascii="Times New Roman" w:eastAsia="Times New Roman" w:hAnsi="Times New Roman" w:cs="Times New Roman"/>
        </w:rPr>
        <w:t xml:space="preserve"> </w:t>
      </w:r>
      <w:r w:rsidR="00937692">
        <w:rPr>
          <w:rFonts w:ascii="Times New Roman" w:eastAsia="Times New Roman" w:hAnsi="Times New Roman" w:cs="Times New Roman"/>
        </w:rPr>
        <w:t>782.60</w:t>
      </w:r>
      <w:r w:rsidR="00D8506F">
        <w:rPr>
          <w:rFonts w:ascii="Times New Roman" w:eastAsia="Times New Roman" w:hAnsi="Times New Roman" w:cs="Times New Roman"/>
        </w:rPr>
        <w:t xml:space="preserve"> mg</w:t>
      </w:r>
      <w:r w:rsidR="00DA5BD0">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sidR="00DA5BD0">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11.87 mg/100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20.31 mg/100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3DD9F579" w:rsidR="00A9503E" w:rsidRPr="00206C24" w:rsidRDefault="00817274" w:rsidP="00206C24">
      <w:pPr>
        <w:spacing w:line="360" w:lineRule="auto"/>
        <w:rPr>
          <w:rFonts w:ascii="Times New Roman" w:hAnsi="Times New Roman" w:cs="Times New Roman"/>
        </w:rPr>
      </w:pPr>
      <w:commentRangeStart w:id="4"/>
      <w:r>
        <w:rPr>
          <w:rFonts w:ascii="Times New Roman" w:hAnsi="Times New Roman" w:cs="Times New Roman"/>
        </w:rPr>
        <w:t>Few</w:t>
      </w:r>
      <w:commentRangeEnd w:id="4"/>
      <w:r w:rsidR="00F51313">
        <w:rPr>
          <w:rStyle w:val="CommentReference"/>
          <w:rFonts w:ascii="Arial" w:eastAsia="Arial" w:hAnsi="Arial" w:cs="Arial"/>
          <w:color w:val="000000"/>
          <w:lang w:val="en-US"/>
        </w:rPr>
        <w:commentReference w:id="4"/>
      </w:r>
      <w:r>
        <w:rPr>
          <w:rFonts w:ascii="Times New Roman" w:hAnsi="Times New Roman" w:cs="Times New Roman"/>
        </w:rPr>
        <w:t xml:space="preserve"> species reach </w:t>
      </w:r>
      <w:r w:rsidR="003C4937">
        <w:rPr>
          <w:rFonts w:ascii="Times New Roman" w:hAnsi="Times New Roman" w:cs="Times New Roman"/>
        </w:rPr>
        <w:t>DRI</w:t>
      </w:r>
      <w:r>
        <w:rPr>
          <w:rFonts w:ascii="Times New Roman" w:hAnsi="Times New Roman" w:cs="Times New Roman"/>
        </w:rPr>
        <w:t xml:space="preserve">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w:t>
      </w:r>
      <w:r w:rsidR="003D21C8">
        <w:rPr>
          <w:rFonts w:ascii="Times New Roman" w:hAnsi="Times New Roman" w:cs="Times New Roman"/>
        </w:rPr>
        <w:t xml:space="preserve">only two species </w:t>
      </w:r>
      <w:r w:rsidRPr="00206C24">
        <w:rPr>
          <w:rFonts w:ascii="Times New Roman" w:hAnsi="Times New Roman" w:cs="Times New Roman"/>
        </w:rPr>
        <w:t xml:space="preserve">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371B2A0"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r w:rsidR="00854F90" w:rsidRPr="00F51313">
        <w:rPr>
          <w:rFonts w:ascii="Times New Roman" w:hAnsi="Times New Roman" w:cs="Times New Roman"/>
        </w:rPr>
        <w:t>eg.</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w:t>
      </w:r>
      <w:r w:rsidR="003D21C8">
        <w:rPr>
          <w:rFonts w:ascii="Times New Roman" w:hAnsi="Times New Roman" w:cs="Times New Roman"/>
        </w:rPr>
        <w:t>DRI</w:t>
      </w:r>
      <w:r w:rsidR="00F51313">
        <w:rPr>
          <w:rFonts w:ascii="Times New Roman" w:hAnsi="Times New Roman" w:cs="Times New Roman"/>
        </w:rPr>
        <w:t xml:space="preserve">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3EB66CD4" w14:textId="7E8C2A05" w:rsidR="006478BF" w:rsidRDefault="001149D6" w:rsidP="00206C24">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w:t>
      </w:r>
      <w:r w:rsidR="00504C8D">
        <w:rPr>
          <w:rFonts w:ascii="Times New Roman" w:hAnsi="Times New Roman" w:cs="Times New Roman"/>
        </w:rPr>
        <w:t xml:space="preserve">A PERMANOVA of the nutrient concentration dissimilarity matrix revealed that subgroup membership (i.e. finfish vs. crustaceans vs molluscs) explained a significant portion of the variation in nutrient composition among aquatic species </w:t>
      </w:r>
      <w:r w:rsidR="00675478">
        <w:rPr>
          <w:rFonts w:ascii="Times New Roman" w:hAnsi="Times New Roman" w:cs="Times New Roman"/>
        </w:rPr>
        <w:t>(PERMANOVA,</w:t>
      </w:r>
      <w:r w:rsidR="00504C8D">
        <w:rPr>
          <w:rFonts w:ascii="Times New Roman" w:hAnsi="Times New Roman" w:cs="Times New Roman"/>
        </w:rPr>
        <w:t xml:space="preserve"> F = </w:t>
      </w:r>
      <w:r w:rsidR="00675478">
        <w:rPr>
          <w:rFonts w:ascii="Times New Roman" w:hAnsi="Times New Roman" w:cs="Times New Roman"/>
        </w:rPr>
        <w:t xml:space="preserve"> p = 0.001)</w:t>
      </w:r>
      <w:r w:rsidR="00EA027F">
        <w:rPr>
          <w:rFonts w:ascii="Times New Roman" w:hAnsi="Times New Roman" w:cs="Times New Roman"/>
        </w:rPr>
        <w:t>.</w:t>
      </w:r>
    </w:p>
    <w:p w14:paraId="7E9703FF" w14:textId="77777777" w:rsidR="00E31159" w:rsidRDefault="00E31159" w:rsidP="00366E1A">
      <w:pPr>
        <w:spacing w:line="360" w:lineRule="auto"/>
        <w:rPr>
          <w:rFonts w:ascii="Times New Roman" w:hAnsi="Times New Roman" w:cs="Times New Roman"/>
        </w:rPr>
      </w:pPr>
    </w:p>
    <w:p w14:paraId="71A6ECE0" w14:textId="3C89E829" w:rsidR="00677761" w:rsidRDefault="001149D6" w:rsidP="00366E1A">
      <w:pPr>
        <w:spacing w:line="360" w:lineRule="auto"/>
        <w:rPr>
          <w:rFonts w:ascii="Times New Roman" w:hAnsi="Times New Roman" w:cs="Times New Roman"/>
        </w:rPr>
      </w:pPr>
      <w:r w:rsidRPr="00366E1A">
        <w:rPr>
          <w:rFonts w:ascii="Times New Roman" w:hAnsi="Times New Roman" w:cs="Times New Roman"/>
        </w:rPr>
        <w:t>Functional group diversity enhances dietary nutritional diversity and nutritional benefits that human communities may derive from seafood assemblages</w:t>
      </w:r>
      <w:r w:rsidR="00366E1A" w:rsidRPr="00366E1A">
        <w:rPr>
          <w:rFonts w:ascii="Times New Roman" w:hAnsi="Times New Roman" w:cs="Times New Roman"/>
        </w:rPr>
        <w:t xml:space="preserve"> (figure 6)</w:t>
      </w:r>
      <w:r w:rsidRPr="00366E1A">
        <w:rPr>
          <w:rFonts w:ascii="Times New Roman" w:hAnsi="Times New Roman" w:cs="Times New Roman"/>
        </w:rPr>
        <w:t>.</w:t>
      </w:r>
      <w:r w:rsidR="00A91F6C" w:rsidRPr="00366E1A">
        <w:rPr>
          <w:rFonts w:ascii="Times New Roman" w:hAnsi="Times New Roman" w:cs="Times New Roman"/>
        </w:rPr>
        <w:t xml:space="preserve"> </w:t>
      </w:r>
      <w:r w:rsidR="00366E1A">
        <w:rPr>
          <w:rFonts w:ascii="Times New Roman" w:hAnsi="Times New Roman" w:cs="Times New Roman"/>
        </w:rPr>
        <w:t>The DRI accumulation curves show that for a human diet created at random</w:t>
      </w:r>
      <w:r w:rsidR="00E31159">
        <w:rPr>
          <w:rFonts w:ascii="Times New Roman" w:hAnsi="Times New Roman" w:cs="Times New Roman"/>
        </w:rPr>
        <w:t xml:space="preserve"> from a given assemblage of aquatic species</w:t>
      </w:r>
      <w:r w:rsidR="00366E1A">
        <w:rPr>
          <w:rFonts w:ascii="Times New Roman" w:hAnsi="Times New Roman" w:cs="Times New Roman"/>
        </w:rPr>
        <w:t xml:space="preserve">, the diet needs to include on average </w:t>
      </w:r>
      <w:r w:rsidR="00E31159">
        <w:rPr>
          <w:rFonts w:ascii="Times New Roman" w:hAnsi="Times New Roman" w:cs="Times New Roman"/>
        </w:rPr>
        <w:t xml:space="preserve">8 species to reach a median of all three mineral DRI targets. If molluscs are removed from the dataset, a human diet would need to sample from 14 distinct species to reach all three DRI targets. </w:t>
      </w:r>
      <w:r w:rsidR="00677761" w:rsidRPr="00366E1A">
        <w:rPr>
          <w:rFonts w:ascii="Times New Roman" w:hAnsi="Times New Roman" w:cs="Times New Roman"/>
        </w:rPr>
        <w:t xml:space="preserve">When all five micronutrients </w:t>
      </w:r>
      <w:r w:rsidR="00E31159">
        <w:rPr>
          <w:rFonts w:ascii="Times New Roman" w:hAnsi="Times New Roman" w:cs="Times New Roman"/>
        </w:rPr>
        <w:t xml:space="preserve">(i.e. minerals and fatty acids) </w:t>
      </w:r>
      <w:r w:rsidR="00677761" w:rsidRPr="00366E1A">
        <w:rPr>
          <w:rFonts w:ascii="Times New Roman" w:hAnsi="Times New Roman" w:cs="Times New Roman"/>
        </w:rPr>
        <w:t xml:space="preserve">are considered, </w:t>
      </w:r>
      <w:r w:rsidR="00E31159">
        <w:rPr>
          <w:rFonts w:ascii="Times New Roman" w:hAnsi="Times New Roman" w:cs="Times New Roman"/>
        </w:rPr>
        <w:t>a human diet would need</w:t>
      </w:r>
      <w:r w:rsidR="00677761" w:rsidRPr="00366E1A">
        <w:rPr>
          <w:rFonts w:ascii="Times New Roman" w:hAnsi="Times New Roman" w:cs="Times New Roman"/>
        </w:rPr>
        <w:t xml:space="preserve"> to </w:t>
      </w:r>
      <w:r w:rsidR="00E31159">
        <w:rPr>
          <w:rFonts w:ascii="Times New Roman" w:hAnsi="Times New Roman" w:cs="Times New Roman"/>
        </w:rPr>
        <w:t>include</w:t>
      </w:r>
      <w:r w:rsidR="00677761" w:rsidRPr="00366E1A">
        <w:rPr>
          <w:rFonts w:ascii="Times New Roman" w:hAnsi="Times New Roman" w:cs="Times New Roman"/>
        </w:rPr>
        <w:t xml:space="preserve"> 15 species to reach a median of all 5 micronutrient targets (when molluscs are included), </w:t>
      </w:r>
      <w:r w:rsidR="00E31159">
        <w:rPr>
          <w:rFonts w:ascii="Times New Roman" w:hAnsi="Times New Roman" w:cs="Times New Roman"/>
        </w:rPr>
        <w:t>or</w:t>
      </w:r>
      <w:r w:rsidR="00677761" w:rsidRPr="00366E1A">
        <w:rPr>
          <w:rFonts w:ascii="Times New Roman" w:hAnsi="Times New Roman" w:cs="Times New Roman"/>
        </w:rPr>
        <w:t xml:space="preserve"> 22 species when molluscs are excluded</w:t>
      </w:r>
      <w:r w:rsidR="00E31159">
        <w:rPr>
          <w:rFonts w:ascii="Times New Roman" w:hAnsi="Times New Roman" w:cs="Times New Roman"/>
        </w:rPr>
        <w:t xml:space="preserve">. </w:t>
      </w:r>
    </w:p>
    <w:p w14:paraId="02814A8C" w14:textId="77777777" w:rsidR="00E31159" w:rsidRDefault="00E31159" w:rsidP="00366E1A">
      <w:pPr>
        <w:spacing w:line="360" w:lineRule="auto"/>
        <w:rPr>
          <w:rFonts w:ascii="Times New Roman" w:hAnsi="Times New Roman" w:cs="Times New Roman"/>
        </w:rPr>
      </w:pPr>
    </w:p>
    <w:p w14:paraId="00E170C7" w14:textId="62989C96" w:rsidR="00E31159" w:rsidRDefault="00E31159" w:rsidP="00E31159">
      <w:pPr>
        <w:spacing w:line="360" w:lineRule="auto"/>
        <w:rPr>
          <w:rFonts w:ascii="Times New Roman" w:eastAsia="Times New Roman" w:hAnsi="Times New Roman" w:cs="Times New Roman"/>
        </w:rPr>
      </w:pPr>
      <w:r w:rsidRPr="00A02E42">
        <w:rPr>
          <w:rFonts w:ascii="Times New Roman" w:hAnsi="Times New Roman" w:cs="Times New Roman"/>
        </w:rPr>
        <w:t xml:space="preserve">Within </w:t>
      </w:r>
      <w:commentRangeStart w:id="5"/>
      <w:r w:rsidRPr="00A02E42">
        <w:rPr>
          <w:rFonts w:ascii="Times New Roman" w:hAnsi="Times New Roman" w:cs="Times New Roman"/>
        </w:rPr>
        <w:t>functional</w:t>
      </w:r>
      <w:commentRangeEnd w:id="5"/>
      <w:r w:rsidR="00A7106C">
        <w:rPr>
          <w:rStyle w:val="CommentReference"/>
          <w:rFonts w:ascii="Arial" w:eastAsia="Arial" w:hAnsi="Arial" w:cs="Arial"/>
          <w:color w:val="000000"/>
          <w:lang w:val="en-US"/>
        </w:rPr>
        <w:commentReference w:id="5"/>
      </w:r>
      <w:r w:rsidRPr="00A02E42">
        <w:rPr>
          <w:rFonts w:ascii="Times New Roman" w:hAnsi="Times New Roman" w:cs="Times New Roman"/>
        </w:rPr>
        <w:t xml:space="preserve"> groups, some traits such body size and latitude are strongly associated with nutritional profile.  </w:t>
      </w:r>
      <w:r w:rsidR="00A02E42">
        <w:rPr>
          <w:rFonts w:ascii="Times New Roman" w:eastAsia="Times New Roman" w:hAnsi="Times New Roman" w:cs="Times New Roman"/>
        </w:rPr>
        <w:t>Variation in calcium content was explained by body size, habitat and latitude in the best model (Figure 5, R2 = 0.63). Calcium content in edible portions declined with increasing latitude of the species, and with increasing body size. Trophic position and an interaction between body size and latitude were retained in the best model set, though their coefficients did not differ significantly from zero, suggesting they are not driving the main effects of body size and latitude. Twenty species had calcium contents that equalled or exceeded 25% of DRI. These species averaged 495.83 g (min=3.71g, max=38.82 kg) and were distributed over X latitude. The remaining 63 species contained less than 25% of calcium DRI in one portion, and had mean body size 6.27 kg (min=31g, max=2532.63kg).</w:t>
      </w:r>
    </w:p>
    <w:p w14:paraId="78B4FD6A" w14:textId="77777777" w:rsidR="00724A56" w:rsidRDefault="00724A56" w:rsidP="00E31159">
      <w:pPr>
        <w:spacing w:line="360" w:lineRule="auto"/>
        <w:rPr>
          <w:rFonts w:ascii="Times New Roman" w:eastAsia="Times New Roman" w:hAnsi="Times New Roman" w:cs="Times New Roman"/>
        </w:rPr>
      </w:pPr>
    </w:p>
    <w:p w14:paraId="7014EEC0" w14:textId="77777777" w:rsidR="00EE6A99" w:rsidRPr="00DC1B3B" w:rsidRDefault="00EE6A99" w:rsidP="00206C24">
      <w:pPr>
        <w:spacing w:line="360" w:lineRule="auto"/>
        <w:rPr>
          <w:rFonts w:ascii="Times New Roman" w:hAnsi="Times New Roman" w:cs="Times New Roman"/>
          <w:b/>
        </w:rPr>
      </w:pPr>
      <w:bookmarkStart w:id="6" w:name="_GoBack"/>
      <w:bookmarkEnd w:id="6"/>
      <w:r w:rsidRPr="00DC1B3B">
        <w:rPr>
          <w:rFonts w:ascii="Times New Roman" w:hAnsi="Times New Roman" w:cs="Times New Roman"/>
          <w:b/>
        </w:rPr>
        <w:t>Discussion:</w:t>
      </w:r>
    </w:p>
    <w:p w14:paraId="27A59D2D" w14:textId="5F46B2E7" w:rsidR="00A91F6C" w:rsidRPr="00DC1B3B" w:rsidRDefault="004D0CC1" w:rsidP="00206C24">
      <w:pPr>
        <w:spacing w:line="360" w:lineRule="auto"/>
      </w:pPr>
      <w:r>
        <w:rPr>
          <w:rFonts w:ascii="Times New Roman" w:hAnsi="Times New Roman" w:cs="Times New Roman"/>
        </w:rPr>
        <w:t>Seafood is widely recognized as a valuable source of protein for more than a thi</w:t>
      </w:r>
      <w:r w:rsidR="0083335F">
        <w:rPr>
          <w:rFonts w:ascii="Times New Roman" w:hAnsi="Times New Roman" w:cs="Times New Roman"/>
        </w:rPr>
        <w:t>rd of the global population</w:t>
      </w:r>
      <w:r w:rsidR="008B7B00">
        <w:rPr>
          <w:rFonts w:ascii="Times New Roman" w:hAnsi="Times New Roman" w:cs="Times New Roman"/>
        </w:rPr>
        <w:t xml:space="preserve"> (refs)</w:t>
      </w:r>
      <w:r w:rsidR="0083335F">
        <w:rPr>
          <w:rFonts w:ascii="Times New Roman" w:hAnsi="Times New Roman" w:cs="Times New Roman"/>
        </w:rPr>
        <w:t xml:space="preserve">. </w:t>
      </w:r>
      <w:r w:rsidR="007645A5">
        <w:rPr>
          <w:rFonts w:ascii="Times New Roman" w:hAnsi="Times New Roman" w:cs="Times New Roman"/>
        </w:rPr>
        <w:t xml:space="preserve">SOME SENTENCE ON THE IMPORTANCE OF SEAFOOD TO FOOD SECURITY. </w:t>
      </w:r>
      <w:r w:rsidR="008B7B00">
        <w:rPr>
          <w:rFonts w:ascii="Times New Roman" w:hAnsi="Times New Roman" w:cs="Times New Roman"/>
        </w:rPr>
        <w:t xml:space="preserve">While many of these studies claim that seafood is important for food and nutrition security, they don’t consider the diversity of nutritional profiles among aquatic species. From a nutritional value perspective, not all fish are created equal.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body size and habitat associations. </w:t>
      </w:r>
      <w:r w:rsidR="00395826">
        <w:t xml:space="preserve">Below we discuss these patterns of variability across functional groups and implications of these findings for dietary diversity and human health. </w:t>
      </w:r>
    </w:p>
    <w:p w14:paraId="21379EC0" w14:textId="77777777" w:rsidR="0026342E" w:rsidRPr="00DC1B3B" w:rsidRDefault="0026342E" w:rsidP="00206C24">
      <w:pPr>
        <w:pStyle w:val="normal0"/>
        <w:spacing w:line="360" w:lineRule="auto"/>
        <w:rPr>
          <w:rFonts w:ascii="Times New Roman" w:eastAsia="Times New Roman" w:hAnsi="Times New Roman" w:cs="Times New Roman"/>
          <w:sz w:val="24"/>
          <w:szCs w:val="24"/>
        </w:rPr>
      </w:pP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 xml:space="preserve">-elements (eg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(Karimi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For example, to reach DRI for calcium, iron and zinc, a human diet must contain on average eight distinct species. 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molluscs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molluscs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7"/>
      <w:r w:rsidRPr="00206C24">
        <w:rPr>
          <w:rFonts w:ascii="Times New Roman" w:eastAsia="Times New Roman" w:hAnsi="Times New Roman" w:cs="Times New Roman"/>
          <w:b/>
          <w:sz w:val="24"/>
          <w:szCs w:val="24"/>
        </w:rPr>
        <w:t>Implications</w:t>
      </w:r>
      <w:commentRangeEnd w:id="7"/>
      <w:r w:rsidR="00CD5A68">
        <w:rPr>
          <w:rStyle w:val="CommentReference"/>
        </w:rPr>
        <w:commentReference w:id="7"/>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0B5A4D17"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r w:rsidR="00A213F9">
        <w:rPr>
          <w:rFonts w:ascii="Times New Roman" w:eastAsia="Times New Roman" w:hAnsi="Times New Roman" w:cs="Times New Roman"/>
          <w:sz w:val="24"/>
          <w:szCs w:val="24"/>
        </w:rPr>
        <w:t xml:space="preserve">DRIs </w:t>
      </w:r>
      <w:r w:rsidR="00472F55">
        <w:rPr>
          <w:rFonts w:ascii="Times New Roman" w:eastAsia="Times New Roman" w:hAnsi="Times New Roman" w:cs="Times New Roman"/>
          <w:sz w:val="24"/>
          <w:szCs w:val="24"/>
        </w:rPr>
        <w:t xml:space="preserve">were of XX size and or XX taxonomic group. </w:t>
      </w:r>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5A2128E7"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rFonts w:ascii="Times New Roman" w:hAnsi="Times New Roman" w:cs="Times New Roman"/>
          <w:b/>
        </w:rPr>
      </w:pP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(mds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r>
        <w:rPr>
          <w:rFonts w:ascii="Times New Roman" w:hAnsi="Times New Roman" w:cs="Times New Roman"/>
          <w:b/>
        </w:rPr>
        <w:t xml:space="preserve">fig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r>
        <w:rPr>
          <w:rFonts w:ascii="Times New Roman" w:hAnsi="Times New Roman" w:cs="Times New Roman"/>
          <w:b/>
        </w:rPr>
        <w:t>Supp figures?</w:t>
      </w:r>
    </w:p>
    <w:p w14:paraId="29D2B17B" w14:textId="5158284C" w:rsidR="001420E8" w:rsidRPr="00206C24" w:rsidRDefault="001420E8" w:rsidP="00206C24">
      <w:pPr>
        <w:spacing w:line="360" w:lineRule="auto"/>
        <w:rPr>
          <w:rFonts w:ascii="Times New Roman" w:hAnsi="Times New Roman" w:cs="Times New Roman"/>
          <w:b/>
        </w:rPr>
      </w:pPr>
      <w:r w:rsidRPr="00206C24">
        <w:rPr>
          <w:rFonts w:ascii="Times New Roman" w:hAnsi="Times New Roman" w:cs="Times New Roman"/>
          <w:b/>
        </w:rPr>
        <w:t>map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ielle Bernhardt" w:date="2016-01-21T14:55:00Z" w:initials="AB">
    <w:p w14:paraId="019FFED4" w14:textId="6980D89C" w:rsidR="00724A56" w:rsidRDefault="00724A56">
      <w:pPr>
        <w:pStyle w:val="CommentText"/>
      </w:pPr>
      <w:r>
        <w:rPr>
          <w:rStyle w:val="CommentReference"/>
        </w:rPr>
        <w:annotationRef/>
      </w:r>
      <w:r>
        <w:t>Should  you give context to what part of the world? Or, if  everywhere, say  everywhere? Is this  supposed to refer  equally to freshwater/ not  freshwater fish?</w:t>
      </w:r>
    </w:p>
  </w:comment>
  <w:comment w:id="1" w:author="Joey Bernhardt" w:date="2016-01-21T14:55:00Z" w:initials="JB">
    <w:p w14:paraId="167975CE" w14:textId="4885069E" w:rsidR="00724A56" w:rsidRDefault="00724A56">
      <w:pPr>
        <w:pStyle w:val="CommentText"/>
      </w:pPr>
      <w:r>
        <w:rPr>
          <w:rStyle w:val="CommentReference"/>
        </w:rPr>
        <w:annotationRef/>
      </w:r>
      <w:r>
        <w:t xml:space="preserve">This hypothesis is a little weak. I’ll see if I can strengthen it. </w:t>
      </w:r>
    </w:p>
  </w:comment>
  <w:comment w:id="2" w:author="Joey Bernhardt" w:date="2016-01-21T14:55:00Z" w:initials="JB">
    <w:p w14:paraId="77256D73" w14:textId="77777777" w:rsidR="00724A56" w:rsidRDefault="00724A56" w:rsidP="00BA5811">
      <w:pPr>
        <w:pStyle w:val="CommentText"/>
      </w:pPr>
      <w:r>
        <w:rPr>
          <w:rStyle w:val="CommentReference"/>
        </w:rPr>
        <w:annotationRef/>
      </w:r>
      <w:r>
        <w:t>Ok definitely need to fins a better way to phrase this.</w:t>
      </w:r>
    </w:p>
  </w:comment>
  <w:comment w:id="3" w:author="Joey Bernhardt" w:date="2016-01-27T08:20:00Z" w:initials="JB">
    <w:p w14:paraId="5A26E483" w14:textId="47455FF1" w:rsidR="00724A56" w:rsidRDefault="00724A56">
      <w:pPr>
        <w:pStyle w:val="CommentText"/>
      </w:pPr>
      <w:r>
        <w:rPr>
          <w:rStyle w:val="CommentReference"/>
        </w:rPr>
        <w:annotationRef/>
      </w:r>
      <w:r>
        <w:t>Need to explain this better</w:t>
      </w:r>
    </w:p>
  </w:comment>
  <w:comment w:id="4" w:author="Joey Bernhardt" w:date="2016-01-21T16:13:00Z" w:initials="JB">
    <w:p w14:paraId="70CF5963" w14:textId="77777777" w:rsidR="00724A56" w:rsidRDefault="00724A56" w:rsidP="00F51313">
      <w:pPr>
        <w:spacing w:line="360" w:lineRule="auto"/>
        <w:rPr>
          <w:rFonts w:ascii="Times New Roman" w:hAnsi="Times New Roman" w:cs="Times New Roman"/>
        </w:rPr>
      </w:pPr>
      <w:r>
        <w:rPr>
          <w:rStyle w:val="CommentReference"/>
        </w:rPr>
        <w:annotationRef/>
      </w:r>
    </w:p>
    <w:p w14:paraId="5DA51DC1" w14:textId="77777777" w:rsidR="00724A56" w:rsidRPr="00D44F25" w:rsidRDefault="00724A56"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724A56" w:rsidRPr="00D44F25" w:rsidRDefault="00724A56"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724A56" w:rsidRDefault="00724A56">
      <w:pPr>
        <w:pStyle w:val="CommentText"/>
      </w:pPr>
    </w:p>
  </w:comment>
  <w:comment w:id="5" w:author="Joey Bernhardt" w:date="2016-01-27T09:40:00Z" w:initials="JB">
    <w:p w14:paraId="4AA73077" w14:textId="5EA48A0E" w:rsidR="00A7106C" w:rsidRDefault="00A7106C">
      <w:pPr>
        <w:pStyle w:val="CommentText"/>
      </w:pPr>
      <w:r>
        <w:rPr>
          <w:rStyle w:val="CommentReference"/>
        </w:rPr>
        <w:annotationRef/>
      </w:r>
      <w:r>
        <w:t>need to finish up this section for the other nutrients</w:t>
      </w:r>
    </w:p>
  </w:comment>
  <w:comment w:id="7" w:author="Joey Bernhardt" w:date="2016-01-21T14:55:00Z" w:initials="JB">
    <w:p w14:paraId="5EED7A5F"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p>
    <w:p w14:paraId="5C938128"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Talk about patterns of human consumption of seafood (i.e. global vs local diets)</w:t>
      </w:r>
    </w:p>
    <w:p w14:paraId="21CEC39C"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p>
    <w:p w14:paraId="022BAEB2" w14:textId="77777777" w:rsidR="00724A56" w:rsidRPr="00531E04" w:rsidRDefault="00724A56"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724A56" w:rsidRDefault="00724A56">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724A56" w:rsidRDefault="00724A56" w:rsidP="00D57A51">
      <w:r>
        <w:separator/>
      </w:r>
    </w:p>
  </w:endnote>
  <w:endnote w:type="continuationSeparator" w:id="0">
    <w:p w14:paraId="0E279997" w14:textId="77777777" w:rsidR="00724A56" w:rsidRDefault="00724A56" w:rsidP="00D57A51">
      <w:r>
        <w:continuationSeparator/>
      </w:r>
    </w:p>
  </w:endnote>
  <w:endnote w:type="continuationNotice" w:id="1">
    <w:p w14:paraId="1C554B38" w14:textId="77777777" w:rsidR="00724A56" w:rsidRDefault="00724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724A56" w:rsidRDefault="00724A56"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724A56" w:rsidRDefault="00724A56"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724A56" w:rsidRDefault="00724A56"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4C7F">
      <w:rPr>
        <w:rStyle w:val="PageNumber"/>
        <w:noProof/>
      </w:rPr>
      <w:t>1</w:t>
    </w:r>
    <w:r>
      <w:rPr>
        <w:rStyle w:val="PageNumber"/>
      </w:rPr>
      <w:fldChar w:fldCharType="end"/>
    </w:r>
  </w:p>
  <w:p w14:paraId="59421C9A" w14:textId="77777777" w:rsidR="00724A56" w:rsidRDefault="00724A56"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724A56" w:rsidRDefault="00724A56" w:rsidP="00D57A51">
      <w:r>
        <w:separator/>
      </w:r>
    </w:p>
  </w:footnote>
  <w:footnote w:type="continuationSeparator" w:id="0">
    <w:p w14:paraId="561C521F" w14:textId="77777777" w:rsidR="00724A56" w:rsidRDefault="00724A56" w:rsidP="00D57A51">
      <w:r>
        <w:continuationSeparator/>
      </w:r>
    </w:p>
  </w:footnote>
  <w:footnote w:type="continuationNotice" w:id="1">
    <w:p w14:paraId="6114DF0A" w14:textId="77777777" w:rsidR="00724A56" w:rsidRDefault="00724A5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724A56" w:rsidRDefault="00724A5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1F5ED3"/>
    <w:rsid w:val="00204062"/>
    <w:rsid w:val="00206C24"/>
    <w:rsid w:val="0024109E"/>
    <w:rsid w:val="00246CFA"/>
    <w:rsid w:val="0026342E"/>
    <w:rsid w:val="002C35DB"/>
    <w:rsid w:val="002E2FBB"/>
    <w:rsid w:val="002F1900"/>
    <w:rsid w:val="002F535C"/>
    <w:rsid w:val="00313B44"/>
    <w:rsid w:val="003307D9"/>
    <w:rsid w:val="003400D1"/>
    <w:rsid w:val="003455A0"/>
    <w:rsid w:val="00366E1A"/>
    <w:rsid w:val="003729EB"/>
    <w:rsid w:val="00383684"/>
    <w:rsid w:val="00387237"/>
    <w:rsid w:val="00395826"/>
    <w:rsid w:val="00397AD7"/>
    <w:rsid w:val="003C4937"/>
    <w:rsid w:val="003D21C8"/>
    <w:rsid w:val="003D39CC"/>
    <w:rsid w:val="003F13B2"/>
    <w:rsid w:val="003F24E2"/>
    <w:rsid w:val="003F7815"/>
    <w:rsid w:val="004174B2"/>
    <w:rsid w:val="00441F68"/>
    <w:rsid w:val="00442796"/>
    <w:rsid w:val="00445BB7"/>
    <w:rsid w:val="00460410"/>
    <w:rsid w:val="00472F55"/>
    <w:rsid w:val="004973B8"/>
    <w:rsid w:val="004B7C10"/>
    <w:rsid w:val="004D0CC1"/>
    <w:rsid w:val="004E60E0"/>
    <w:rsid w:val="00504C8D"/>
    <w:rsid w:val="005118D6"/>
    <w:rsid w:val="005163B3"/>
    <w:rsid w:val="00550F29"/>
    <w:rsid w:val="00552346"/>
    <w:rsid w:val="0057210D"/>
    <w:rsid w:val="00595F3D"/>
    <w:rsid w:val="005B099A"/>
    <w:rsid w:val="005C222B"/>
    <w:rsid w:val="005F1F1D"/>
    <w:rsid w:val="005F3207"/>
    <w:rsid w:val="006353BD"/>
    <w:rsid w:val="006478BF"/>
    <w:rsid w:val="006526FD"/>
    <w:rsid w:val="006536F1"/>
    <w:rsid w:val="00667B20"/>
    <w:rsid w:val="006745AE"/>
    <w:rsid w:val="00675478"/>
    <w:rsid w:val="00677761"/>
    <w:rsid w:val="00685F0E"/>
    <w:rsid w:val="006E7777"/>
    <w:rsid w:val="00700CED"/>
    <w:rsid w:val="007135B0"/>
    <w:rsid w:val="00724A56"/>
    <w:rsid w:val="00725647"/>
    <w:rsid w:val="007645A5"/>
    <w:rsid w:val="00767A41"/>
    <w:rsid w:val="007A4551"/>
    <w:rsid w:val="007A6867"/>
    <w:rsid w:val="007E4AFF"/>
    <w:rsid w:val="007F2351"/>
    <w:rsid w:val="00802184"/>
    <w:rsid w:val="00811273"/>
    <w:rsid w:val="00817274"/>
    <w:rsid w:val="00825A32"/>
    <w:rsid w:val="00825FEB"/>
    <w:rsid w:val="00826C34"/>
    <w:rsid w:val="0083335F"/>
    <w:rsid w:val="00843D4A"/>
    <w:rsid w:val="00843F16"/>
    <w:rsid w:val="00854F90"/>
    <w:rsid w:val="008B7B00"/>
    <w:rsid w:val="008C15B2"/>
    <w:rsid w:val="008C72B4"/>
    <w:rsid w:val="008F5925"/>
    <w:rsid w:val="00904159"/>
    <w:rsid w:val="0092060A"/>
    <w:rsid w:val="009258D4"/>
    <w:rsid w:val="00931E43"/>
    <w:rsid w:val="00932779"/>
    <w:rsid w:val="00937692"/>
    <w:rsid w:val="00952BF7"/>
    <w:rsid w:val="00965B71"/>
    <w:rsid w:val="00975290"/>
    <w:rsid w:val="00987BEF"/>
    <w:rsid w:val="00996881"/>
    <w:rsid w:val="009A2EDD"/>
    <w:rsid w:val="009A5E5D"/>
    <w:rsid w:val="009C0D07"/>
    <w:rsid w:val="009C348C"/>
    <w:rsid w:val="009D175E"/>
    <w:rsid w:val="009D6B04"/>
    <w:rsid w:val="009E2E35"/>
    <w:rsid w:val="009E6056"/>
    <w:rsid w:val="00A02E42"/>
    <w:rsid w:val="00A11176"/>
    <w:rsid w:val="00A213F9"/>
    <w:rsid w:val="00A23C48"/>
    <w:rsid w:val="00A24A1E"/>
    <w:rsid w:val="00A26FDF"/>
    <w:rsid w:val="00A37182"/>
    <w:rsid w:val="00A463B7"/>
    <w:rsid w:val="00A543D7"/>
    <w:rsid w:val="00A7106C"/>
    <w:rsid w:val="00A83EEE"/>
    <w:rsid w:val="00A91F6C"/>
    <w:rsid w:val="00A9503E"/>
    <w:rsid w:val="00B12F8B"/>
    <w:rsid w:val="00B17699"/>
    <w:rsid w:val="00B3189C"/>
    <w:rsid w:val="00B3197A"/>
    <w:rsid w:val="00B34778"/>
    <w:rsid w:val="00B65C50"/>
    <w:rsid w:val="00B77B19"/>
    <w:rsid w:val="00BA5811"/>
    <w:rsid w:val="00BA7A9D"/>
    <w:rsid w:val="00BB72C7"/>
    <w:rsid w:val="00BD027D"/>
    <w:rsid w:val="00BD14F3"/>
    <w:rsid w:val="00BE6675"/>
    <w:rsid w:val="00BF46CB"/>
    <w:rsid w:val="00C066D8"/>
    <w:rsid w:val="00C1503E"/>
    <w:rsid w:val="00C3791E"/>
    <w:rsid w:val="00C46477"/>
    <w:rsid w:val="00C52195"/>
    <w:rsid w:val="00C65A75"/>
    <w:rsid w:val="00C84C7F"/>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14F4"/>
    <w:rsid w:val="00DA1AF9"/>
    <w:rsid w:val="00DA5BD0"/>
    <w:rsid w:val="00DB29B8"/>
    <w:rsid w:val="00DB544C"/>
    <w:rsid w:val="00DC1B3B"/>
    <w:rsid w:val="00DC2C41"/>
    <w:rsid w:val="00DD4F08"/>
    <w:rsid w:val="00DE0327"/>
    <w:rsid w:val="00DF0FB4"/>
    <w:rsid w:val="00DF3C4B"/>
    <w:rsid w:val="00DF7628"/>
    <w:rsid w:val="00E00078"/>
    <w:rsid w:val="00E02BF4"/>
    <w:rsid w:val="00E03710"/>
    <w:rsid w:val="00E0744F"/>
    <w:rsid w:val="00E31159"/>
    <w:rsid w:val="00E86BC1"/>
    <w:rsid w:val="00EA027F"/>
    <w:rsid w:val="00EB08A3"/>
    <w:rsid w:val="00ED1029"/>
    <w:rsid w:val="00EE44E9"/>
    <w:rsid w:val="00EE6A99"/>
    <w:rsid w:val="00EF433B"/>
    <w:rsid w:val="00EF5987"/>
    <w:rsid w:val="00F11115"/>
    <w:rsid w:val="00F12D45"/>
    <w:rsid w:val="00F13C51"/>
    <w:rsid w:val="00F23D2A"/>
    <w:rsid w:val="00F40769"/>
    <w:rsid w:val="00F51313"/>
    <w:rsid w:val="00F51F44"/>
    <w:rsid w:val="00F71426"/>
    <w:rsid w:val="00F72AE5"/>
    <w:rsid w:val="00F76EBD"/>
    <w:rsid w:val="00F917D8"/>
    <w:rsid w:val="00F94CCE"/>
    <w:rsid w:val="00FA60CA"/>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 w:type="character" w:styleId="Hyperlink">
    <w:name w:val="Hyperlink"/>
    <w:basedOn w:val="DefaultParagraphFont"/>
    <w:uiPriority w:val="99"/>
    <w:unhideWhenUsed/>
    <w:rsid w:val="00DF762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 w:type="character" w:styleId="Hyperlink">
    <w:name w:val="Hyperlink"/>
    <w:basedOn w:val="DefaultParagraphFont"/>
    <w:uiPriority w:val="99"/>
    <w:unhideWhenUsed/>
    <w:rsid w:val="00DF76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40439">
      <w:bodyDiv w:val="1"/>
      <w:marLeft w:val="0"/>
      <w:marRight w:val="0"/>
      <w:marTop w:val="0"/>
      <w:marBottom w:val="0"/>
      <w:divBdr>
        <w:top w:val="none" w:sz="0" w:space="0" w:color="auto"/>
        <w:left w:val="none" w:sz="0" w:space="0" w:color="auto"/>
        <w:bottom w:val="none" w:sz="0" w:space="0" w:color="auto"/>
        <w:right w:val="none" w:sz="0" w:space="0" w:color="auto"/>
      </w:divBdr>
    </w:div>
    <w:div w:id="1508053176">
      <w:bodyDiv w:val="1"/>
      <w:marLeft w:val="0"/>
      <w:marRight w:val="0"/>
      <w:marTop w:val="0"/>
      <w:marBottom w:val="0"/>
      <w:divBdr>
        <w:top w:val="none" w:sz="0" w:space="0" w:color="auto"/>
        <w:left w:val="none" w:sz="0" w:space="0" w:color="auto"/>
        <w:bottom w:val="none" w:sz="0" w:space="0" w:color="auto"/>
        <w:right w:val="none" w:sz="0" w:space="0" w:color="auto"/>
      </w:divBdr>
    </w:div>
    <w:div w:id="1576740966">
      <w:bodyDiv w:val="1"/>
      <w:marLeft w:val="0"/>
      <w:marRight w:val="0"/>
      <w:marTop w:val="0"/>
      <w:marBottom w:val="0"/>
      <w:divBdr>
        <w:top w:val="none" w:sz="0" w:space="0" w:color="auto"/>
        <w:left w:val="none" w:sz="0" w:space="0" w:color="auto"/>
        <w:bottom w:val="none" w:sz="0" w:space="0" w:color="auto"/>
        <w:right w:val="none" w:sz="0" w:space="0" w:color="auto"/>
      </w:divBdr>
    </w:div>
    <w:div w:id="1637222997">
      <w:bodyDiv w:val="1"/>
      <w:marLeft w:val="0"/>
      <w:marRight w:val="0"/>
      <w:marTop w:val="0"/>
      <w:marBottom w:val="0"/>
      <w:divBdr>
        <w:top w:val="none" w:sz="0" w:space="0" w:color="auto"/>
        <w:left w:val="none" w:sz="0" w:space="0" w:color="auto"/>
        <w:bottom w:val="none" w:sz="0" w:space="0" w:color="auto"/>
        <w:right w:val="none" w:sz="0" w:space="0" w:color="auto"/>
      </w:divBdr>
    </w:div>
    <w:div w:id="1729760051">
      <w:bodyDiv w:val="1"/>
      <w:marLeft w:val="0"/>
      <w:marRight w:val="0"/>
      <w:marTop w:val="0"/>
      <w:marBottom w:val="0"/>
      <w:divBdr>
        <w:top w:val="none" w:sz="0" w:space="0" w:color="auto"/>
        <w:left w:val="none" w:sz="0" w:space="0" w:color="auto"/>
        <w:bottom w:val="none" w:sz="0" w:space="0" w:color="auto"/>
        <w:right w:val="none" w:sz="0" w:space="0" w:color="auto"/>
      </w:divBdr>
    </w:div>
    <w:div w:id="2013216837">
      <w:bodyDiv w:val="1"/>
      <w:marLeft w:val="0"/>
      <w:marRight w:val="0"/>
      <w:marTop w:val="0"/>
      <w:marBottom w:val="0"/>
      <w:divBdr>
        <w:top w:val="none" w:sz="0" w:space="0" w:color="auto"/>
        <w:left w:val="none" w:sz="0" w:space="0" w:color="auto"/>
        <w:bottom w:val="none" w:sz="0" w:space="0" w:color="auto"/>
        <w:right w:val="none" w:sz="0" w:space="0" w:color="auto"/>
      </w:divBdr>
    </w:div>
    <w:div w:id="2074965367">
      <w:bodyDiv w:val="1"/>
      <w:marLeft w:val="0"/>
      <w:marRight w:val="0"/>
      <w:marTop w:val="0"/>
      <w:marBottom w:val="0"/>
      <w:divBdr>
        <w:top w:val="none" w:sz="0" w:space="0" w:color="auto"/>
        <w:left w:val="none" w:sz="0" w:space="0" w:color="auto"/>
        <w:bottom w:val="none" w:sz="0" w:space="0" w:color="auto"/>
        <w:right w:val="none" w:sz="0" w:space="0" w:color="auto"/>
      </w:divBdr>
    </w:div>
    <w:div w:id="20814436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F2887-8F69-5D42-9645-500B56AFC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21</Pages>
  <Words>4578</Words>
  <Characters>26099</Characters>
  <Application>Microsoft Macintosh Word</Application>
  <DocSecurity>0</DocSecurity>
  <Lines>217</Lines>
  <Paragraphs>61</Paragraphs>
  <ScaleCrop>false</ScaleCrop>
  <Company/>
  <LinksUpToDate>false</LinksUpToDate>
  <CharactersWithSpaces>30616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27</cp:revision>
  <dcterms:created xsi:type="dcterms:W3CDTF">2015-12-16T17:23:00Z</dcterms:created>
  <dcterms:modified xsi:type="dcterms:W3CDTF">2016-01-28T21:33:00Z</dcterms:modified>
</cp:coreProperties>
</file>