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Vouch — Review Prep Brief</w:t>
      </w:r>
    </w:p>
    <w:p>
      <w:pPr>
        <w:spacing w:after="400"/>
      </w:pPr>
      <w:r>
        <w:rPr>
          <w:i/>
          <w:iCs/>
          <w:color w:val="6B7280"/>
        </w:rPr>
        <w:t xml:space="preserve">KNUST CodeQuest 2026 · Group 78 · Prepared for the team review</w:t>
      </w:r>
    </w:p>
    <w:p>
      <w:pPr>
        <w:spacing w:after="160"/>
      </w:pPr>
      <w:r>
        <w:t xml:space="preserve">This is a working brief for the team: what the app is built with and why, how the system fits together, and a full honest account of the bug audit run before the review — what was found, what got fixed, and what's still open and why.</w:t>
      </w:r>
    </w:p>
    <w:p>
      <w:pPr>
        <w:pStyle w:val="Heading1"/>
        <w:spacing w:after="200" w:before="400"/>
      </w:pPr>
      <w:r>
        <w:t xml:space="preserve">1. Tech Stack</w:t>
      </w:r>
    </w:p>
    <w:p>
      <w:pPr>
        <w:spacing w:after="160"/>
      </w:pPr>
      <w:r>
        <w:t xml:space="preserve">All five compulsory requirements are met, and nothing outside them is used anywhere in the codebase (verified by a full repo audit — every service's dependencies, every application config, every frontend package, and a scan for stray non-Java/non-TS code).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850"/>
        <w:gridCol w:w="4375"/>
        <w:gridCol w:w="4375"/>
      </w:tblGrid>
      <w:tr>
        <w:trPr>
          <w:tblHeader/>
        </w:trPr>
        <w:tc>
          <w:tcPr>
            <w:tcW w:type="dxa" w:w="1850"/>
            <w:shd w:fill="1F2937" w:val="clear"/>
            <w:tcMar>
              <w:top w:type="dxa" w:w="100"/>
              <w:left w:type="dxa" w:w="120"/>
              <w:bottom w:type="dxa" w:w="100"/>
              <w:right w:type="dxa" w:w="120"/>
            </w:tcMar>
          </w:tcPr>
          <w:p>
            <w:r>
              <w:rPr>
                <w:b/>
                <w:bCs/>
                <w:color w:val="FFFFFF"/>
                <w:sz w:val="20"/>
                <w:szCs w:val="20"/>
              </w:rPr>
              <w:t xml:space="preserve">Technology</w:t>
            </w:r>
          </w:p>
        </w:tc>
        <w:tc>
          <w:tcPr>
            <w:tcW w:type="dxa" w:w="4375"/>
            <w:shd w:fill="1F2937" w:val="clear"/>
            <w:tcMar>
              <w:top w:type="dxa" w:w="100"/>
              <w:left w:type="dxa" w:w="120"/>
              <w:bottom w:type="dxa" w:w="100"/>
              <w:right w:type="dxa" w:w="120"/>
            </w:tcMar>
          </w:tcPr>
          <w:p>
            <w:r>
              <w:rPr>
                <w:b/>
                <w:bCs/>
                <w:color w:val="FFFFFF"/>
                <w:sz w:val="20"/>
                <w:szCs w:val="20"/>
              </w:rPr>
              <w:t xml:space="preserve">Where / How</w:t>
            </w:r>
          </w:p>
        </w:tc>
        <w:tc>
          <w:tcPr>
            <w:tcW w:type="dxa" w:w="4375"/>
            <w:shd w:fill="1F2937" w:val="clear"/>
            <w:tcMar>
              <w:top w:type="dxa" w:w="100"/>
              <w:left w:type="dxa" w:w="120"/>
              <w:bottom w:type="dxa" w:w="100"/>
              <w:right w:type="dxa" w:w="120"/>
            </w:tcMar>
          </w:tcPr>
          <w:p>
            <w:r>
              <w:rPr>
                <w:b/>
                <w:bCs/>
                <w:color w:val="FFFFFF"/>
                <w:sz w:val="20"/>
                <w:szCs w:val="20"/>
              </w:rPr>
              <w:t xml:space="preserve">Why it was chosen</w:t>
            </w:r>
          </w:p>
        </w:tc>
      </w:tr>
      <w:tr>
        <w:trPr>
          <w:tblHeader w:val="false"/>
        </w:trPr>
        <w:tc>
          <w:tcPr>
            <w:tcW w:type="dxa" w:w="1850"/>
            <w:tcMar>
              <w:top w:type="dxa" w:w="100"/>
              <w:left w:type="dxa" w:w="120"/>
              <w:bottom w:type="dxa" w:w="100"/>
              <w:right w:type="dxa" w:w="120"/>
            </w:tcMar>
          </w:tcPr>
          <w:p>
            <w:r>
              <w:rPr>
                <w:b w:val="false"/>
                <w:bCs w:val="false"/>
                <w:sz w:val="20"/>
                <w:szCs w:val="20"/>
              </w:rPr>
              <w:t xml:space="preserve">PostgreSQL</w:t>
            </w:r>
          </w:p>
        </w:tc>
        <w:tc>
          <w:tcPr>
            <w:tcW w:type="dxa" w:w="4375"/>
            <w:tcMar>
              <w:top w:type="dxa" w:w="100"/>
              <w:left w:type="dxa" w:w="120"/>
              <w:bottom w:type="dxa" w:w="100"/>
              <w:right w:type="dxa" w:w="120"/>
            </w:tcMar>
          </w:tcPr>
          <w:p>
            <w:r>
              <w:rPr>
                <w:b w:val="false"/>
                <w:bCs w:val="false"/>
                <w:sz w:val="20"/>
                <w:szCs w:val="20"/>
              </w:rPr>
              <w:t xml:space="preserve">One dedicated database per microservice (vouch_auth, vouch_loans, vouch_notifications, vouch_payments, vouch_disputes, vouch_expenses), hosted on Neon. Hibernate (spring.jpa.hibernate.ddl-auto=update) manages schema.</w:t>
            </w:r>
          </w:p>
        </w:tc>
        <w:tc>
          <w:tcPr>
            <w:tcW w:type="dxa" w:w="4375"/>
            <w:tcMar>
              <w:top w:type="dxa" w:w="100"/>
              <w:left w:type="dxa" w:w="120"/>
              <w:bottom w:type="dxa" w:w="100"/>
              <w:right w:type="dxa" w:w="120"/>
            </w:tcMar>
          </w:tcPr>
          <w:p>
            <w:r>
              <w:rPr>
                <w:b w:val="false"/>
                <w:bCs w:val="false"/>
                <w:sz w:val="20"/>
                <w:szCs w:val="20"/>
              </w:rPr>
              <w:t xml:space="preserve">Money, loan status, and repayment records need real relational integrity and transactions (ACID) — not eventual consistency. Postgres is free-tier friendly (Neon) and is the competition's compulsory database requirement.</w:t>
            </w:r>
          </w:p>
        </w:tc>
      </w:tr>
      <w:tr>
        <w:trPr>
          <w:tblHeader w:val="false"/>
        </w:trPr>
        <w:tc>
          <w:tcPr>
            <w:tcW w:type="dxa" w:w="1850"/>
            <w:shd w:fill="F3F4F6" w:val="clear"/>
            <w:tcMar>
              <w:top w:type="dxa" w:w="100"/>
              <w:left w:type="dxa" w:w="120"/>
              <w:bottom w:type="dxa" w:w="100"/>
              <w:right w:type="dxa" w:w="120"/>
            </w:tcMar>
          </w:tcPr>
          <w:p>
            <w:r>
              <w:rPr>
                <w:b w:val="false"/>
                <w:bCs w:val="false"/>
                <w:sz w:val="20"/>
                <w:szCs w:val="20"/>
              </w:rPr>
              <w:t xml:space="preserve">Microservices architecture</w:t>
            </w:r>
          </w:p>
        </w:tc>
        <w:tc>
          <w:tcPr>
            <w:tcW w:type="dxa" w:w="4375"/>
            <w:shd w:fill="F3F4F6" w:val="clear"/>
            <w:tcMar>
              <w:top w:type="dxa" w:w="100"/>
              <w:left w:type="dxa" w:w="120"/>
              <w:bottom w:type="dxa" w:w="100"/>
              <w:right w:type="dxa" w:w="120"/>
            </w:tcMar>
          </w:tcPr>
          <w:p>
            <w:r>
              <w:rPr>
                <w:b w:val="false"/>
                <w:bCs w:val="false"/>
                <w:sz w:val="20"/>
                <w:szCs w:val="20"/>
              </w:rPr>
              <w:t xml:space="preserve">6 independently deployable Spring Boot services — auth, loan, notification, payment, dispute, expense — each with its own codebase, database, and Railway/Render deployment. Services call each other over internal REST endpoints via dedicated *ServiceClient classes.</w:t>
            </w:r>
          </w:p>
        </w:tc>
        <w:tc>
          <w:tcPr>
            <w:tcW w:type="dxa" w:w="4375"/>
            <w:shd w:fill="F3F4F6" w:val="clear"/>
            <w:tcMar>
              <w:top w:type="dxa" w:w="100"/>
              <w:left w:type="dxa" w:w="120"/>
              <w:bottom w:type="dxa" w:w="100"/>
              <w:right w:type="dxa" w:w="120"/>
            </w:tcMar>
          </w:tcPr>
          <w:p>
            <w:r>
              <w:rPr>
                <w:b w:val="false"/>
                <w:bCs w:val="false"/>
                <w:sz w:val="20"/>
                <w:szCs w:val="20"/>
              </w:rPr>
              <w:t xml:space="preserve">Mirrors how real fintech systems are built: each domain (identity, lending, money movement, disputes, budgeting) can be developed, tested, and scaled independently. Also the competition's compulsory architecture requirement.</w:t>
            </w:r>
          </w:p>
        </w:tc>
      </w:tr>
      <w:tr>
        <w:trPr>
          <w:tblHeader w:val="false"/>
        </w:trPr>
        <w:tc>
          <w:tcPr>
            <w:tcW w:type="dxa" w:w="1850"/>
            <w:tcMar>
              <w:top w:type="dxa" w:w="100"/>
              <w:left w:type="dxa" w:w="120"/>
              <w:bottom w:type="dxa" w:w="100"/>
              <w:right w:type="dxa" w:w="120"/>
            </w:tcMar>
          </w:tcPr>
          <w:p>
            <w:r>
              <w:rPr>
                <w:b w:val="false"/>
                <w:bCs w:val="false"/>
                <w:sz w:val="20"/>
                <w:szCs w:val="20"/>
              </w:rPr>
              <w:t xml:space="preserve">Spring Boot 3.4.1 / Java 21</w:t>
            </w:r>
          </w:p>
        </w:tc>
        <w:tc>
          <w:tcPr>
            <w:tcW w:type="dxa" w:w="4375"/>
            <w:tcMar>
              <w:top w:type="dxa" w:w="100"/>
              <w:left w:type="dxa" w:w="120"/>
              <w:bottom w:type="dxa" w:w="100"/>
              <w:right w:type="dxa" w:w="120"/>
            </w:tcMar>
          </w:tcPr>
          <w:p>
            <w:r>
              <w:rPr>
                <w:b w:val="false"/>
                <w:bCs w:val="false"/>
                <w:sz w:val="20"/>
                <w:szCs w:val="20"/>
              </w:rPr>
              <w:t xml:space="preserve">Every backend service: REST controllers, Spring Security (JWT-based, stateless), Spring Data JPA for persistence, Bean Validation for request DTOs.</w:t>
            </w:r>
          </w:p>
        </w:tc>
        <w:tc>
          <w:tcPr>
            <w:tcW w:type="dxa" w:w="4375"/>
            <w:tcMar>
              <w:top w:type="dxa" w:w="100"/>
              <w:left w:type="dxa" w:w="120"/>
              <w:bottom w:type="dxa" w:w="100"/>
              <w:right w:type="dxa" w:w="120"/>
            </w:tcMar>
          </w:tcPr>
          <w:p>
            <w:r>
              <w:rPr>
                <w:b w:val="false"/>
                <w:bCs w:val="false"/>
                <w:sz w:val="20"/>
                <w:szCs w:val="20"/>
              </w:rPr>
              <w:t xml:space="preserve">Mature, heavily documented framework for building secure REST APIs fast — Spring Security and Spring Data JPA cover authentication and persistence with minimal boilerplate, which mattered under hackathon time pressure.</w:t>
            </w:r>
          </w:p>
        </w:tc>
      </w:tr>
      <w:tr>
        <w:trPr>
          <w:tblHeader w:val="false"/>
        </w:trPr>
        <w:tc>
          <w:tcPr>
            <w:tcW w:type="dxa" w:w="1850"/>
            <w:shd w:fill="F3F4F6" w:val="clear"/>
            <w:tcMar>
              <w:top w:type="dxa" w:w="100"/>
              <w:left w:type="dxa" w:w="120"/>
              <w:bottom w:type="dxa" w:w="100"/>
              <w:right w:type="dxa" w:w="120"/>
            </w:tcMar>
          </w:tcPr>
          <w:p>
            <w:r>
              <w:rPr>
                <w:b w:val="false"/>
                <w:bCs w:val="false"/>
                <w:sz w:val="20"/>
                <w:szCs w:val="20"/>
              </w:rPr>
              <w:t xml:space="preserve">Expo (SDK ~54)</w:t>
            </w:r>
          </w:p>
        </w:tc>
        <w:tc>
          <w:tcPr>
            <w:tcW w:type="dxa" w:w="4375"/>
            <w:shd w:fill="F3F4F6" w:val="clear"/>
            <w:tcMar>
              <w:top w:type="dxa" w:w="100"/>
              <w:left w:type="dxa" w:w="120"/>
              <w:bottom w:type="dxa" w:w="100"/>
              <w:right w:type="dxa" w:w="120"/>
            </w:tcMar>
          </w:tcPr>
          <w:p>
            <w:r>
              <w:rPr>
                <w:b w:val="false"/>
                <w:bCs w:val="false"/>
                <w:sz w:val="20"/>
                <w:szCs w:val="20"/>
              </w:rPr>
              <w:t xml:space="preserve">Wraps the React Native app; used for the dev workflow (npx expo start) and EAS Build to produce a real installable Android APK for the physical-device demo.</w:t>
            </w:r>
          </w:p>
        </w:tc>
        <w:tc>
          <w:tcPr>
            <w:tcW w:type="dxa" w:w="4375"/>
            <w:shd w:fill="F3F4F6" w:val="clear"/>
            <w:tcMar>
              <w:top w:type="dxa" w:w="100"/>
              <w:left w:type="dxa" w:w="120"/>
              <w:bottom w:type="dxa" w:w="100"/>
              <w:right w:type="dxa" w:w="120"/>
            </w:tcMar>
          </w:tcPr>
          <w:p>
            <w:r>
              <w:rPr>
                <w:b w:val="false"/>
                <w:bCs w:val="false"/>
                <w:sz w:val="20"/>
                <w:szCs w:val="20"/>
              </w:rPr>
              <w:t xml:space="preserve">Fastest path to a real cross-platform mobile app without hand-rolling native Android/iOS build tooling. EAS Build specifically was needed once push notifications required a real build (Expo Go dropped Android push support in SDK 53).</w:t>
            </w:r>
          </w:p>
        </w:tc>
      </w:tr>
      <w:tr>
        <w:trPr>
          <w:tblHeader w:val="false"/>
        </w:trPr>
        <w:tc>
          <w:tcPr>
            <w:tcW w:type="dxa" w:w="1850"/>
            <w:tcMar>
              <w:top w:type="dxa" w:w="100"/>
              <w:left w:type="dxa" w:w="120"/>
              <w:bottom w:type="dxa" w:w="100"/>
              <w:right w:type="dxa" w:w="120"/>
            </w:tcMar>
          </w:tcPr>
          <w:p>
            <w:r>
              <w:rPr>
                <w:b w:val="false"/>
                <w:bCs w:val="false"/>
                <w:sz w:val="20"/>
                <w:szCs w:val="20"/>
              </w:rPr>
              <w:t xml:space="preserve">React Native 0.81.5</w:t>
            </w:r>
          </w:p>
        </w:tc>
        <w:tc>
          <w:tcPr>
            <w:tcW w:type="dxa" w:w="4375"/>
            <w:tcMar>
              <w:top w:type="dxa" w:w="100"/>
              <w:left w:type="dxa" w:w="120"/>
              <w:bottom w:type="dxa" w:w="100"/>
              <w:right w:type="dxa" w:w="120"/>
            </w:tcMar>
          </w:tcPr>
          <w:p>
            <w:r>
              <w:rPr>
                <w:b w:val="false"/>
                <w:bCs w:val="false"/>
                <w:sz w:val="20"/>
                <w:szCs w:val="20"/>
              </w:rPr>
              <w:t xml:space="preserve">The actual UI framework — all screens, navigation (React Navigation v7), and native device APIs (secure storage, notifications, camera/file access where used).</w:t>
            </w:r>
          </w:p>
        </w:tc>
        <w:tc>
          <w:tcPr>
            <w:tcW w:type="dxa" w:w="4375"/>
            <w:tcMar>
              <w:top w:type="dxa" w:w="100"/>
              <w:left w:type="dxa" w:w="120"/>
              <w:bottom w:type="dxa" w:w="100"/>
              <w:right w:type="dxa" w:w="120"/>
            </w:tcMar>
          </w:tcPr>
          <w:p>
            <w:r>
              <w:rPr>
                <w:b w:val="false"/>
                <w:bCs w:val="false"/>
                <w:sz w:val="20"/>
                <w:szCs w:val="20"/>
              </w:rPr>
              <w:t xml:space="preserve">Single codebase targeting Android (and iOS) instead of writing separate native apps — essential given the team size and timeline.</w:t>
            </w:r>
          </w:p>
        </w:tc>
      </w:tr>
      <w:tr>
        <w:trPr>
          <w:tblHeader w:val="false"/>
        </w:trPr>
        <w:tc>
          <w:tcPr>
            <w:tcW w:type="dxa" w:w="1850"/>
            <w:shd w:fill="F3F4F6" w:val="clear"/>
            <w:tcMar>
              <w:top w:type="dxa" w:w="100"/>
              <w:left w:type="dxa" w:w="120"/>
              <w:bottom w:type="dxa" w:w="100"/>
              <w:right w:type="dxa" w:w="120"/>
            </w:tcMar>
          </w:tcPr>
          <w:p>
            <w:r>
              <w:rPr>
                <w:b w:val="false"/>
                <w:bCs w:val="false"/>
                <w:sz w:val="20"/>
                <w:szCs w:val="20"/>
              </w:rPr>
              <w:t xml:space="preserve">TypeScript (strict mode)</w:t>
            </w:r>
          </w:p>
        </w:tc>
        <w:tc>
          <w:tcPr>
            <w:tcW w:type="dxa" w:w="4375"/>
            <w:shd w:fill="F3F4F6" w:val="clear"/>
            <w:tcMar>
              <w:top w:type="dxa" w:w="100"/>
              <w:left w:type="dxa" w:w="120"/>
              <w:bottom w:type="dxa" w:w="100"/>
              <w:right w:type="dxa" w:w="120"/>
            </w:tcMar>
          </w:tcPr>
          <w:p>
            <w:r>
              <w:rPr>
                <w:b w:val="false"/>
                <w:bCs w:val="false"/>
                <w:sz w:val="20"/>
                <w:szCs w:val="20"/>
              </w:rPr>
              <w:t xml:space="preserve">100% of frontend application code (zero stray .js/.jsx files); shared types for API responses, navigation params, and state.</w:t>
            </w:r>
          </w:p>
        </w:tc>
        <w:tc>
          <w:tcPr>
            <w:tcW w:type="dxa" w:w="4375"/>
            <w:shd w:fill="F3F4F6" w:val="clear"/>
            <w:tcMar>
              <w:top w:type="dxa" w:w="100"/>
              <w:left w:type="dxa" w:w="120"/>
              <w:bottom w:type="dxa" w:w="100"/>
              <w:right w:type="dxa" w:w="120"/>
            </w:tcMar>
          </w:tcPr>
          <w:p>
            <w:r>
              <w:rPr>
                <w:b w:val="false"/>
                <w:bCs w:val="false"/>
                <w:sz w:val="20"/>
                <w:szCs w:val="20"/>
              </w:rPr>
              <w:t xml:space="preserve">Catches type mismatches at compile time across a large screen count — particularly important anywhere money or loan status flows through the UI, where a wrong shape silently producing wrong numbers would be a serious bug. Also the competition's compulsory frontend language requirement.</w:t>
            </w:r>
          </w:p>
        </w:tc>
      </w:tr>
    </w:tbl>
    <w:p>
      <w:pPr>
        <w:pStyle w:val="Heading1"/>
        <w:spacing w:after="200" w:before="400"/>
      </w:pPr>
      <w:r>
        <w:t xml:space="preserve">2. How The System Fits Together</w:t>
      </w:r>
    </w:p>
    <w:p>
      <w:pPr>
        <w:pStyle w:val="Heading2"/>
        <w:spacing w:after="150" w:before="300"/>
      </w:pPr>
      <w:r>
        <w:t xml:space="preserve">Architecture at a glance</w:t>
      </w:r>
    </w:p>
    <w:p>
      <w:pPr>
        <w:spacing w:after="160"/>
      </w:pPr>
      <w:r>
        <w:t xml:space="preserve">Vouch is 6 independently deployed Spring Boot microservices, each owning one domain and one Postgres database, plus a React Native/Expo frontend that talks to them. There's no shared database and no shared codebase between services — each one could be redeployed, rewritten, or scaled on its own.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8400"/>
      </w:tblGrid>
      <w:tr>
        <w:trPr>
          <w:tblHeader/>
        </w:trPr>
        <w:tc>
          <w:tcPr>
            <w:tcW w:type="dxa" w:w="2200"/>
            <w:shd w:fill="1F2937" w:val="clear"/>
            <w:tcMar>
              <w:top w:type="dxa" w:w="100"/>
              <w:left w:type="dxa" w:w="120"/>
              <w:bottom w:type="dxa" w:w="100"/>
              <w:right w:type="dxa" w:w="120"/>
            </w:tcMar>
          </w:tcPr>
          <w:p>
            <w:r>
              <w:rPr>
                <w:b/>
                <w:bCs/>
                <w:color w:val="FFFFFF"/>
                <w:sz w:val="20"/>
                <w:szCs w:val="20"/>
              </w:rPr>
              <w:t xml:space="preserve">Service</w:t>
            </w:r>
          </w:p>
        </w:tc>
        <w:tc>
          <w:tcPr>
            <w:tcW w:type="dxa" w:w="8400"/>
            <w:shd w:fill="1F2937" w:val="clear"/>
            <w:tcMar>
              <w:top w:type="dxa" w:w="100"/>
              <w:left w:type="dxa" w:w="120"/>
              <w:bottom w:type="dxa" w:w="100"/>
              <w:right w:type="dxa" w:w="120"/>
            </w:tcMar>
          </w:tcPr>
          <w:p>
            <w:r>
              <w:rPr>
                <w:b w:val="false"/>
                <w:bCs w:val="false"/>
                <w:color w:val="FFFFFF"/>
                <w:sz w:val="20"/>
                <w:szCs w:val="20"/>
              </w:rPr>
              <w:t xml:space="preserve">Owns</w:t>
            </w:r>
          </w:p>
        </w:tc>
      </w:tr>
      <w:tr>
        <w:trPr>
          <w:tblHeader w:val="false"/>
        </w:trPr>
        <w:tc>
          <w:tcPr>
            <w:tcW w:type="dxa" w:w="2200"/>
            <w:tcMar>
              <w:top w:type="dxa" w:w="100"/>
              <w:left w:type="dxa" w:w="120"/>
              <w:bottom w:type="dxa" w:w="100"/>
              <w:right w:type="dxa" w:w="120"/>
            </w:tcMar>
          </w:tcPr>
          <w:p>
            <w:r>
              <w:rPr>
                <w:b w:val="false"/>
                <w:bCs w:val="false"/>
                <w:sz w:val="20"/>
                <w:szCs w:val="20"/>
              </w:rPr>
              <w:t xml:space="preserve">auth-service</w:t>
            </w:r>
          </w:p>
        </w:tc>
        <w:tc>
          <w:tcPr>
            <w:tcW w:type="dxa" w:w="8400"/>
            <w:tcMar>
              <w:top w:type="dxa" w:w="100"/>
              <w:left w:type="dxa" w:w="120"/>
              <w:bottom w:type="dxa" w:w="100"/>
              <w:right w:type="dxa" w:w="120"/>
            </w:tcMar>
          </w:tcPr>
          <w:p>
            <w:r>
              <w:rPr>
                <w:b w:val="false"/>
                <w:bCs w:val="false"/>
                <w:sz w:val="20"/>
                <w:szCs w:val="20"/>
              </w:rPr>
              <w:t xml:space="preserve">Registration, login, JWT issuance, user profile, trust score, admin role. Every other service asks this one "who is this user / what's their role" over internal REST.</w:t>
            </w:r>
          </w:p>
        </w:tc>
      </w:tr>
      <w:tr>
        <w:trPr>
          <w:tblHeader w:val="false"/>
        </w:trPr>
        <w:tc>
          <w:tcPr>
            <w:tcW w:type="dxa" w:w="2200"/>
            <w:shd w:fill="F3F4F6" w:val="clear"/>
            <w:tcMar>
              <w:top w:type="dxa" w:w="100"/>
              <w:left w:type="dxa" w:w="120"/>
              <w:bottom w:type="dxa" w:w="100"/>
              <w:right w:type="dxa" w:w="120"/>
            </w:tcMar>
          </w:tcPr>
          <w:p>
            <w:r>
              <w:rPr>
                <w:b w:val="false"/>
                <w:bCs w:val="false"/>
                <w:sz w:val="20"/>
                <w:szCs w:val="20"/>
              </w:rPr>
              <w:t xml:space="preserve">loan-service</w:t>
            </w:r>
          </w:p>
        </w:tc>
        <w:tc>
          <w:tcPr>
            <w:tcW w:type="dxa" w:w="8400"/>
            <w:shd w:fill="F3F4F6" w:val="clear"/>
            <w:tcMar>
              <w:top w:type="dxa" w:w="100"/>
              <w:left w:type="dxa" w:w="120"/>
              <w:bottom w:type="dxa" w:w="100"/>
              <w:right w:type="dxa" w:w="120"/>
            </w:tcMar>
          </w:tcPr>
          <w:p>
            <w:r>
              <w:rPr>
                <w:b w:val="false"/>
                <w:bCs w:val="false"/>
                <w:sz w:val="20"/>
                <w:szCs w:val="20"/>
              </w:rPr>
              <w:t xml:space="preserve">The core lending domain: loan requests, agreements, signing, disbursement, repayment, default handling, circles (trust groups), group funding, installments.</w:t>
            </w:r>
          </w:p>
        </w:tc>
      </w:tr>
      <w:tr>
        <w:trPr>
          <w:tblHeader w:val="false"/>
        </w:trPr>
        <w:tc>
          <w:tcPr>
            <w:tcW w:type="dxa" w:w="2200"/>
            <w:tcMar>
              <w:top w:type="dxa" w:w="100"/>
              <w:left w:type="dxa" w:w="120"/>
              <w:bottom w:type="dxa" w:w="100"/>
              <w:right w:type="dxa" w:w="120"/>
            </w:tcMar>
          </w:tcPr>
          <w:p>
            <w:r>
              <w:rPr>
                <w:b w:val="false"/>
                <w:bCs w:val="false"/>
                <w:sz w:val="20"/>
                <w:szCs w:val="20"/>
              </w:rPr>
              <w:t xml:space="preserve">payment-service</w:t>
            </w:r>
          </w:p>
        </w:tc>
        <w:tc>
          <w:tcPr>
            <w:tcW w:type="dxa" w:w="8400"/>
            <w:tcMar>
              <w:top w:type="dxa" w:w="100"/>
              <w:left w:type="dxa" w:w="120"/>
              <w:bottom w:type="dxa" w:w="100"/>
              <w:right w:type="dxa" w:w="120"/>
            </w:tcMar>
          </w:tcPr>
          <w:p>
            <w:r>
              <w:rPr>
                <w:b w:val="false"/>
                <w:bCs w:val="false"/>
                <w:sz w:val="20"/>
                <w:szCs w:val="20"/>
              </w:rPr>
              <w:t xml:space="preserve">Paystack integration — initiates disbursement/repayment payment links, verifies transactions, handles Paystack's webhook callback.</w:t>
            </w:r>
          </w:p>
        </w:tc>
      </w:tr>
      <w:tr>
        <w:trPr>
          <w:tblHeader w:val="false"/>
        </w:trPr>
        <w:tc>
          <w:tcPr>
            <w:tcW w:type="dxa" w:w="2200"/>
            <w:shd w:fill="F3F4F6" w:val="clear"/>
            <w:tcMar>
              <w:top w:type="dxa" w:w="100"/>
              <w:left w:type="dxa" w:w="120"/>
              <w:bottom w:type="dxa" w:w="100"/>
              <w:right w:type="dxa" w:w="120"/>
            </w:tcMar>
          </w:tcPr>
          <w:p>
            <w:r>
              <w:rPr>
                <w:b w:val="false"/>
                <w:bCs w:val="false"/>
                <w:sz w:val="20"/>
                <w:szCs w:val="20"/>
              </w:rPr>
              <w:t xml:space="preserve">dispute-service</w:t>
            </w:r>
          </w:p>
        </w:tc>
        <w:tc>
          <w:tcPr>
            <w:tcW w:type="dxa" w:w="8400"/>
            <w:shd w:fill="F3F4F6" w:val="clear"/>
            <w:tcMar>
              <w:top w:type="dxa" w:w="100"/>
              <w:left w:type="dxa" w:w="120"/>
              <w:bottom w:type="dxa" w:w="100"/>
              <w:right w:type="dxa" w:w="120"/>
            </w:tcMar>
          </w:tcPr>
          <w:p>
            <w:r>
              <w:rPr>
                <w:b w:val="false"/>
                <w:bCs w:val="false"/>
                <w:sz w:val="20"/>
                <w:szCs w:val="20"/>
              </w:rPr>
              <w:t xml:space="preserve">Dispute lifecycle: opening, circle-owner resolution, platform-admin escalation/resolution.</w:t>
            </w:r>
          </w:p>
        </w:tc>
      </w:tr>
      <w:tr>
        <w:trPr>
          <w:tblHeader w:val="false"/>
        </w:trPr>
        <w:tc>
          <w:tcPr>
            <w:tcW w:type="dxa" w:w="2200"/>
            <w:tcMar>
              <w:top w:type="dxa" w:w="100"/>
              <w:left w:type="dxa" w:w="120"/>
              <w:bottom w:type="dxa" w:w="100"/>
              <w:right w:type="dxa" w:w="120"/>
            </w:tcMar>
          </w:tcPr>
          <w:p>
            <w:r>
              <w:rPr>
                <w:b w:val="false"/>
                <w:bCs w:val="false"/>
                <w:sz w:val="20"/>
                <w:szCs w:val="20"/>
              </w:rPr>
              <w:t xml:space="preserve">expense-service</w:t>
            </w:r>
          </w:p>
        </w:tc>
        <w:tc>
          <w:tcPr>
            <w:tcW w:type="dxa" w:w="8400"/>
            <w:tcMar>
              <w:top w:type="dxa" w:w="100"/>
              <w:left w:type="dxa" w:w="120"/>
              <w:bottom w:type="dxa" w:w="100"/>
              <w:right w:type="dxa" w:w="120"/>
            </w:tcMar>
          </w:tcPr>
          <w:p>
            <w:r>
              <w:rPr>
                <w:b w:val="false"/>
                <w:bCs w:val="false"/>
                <w:sz w:val="20"/>
                <w:szCs w:val="20"/>
              </w:rPr>
              <w:t xml:space="preserve">Personal expense tracking, shared/split expenses within circles, spending limits, debt simplification (who owes whom within a circle).</w:t>
            </w:r>
          </w:p>
        </w:tc>
      </w:tr>
      <w:tr>
        <w:trPr>
          <w:tblHeader w:val="false"/>
        </w:trPr>
        <w:tc>
          <w:tcPr>
            <w:tcW w:type="dxa" w:w="2200"/>
            <w:shd w:fill="F3F4F6" w:val="clear"/>
            <w:tcMar>
              <w:top w:type="dxa" w:w="100"/>
              <w:left w:type="dxa" w:w="120"/>
              <w:bottom w:type="dxa" w:w="100"/>
              <w:right w:type="dxa" w:w="120"/>
            </w:tcMar>
          </w:tcPr>
          <w:p>
            <w:r>
              <w:rPr>
                <w:b w:val="false"/>
                <w:bCs w:val="false"/>
                <w:sz w:val="20"/>
                <w:szCs w:val="20"/>
              </w:rPr>
              <w:t xml:space="preserve">notification-service</w:t>
            </w:r>
          </w:p>
        </w:tc>
        <w:tc>
          <w:tcPr>
            <w:tcW w:type="dxa" w:w="8400"/>
            <w:shd w:fill="F3F4F6" w:val="clear"/>
            <w:tcMar>
              <w:top w:type="dxa" w:w="100"/>
              <w:left w:type="dxa" w:w="120"/>
              <w:bottom w:type="dxa" w:w="100"/>
              <w:right w:type="dxa" w:w="120"/>
            </w:tcMar>
          </w:tcPr>
          <w:p>
            <w:r>
              <w:rPr>
                <w:b w:val="false"/>
                <w:bCs w:val="false"/>
                <w:sz w:val="20"/>
                <w:szCs w:val="20"/>
              </w:rPr>
              <w:t xml:space="preserve">In-app and push notification delivery (via Expo's push API) — every other service calls into this one to notify a user of something.</w:t>
            </w:r>
          </w:p>
        </w:tc>
      </w:tr>
      <w:tr>
        <w:trPr>
          <w:tblHeader w:val="false"/>
        </w:trPr>
        <w:tc>
          <w:tcPr>
            <w:tcW w:type="dxa" w:w="2200"/>
            <w:tcMar>
              <w:top w:type="dxa" w:w="100"/>
              <w:left w:type="dxa" w:w="120"/>
              <w:bottom w:type="dxa" w:w="100"/>
              <w:right w:type="dxa" w:w="120"/>
            </w:tcMar>
          </w:tcPr>
          <w:p>
            <w:r>
              <w:rPr>
                <w:b w:val="false"/>
                <w:bCs w:val="false"/>
                <w:sz w:val="20"/>
                <w:szCs w:val="20"/>
              </w:rPr>
              <w:t xml:space="preserve">api-gateway</w:t>
            </w:r>
          </w:p>
        </w:tc>
        <w:tc>
          <w:tcPr>
            <w:tcW w:type="dxa" w:w="8400"/>
            <w:tcMar>
              <w:top w:type="dxa" w:w="100"/>
              <w:left w:type="dxa" w:w="120"/>
              <w:bottom w:type="dxa" w:w="100"/>
              <w:right w:type="dxa" w:w="120"/>
            </w:tcMar>
          </w:tcPr>
          <w:p>
            <w:r>
              <w:rPr>
                <w:b w:val="false"/>
                <w:bCs w:val="false"/>
                <w:sz w:val="20"/>
                <w:szCs w:val="20"/>
              </w:rPr>
              <w:t xml:space="preserve">A Spring Cloud Gateway exists in the repo but is not deployed to production — the frontend currently calls each of the 6 services directly on its own Railway/Render host.</w:t>
            </w:r>
          </w:p>
        </w:tc>
      </w:tr>
    </w:tbl>
    <w:p>
      <w:pPr>
        <w:pStyle w:val="Heading2"/>
        <w:spacing w:after="150" w:before="300"/>
      </w:pPr>
      <w:r>
        <w:t xml:space="preserve">Authentication</w:t>
      </w:r>
    </w:p>
    <w:p>
      <w:pPr>
        <w:spacing w:after="160"/>
      </w:pPr>
      <w:r>
        <w:t xml:space="preserve">Auth is stateless JWT, not server-side sessions. A user logs into auth-service and receives a signed JWT; the frontend stores it (expo-secure-store) and attaches it as a Bearer token on every request. Each of the 6 services independently validates that JWT's signature and expiry on every request — no service asks another "is this user logged in," the token itself proves it. This is why the JWT filter bug (see §3) mattered across all 6 services at once: it's the same auth mechanism, copied into each service.</w:t>
      </w:r>
    </w:p>
    <w:p>
      <w:pPr>
        <w:pStyle w:val="Heading2"/>
        <w:spacing w:after="150" w:before="300"/>
      </w:pPr>
      <w:r>
        <w:t xml:space="preserve">Inter-service communication</w:t>
      </w:r>
    </w:p>
    <w:p>
      <w:pPr>
        <w:spacing w:after="160"/>
      </w:pPr>
      <w:r>
        <w:t xml:space="preserve">Services call each other synchronously over plain internal REST endpoints (e.g. loan-service asks auth-service for a user's trust score; payment-service tells loan-service a payment succeeded), through small dedicated *ServiceClient classes rather than a shared library. There's no message queue or event bus — every cross-service action is a direct HTTP call that either succeeds inline or the calling request fails.</w:t>
      </w:r>
    </w:p>
    <w:p>
      <w:pPr>
        <w:pStyle w:val="Heading2"/>
        <w:spacing w:after="150" w:before="300"/>
      </w:pPr>
      <w:r>
        <w:t xml:space="preserve">Deployment</w:t>
      </w:r>
    </w:p>
    <w:p>
      <w:pPr>
        <w:spacing w:after="160"/>
      </w:pPr>
      <w:r>
        <w:t xml:space="preserve">Each service is deployed independently on Railway or Render, each pointed at its own Neon-hosted Postgres database. The frontend is built via EAS Build into a real installable Android APK (needed specifically because Expo Go dropped Android push notification support, so testing push requires a real build on a physical device — not the Expo Go app, not an emulator).</w:t>
      </w:r>
    </w:p>
    <w:p>
      <w:pPr>
        <w:pStyle w:val="Heading1"/>
        <w:spacing w:after="200" w:before="400"/>
      </w:pPr>
      <w:r>
        <w:t xml:space="preserve">3. Bug Audit Results</w:t>
      </w:r>
    </w:p>
    <w:p>
      <w:pPr>
        <w:spacing w:after="160"/>
      </w:pPr>
      <w:r>
        <w:t xml:space="preserve">Run the night before the review: a full pass over every backend service and the entire frontend, looking specifically for things that could cause a real crash, a real security hole, or real financial/data corruption — not style or lint issues. Two independent audits (backend and frontend) plus targeted fixes and verification.</w:t>
      </w:r>
    </w:p>
    <w:p>
      <w:pPr>
        <w:pStyle w:val="Heading2"/>
        <w:spacing w:after="150" w:before="300"/>
      </w:pPr>
      <w:r>
        <w:t xml:space="preserve">Fixed tonight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gridCol w:w="1500"/>
      </w:tblGrid>
      <w:tr>
        <w:trPr>
          <w:tblHeader/>
        </w:trPr>
        <w:tc>
          <w:tcPr>
            <w:tcW w:type="dxa" w:w="2200"/>
            <w:shd w:fill="1F2937" w:val="clear"/>
            <w:tcMar>
              <w:top w:type="dxa" w:w="100"/>
              <w:left w:type="dxa" w:w="120"/>
              <w:bottom w:type="dxa" w:w="100"/>
              <w:right w:type="dxa" w:w="120"/>
            </w:tcMar>
          </w:tcPr>
          <w:p>
            <w:r>
              <w:rPr>
                <w:b/>
                <w:bCs/>
                <w:color w:val="FFFFFF"/>
                <w:sz w:val="20"/>
                <w:szCs w:val="20"/>
              </w:rPr>
              <w:t xml:space="preserve">Issue</w:t>
            </w:r>
          </w:p>
        </w:tc>
        <w:tc>
          <w:tcPr>
            <w:tcW w:type="dxa" w:w="6900"/>
            <w:shd w:fill="1F2937" w:val="clear"/>
            <w:tcMar>
              <w:top w:type="dxa" w:w="100"/>
              <w:left w:type="dxa" w:w="120"/>
              <w:bottom w:type="dxa" w:w="100"/>
              <w:right w:type="dxa" w:w="120"/>
            </w:tcMar>
          </w:tcPr>
          <w:p>
            <w:r>
              <w:rPr>
                <w:b/>
                <w:bCs/>
                <w:color w:val="FFFFFF"/>
                <w:sz w:val="20"/>
                <w:szCs w:val="20"/>
              </w:rPr>
              <w:t xml:space="preserve">What was wrong / what changed</w:t>
            </w:r>
          </w:p>
        </w:tc>
        <w:tc>
          <w:tcPr>
            <w:tcW w:type="dxa" w:w="1500"/>
            <w:shd w:fill="1F2937" w:val="clear"/>
            <w:tcMar>
              <w:top w:type="dxa" w:w="100"/>
              <w:left w:type="dxa" w:w="120"/>
              <w:bottom w:type="dxa" w:w="100"/>
              <w:right w:type="dxa" w:w="120"/>
            </w:tcMar>
          </w:tcPr>
          <w:p>
            <w:r>
              <w:rPr>
                <w:b/>
                <w:bCs/>
                <w:color w:val="FFFFFF"/>
                <w:sz w:val="20"/>
                <w:szCs w:val="20"/>
              </w:rPr>
              <w:t xml:space="preserve">Status</w:t>
            </w:r>
          </w:p>
        </w:tc>
      </w:tr>
      <w:tr>
        <w:tc>
          <w:tcPr>
            <w:tcW w:type="dxa" w:w="2200"/>
            <w:shd w:fill="F3F4F6" w:val="clear"/>
            <w:tcMar>
              <w:top w:type="dxa" w:w="100"/>
              <w:left w:type="dxa" w:w="120"/>
              <w:bottom w:type="dxa" w:w="100"/>
              <w:right w:type="dxa" w:w="120"/>
            </w:tcMar>
          </w:tcPr>
          <w:p>
            <w:r>
              <w:rPr>
                <w:b w:val="false"/>
                <w:bCs w:val="false"/>
                <w:sz w:val="20"/>
                <w:szCs w:val="20"/>
              </w:rPr>
              <w:t xml:space="preserve">Expired/malformed JWT crashed every authenticated request</w:t>
            </w:r>
          </w:p>
        </w:tc>
        <w:tc>
          <w:tcPr>
            <w:tcW w:type="dxa" w:w="6900"/>
            <w:shd w:fill="F3F4F6" w:val="clear"/>
            <w:tcMar>
              <w:top w:type="dxa" w:w="100"/>
              <w:left w:type="dxa" w:w="120"/>
              <w:bottom w:type="dxa" w:w="100"/>
              <w:right w:type="dxa" w:w="120"/>
            </w:tcMar>
          </w:tcPr>
          <w:p>
            <w:r>
              <w:rPr>
                <w:b w:val="false"/>
                <w:bCs w:val="false"/>
                <w:sz w:val="20"/>
                <w:szCs w:val="20"/>
              </w:rPr>
              <w:t xml:space="preserve">All 6 services' JwtAuthenticationFilter called extractPhone() before validateToken(), so any stale, tampered, or expired token threw an uncaught exception inside the security filter — producing a raw HTTP 500 instead of a clean 401. Any user with a cached old token (e.g. after reinstalling the app, or a secret rotation) would hit this on literally every request. Fixed by wrapping the filter body in a try/catch across all 6 services.</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Dispute resolution permanently bricked the loan</w:t>
            </w:r>
          </w:p>
        </w:tc>
        <w:tc>
          <w:tcPr>
            <w:tcW w:type="dxa" w:w="6900"/>
            <w:tcMar>
              <w:top w:type="dxa" w:w="100"/>
              <w:left w:type="dxa" w:w="120"/>
              <w:bottom w:type="dxa" w:w="100"/>
              <w:right w:type="dxa" w:w="120"/>
            </w:tcMar>
          </w:tcPr>
          <w:p>
            <w:r>
              <w:rPr>
                <w:b w:val="false"/>
                <w:bCs w:val="false"/>
                <w:sz w:val="20"/>
                <w:szCs w:val="20"/>
              </w:rPr>
              <w:t xml:space="preserve">Opening a dispute correctly moved a loan to DISPUTED, but resolving the dispute never moved it back — there was no code path out of DISPUTED at all. Any loan a dispute was ever opened on could never be repaid or progressed again, for the life of the app. Fixed by snapshotting the loan's pre-dispute status and restoring it in a new resolve-dispute endpoint, called automatically when a dispute is resolved.</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Group-funded loan repayments never reached the lenders</w:t>
            </w:r>
          </w:p>
        </w:tc>
        <w:tc>
          <w:tcPr>
            <w:tcW w:type="dxa" w:w="6900"/>
            <w:shd w:fill="F3F4F6" w:val="clear"/>
            <w:tcMar>
              <w:top w:type="dxa" w:w="100"/>
              <w:left w:type="dxa" w:w="120"/>
              <w:bottom w:type="dxa" w:w="100"/>
              <w:right w:type="dxa" w:w="120"/>
            </w:tcMar>
          </w:tcPr>
          <w:p>
            <w:r>
              <w:rPr>
                <w:b w:val="false"/>
                <w:bCs w:val="false"/>
                <w:sz w:val="20"/>
                <w:szCs w:val="20"/>
              </w:rPr>
              <w:t xml:space="preserve">distributeGroupRepayment() — the method that splits a repayment proportionally across each contributing lender — existed but was never called from anywhere. Group loans have no single lenderId, so the normal repayment path silently skipped payout entirely: no contribution ledger update, no notification, no income record, for any group-funded loan. Fixed by wiring the distribution call into both repayment paths (manual and Paystack-verified).</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Loan installments viewable by any logged-in user</w:t>
            </w:r>
          </w:p>
        </w:tc>
        <w:tc>
          <w:tcPr>
            <w:tcW w:type="dxa" w:w="6900"/>
            <w:tcMar>
              <w:top w:type="dxa" w:w="100"/>
              <w:left w:type="dxa" w:w="120"/>
              <w:bottom w:type="dxa" w:w="100"/>
              <w:right w:type="dxa" w:w="120"/>
            </w:tcMar>
          </w:tcPr>
          <w:p>
            <w:r>
              <w:rPr>
                <w:b w:val="false"/>
                <w:bCs w:val="false"/>
                <w:sz w:val="20"/>
                <w:szCs w:val="20"/>
              </w:rPr>
              <w:t xml:space="preserve">getInstallments() checked that the caller was a valid user, but never checked they were actually the loan's borrower or lender — anyone who could guess a loan ID could see its full repayment schedule and amounts. Fixed by adding the same ownership check already used elsewhere in the same file.</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Group loan contributions viewable by any logged-in user</w:t>
            </w:r>
          </w:p>
        </w:tc>
        <w:tc>
          <w:tcPr>
            <w:tcW w:type="dxa" w:w="6900"/>
            <w:shd w:fill="F3F4F6" w:val="clear"/>
            <w:tcMar>
              <w:top w:type="dxa" w:w="100"/>
              <w:left w:type="dxa" w:w="120"/>
              <w:bottom w:type="dxa" w:w="100"/>
              <w:right w:type="dxa" w:w="120"/>
            </w:tcMar>
          </w:tcPr>
          <w:p>
            <w:r>
              <w:rPr>
                <w:b w:val="false"/>
                <w:bCs w:val="false"/>
                <w:sz w:val="20"/>
                <w:szCs w:val="20"/>
              </w:rPr>
              <w:t xml:space="preserve">Same gap as above, in getLoanContributions() — any authenticated user could see every contributing lender's name and amount for any loan ID. Fixed with a borrower/contributor check.</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Circle debt data viewable by non-members</w:t>
            </w:r>
          </w:p>
        </w:tc>
        <w:tc>
          <w:tcPr>
            <w:tcW w:type="dxa" w:w="6900"/>
            <w:tcMar>
              <w:top w:type="dxa" w:w="100"/>
              <w:left w:type="dxa" w:w="120"/>
              <w:bottom w:type="dxa" w:w="100"/>
              <w:right w:type="dxa" w:w="120"/>
            </w:tcMar>
          </w:tcPr>
          <w:p>
            <w:r>
              <w:rPr>
                <w:b w:val="false"/>
                <w:bCs w:val="false"/>
                <w:sz w:val="20"/>
                <w:szCs w:val="20"/>
              </w:rPr>
              <w:t xml:space="preserve">DebtSimplificationService never validated circle membership (every other method in expense-service does), so any authenticated user could view any circle's full debt graph by circle ID. Fixed by adding the same validateMembership() check used elsewhere.</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Viewing another user's profile leaked their MoMo account details</w:t>
            </w:r>
          </w:p>
        </w:tc>
        <w:tc>
          <w:tcPr>
            <w:tcW w:type="dxa" w:w="6900"/>
            <w:shd w:fill="F3F4F6" w:val="clear"/>
            <w:tcMar>
              <w:top w:type="dxa" w:w="100"/>
              <w:left w:type="dxa" w:w="120"/>
              <w:bottom w:type="dxa" w:w="100"/>
              <w:right w:type="dxa" w:w="120"/>
            </w:tcMar>
          </w:tcPr>
          <w:p>
            <w:r>
              <w:rPr>
                <w:b w:val="false"/>
                <w:bCs w:val="false"/>
                <w:sz w:val="20"/>
                <w:szCs w:val="20"/>
              </w:rPr>
              <w:t xml:space="preserve">The "view another user's profile" endpoint reused the exact same response builder as "view my own profile," which includes MoMo provider and MoMo number — financial account details with no business being visible to anyone but the account owner. Fixed with a separate public-view response that omits them.</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Currency rounding truncation in Paystack conversion</w:t>
            </w:r>
          </w:p>
        </w:tc>
        <w:tc>
          <w:tcPr>
            <w:tcW w:type="dxa" w:w="6900"/>
            <w:tcMar>
              <w:top w:type="dxa" w:w="100"/>
              <w:left w:type="dxa" w:w="120"/>
              <w:bottom w:type="dxa" w:w="100"/>
              <w:right w:type="dxa" w:w="120"/>
            </w:tcMar>
          </w:tcPr>
          <w:p>
            <w:r>
              <w:rPr>
                <w:b w:val="false"/>
                <w:bCs w:val="false"/>
                <w:sz w:val="20"/>
                <w:szCs w:val="20"/>
              </w:rPr>
              <w:t xml:space="preserve">Converting cedis to pesewas used a plain truncating cast ((int)(amount * 100)) instead of rounding — floating point representation error could under-charge by a pesewa on affected amounts. Fixed with Math.round().</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Frontend allowed submitting invalid-length phone/MoMo numbers</w:t>
            </w:r>
          </w:p>
        </w:tc>
        <w:tc>
          <w:tcPr>
            <w:tcW w:type="dxa" w:w="6900"/>
            <w:shd w:fill="F3F4F6" w:val="clear"/>
            <w:tcMar>
              <w:top w:type="dxa" w:w="100"/>
              <w:left w:type="dxa" w:w="120"/>
              <w:bottom w:type="dxa" w:w="100"/>
              <w:right w:type="dxa" w:w="120"/>
            </w:tcMar>
          </w:tcPr>
          <w:p>
            <w:r>
              <w:rPr>
                <w:b w:val="false"/>
                <w:bCs w:val="false"/>
                <w:sz w:val="20"/>
                <w:szCs w:val="20"/>
              </w:rPr>
              <w:t xml:space="preserve">The backend enforces exactly 10 digits, but the frontend only capped input length without checking it was exactly 10 — a partially typed number would submit and come back as a raw, unhandled backend error. Fixed with matching validation on both registration and profile editing.</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Overdue-loan scheduler bypassed the row lock other loan mutations use</w:t>
            </w:r>
          </w:p>
        </w:tc>
        <w:tc>
          <w:tcPr>
            <w:tcW w:type="dxa" w:w="6900"/>
            <w:tcMar>
              <w:top w:type="dxa" w:w="100"/>
              <w:left w:type="dxa" w:w="120"/>
              <w:bottom w:type="dxa" w:w="100"/>
              <w:right w:type="dxa" w:w="120"/>
            </w:tcMar>
          </w:tcPr>
          <w:p>
            <w:r>
              <w:rPr>
                <w:b w:val="false"/>
                <w:bCs w:val="false"/>
                <w:sz w:val="20"/>
                <w:szCs w:val="20"/>
              </w:rPr>
              <w:t xml:space="preserve">The hourly job that checks for overdue loans read loans without the pessimistic lock used everywhere else, so a user action (repay/cancel/default) landing mid-job could theoretically be silently overwritten. Fixed by splitting the job into per-loan, separately-locked transactions instead of one long-lived batch transaction.</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Promised default-escalation penalties were never enforced</w:t>
            </w:r>
          </w:p>
        </w:tc>
        <w:tc>
          <w:tcPr>
            <w:tcW w:type="dxa" w:w="6900"/>
            <w:shd w:fill="F3F4F6" w:val="clear"/>
            <w:tcMar>
              <w:top w:type="dxa" w:w="100"/>
              <w:left w:type="dxa" w:w="120"/>
              <w:bottom w:type="dxa" w:w="100"/>
              <w:right w:type="dxa" w:w="120"/>
            </w:tcMar>
          </w:tcPr>
          <w:p>
            <w:r>
              <w:rPr>
                <w:b w:val="false"/>
                <w:bCs w:val="false"/>
                <w:sz w:val="20"/>
                <w:szCs w:val="20"/>
              </w:rPr>
              <w:t xml:space="preserve">The loan agreement text tells borrowers "second default: 30-day suspension, third default: permanent ban," but nothing in code ever set those flags. Fixed end to end — a 2nd default now triggers a real 30-day borrowing suspension (which auto-lifts on schedule), a 3rd triggers a permanent ban.</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Group funding had no way to actually be used</w:t>
            </w:r>
          </w:p>
        </w:tc>
        <w:tc>
          <w:tcPr>
            <w:tcW w:type="dxa" w:w="6900"/>
            <w:tcMar>
              <w:top w:type="dxa" w:w="100"/>
              <w:left w:type="dxa" w:w="120"/>
              <w:bottom w:type="dxa" w:w="100"/>
              <w:right w:type="dxa" w:w="120"/>
            </w:tcMar>
          </w:tcPr>
          <w:p>
            <w:r>
              <w:rPr>
                <w:b w:val="false"/>
                <w:bCs w:val="false"/>
                <w:sz w:val="20"/>
                <w:szCs w:val="20"/>
              </w:rPr>
              <w:t xml:space="preserve">The backend fully supported multiple lenders contributing to one loan, but the frontend only ever called the single-lender "fund the whole thing" endpoint — there was no UI to contribute a partial amount. Built the missing UI: a contribution modal, a live funding-progress card visible to the circle, and a lender override to fund a flagged loan solo if they choose to accept the full risk.</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Group funding threshold was a flat number regardless of borrower risk</w:t>
            </w:r>
          </w:p>
        </w:tc>
        <w:tc>
          <w:tcPr>
            <w:tcW w:type="dxa" w:w="6900"/>
            <w:shd w:fill="F3F4F6" w:val="clear"/>
            <w:tcMar>
              <w:top w:type="dxa" w:w="100"/>
              <w:left w:type="dxa" w:w="120"/>
              <w:bottom w:type="dxa" w:w="100"/>
              <w:right w:type="dxa" w:w="120"/>
            </w:tcMar>
          </w:tcPr>
          <w:p>
            <w:r>
              <w:rPr>
                <w:b w:val="false"/>
                <w:bCs w:val="false"/>
                <w:sz w:val="20"/>
                <w:szCs w:val="20"/>
              </w:rPr>
              <w:t xml:space="preserve">Any loan above a flat per-circle amount (GHS 3,000 default) required group funding, regardless of the borrower's trust score. Fixed so the threshold scales by the same trust tiers that cap interest rate — high-trust borrowers can go further above it before pooling is required, low-trust borrowers hit it sooner.</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r>
        <w:tc>
          <w:tcPr>
            <w:tcW w:type="dxa" w:w="2200"/>
            <w:tcMar>
              <w:top w:type="dxa" w:w="100"/>
              <w:left w:type="dxa" w:w="120"/>
              <w:bottom w:type="dxa" w:w="100"/>
              <w:right w:type="dxa" w:w="120"/>
            </w:tcMar>
          </w:tcPr>
          <w:p>
            <w:r>
              <w:rPr>
                <w:b w:val="false"/>
                <w:bCs w:val="false"/>
                <w:sz w:val="20"/>
                <w:szCs w:val="20"/>
              </w:rPr>
              <w:t xml:space="preserve">Group-funded loans could never be marked defaulted</w:t>
            </w:r>
          </w:p>
        </w:tc>
        <w:tc>
          <w:tcPr>
            <w:tcW w:type="dxa" w:w="6900"/>
            <w:tcMar>
              <w:top w:type="dxa" w:w="100"/>
              <w:left w:type="dxa" w:w="120"/>
              <w:bottom w:type="dxa" w:w="100"/>
              <w:right w:type="dxa" w:w="120"/>
            </w:tcMar>
          </w:tcPr>
          <w:p>
            <w:r>
              <w:rPr>
                <w:b w:val="false"/>
                <w:bCs w:val="false"/>
                <w:sz w:val="20"/>
                <w:szCs w:val="20"/>
              </w:rPr>
              <w:t xml:space="preserve">The authorization check for marking a loan defaulted only recognized a single lenderId, which doesn't exist on a group-funded loan — so no one could ever trigger it, and the loan would sit accruing interest indefinitely. Fixed so any contributing lender can mark it defaulted once the grace period expires, same rule as the single-lender case.</w:t>
            </w:r>
          </w:p>
        </w:tc>
        <w:tc>
          <w:tcPr>
            <w:tcW w:type="dxa" w:w="1500"/>
            <w:tcMar>
              <w:top w:type="dxa" w:w="100"/>
              <w:left w:type="dxa" w:w="120"/>
              <w:bottom w:type="dxa" w:w="100"/>
              <w:right w:type="dxa" w:w="120"/>
            </w:tcMar>
          </w:tcPr>
          <w:p>
            <w:r>
              <w:rPr>
                <w:b/>
                <w:bCs/>
                <w:color w:val="15803D"/>
                <w:sz w:val="20"/>
                <w:szCs w:val="20"/>
              </w:rPr>
              <w:t xml:space="preserve">Fixed</w:t>
            </w:r>
          </w:p>
        </w:tc>
      </w:tr>
      <w:tr>
        <w:tc>
          <w:tcPr>
            <w:tcW w:type="dxa" w:w="2200"/>
            <w:shd w:fill="F3F4F6" w:val="clear"/>
            <w:tcMar>
              <w:top w:type="dxa" w:w="100"/>
              <w:left w:type="dxa" w:w="120"/>
              <w:bottom w:type="dxa" w:w="100"/>
              <w:right w:type="dxa" w:w="120"/>
            </w:tcMar>
          </w:tcPr>
          <w:p>
            <w:r>
              <w:rPr>
                <w:b w:val="false"/>
                <w:bCs w:val="false"/>
                <w:sz w:val="20"/>
                <w:szCs w:val="20"/>
              </w:rPr>
              <w:t xml:space="preserve">Onboarding screens reappeared on every login, not just after signup</w:t>
            </w:r>
          </w:p>
        </w:tc>
        <w:tc>
          <w:tcPr>
            <w:tcW w:type="dxa" w:w="6900"/>
            <w:shd w:fill="F3F4F6" w:val="clear"/>
            <w:tcMar>
              <w:top w:type="dxa" w:w="100"/>
              <w:left w:type="dxa" w:w="120"/>
              <w:bottom w:type="dxa" w:w="100"/>
              <w:right w:type="dxa" w:w="120"/>
            </w:tcMar>
          </w:tcPr>
          <w:p>
            <w:r>
              <w:rPr>
                <w:b w:val="false"/>
                <w:bCs w:val="false"/>
                <w:sz w:val="20"/>
                <w:szCs w:val="20"/>
              </w:rPr>
              <w:t xml:space="preserve">The screen shown was chosen dynamically each render, but React Navigation only honors that on a navigator's first mount — so it silently fell back to always showing Onboarding first once the app had been used once. Fixed by making onboarding an explicit, one-time navigation action gated on a "just registered" flag, instead of something the router could land on by default.</w:t>
            </w:r>
          </w:p>
        </w:tc>
        <w:tc>
          <w:tcPr>
            <w:tcW w:type="dxa" w:w="1500"/>
            <w:shd w:fill="F3F4F6" w:val="clear"/>
            <w:tcMar>
              <w:top w:type="dxa" w:w="100"/>
              <w:left w:type="dxa" w:w="120"/>
              <w:bottom w:type="dxa" w:w="100"/>
              <w:right w:type="dxa" w:w="120"/>
            </w:tcMar>
          </w:tcPr>
          <w:p>
            <w:r>
              <w:rPr>
                <w:b/>
                <w:bCs/>
                <w:color w:val="15803D"/>
                <w:sz w:val="20"/>
                <w:szCs w:val="20"/>
              </w:rPr>
              <w:t xml:space="preserve">Fixed</w:t>
            </w:r>
          </w:p>
        </w:tc>
      </w:tr>
    </w:tbl>
    <w:p>
      <w:pPr>
        <w:pStyle w:val="Heading2"/>
        <w:spacing w:after="150" w:before="300"/>
      </w:pPr>
      <w:r>
        <w:t xml:space="preserve">Known, deferred on purpose</w:t>
      </w:r>
    </w:p>
    <w:p>
      <w:pPr>
        <w:spacing w:after="160"/>
      </w:pPr>
      <w:r>
        <w:t xml:space="preserve">These are real, but fixing them tonight carried more risk (of breaking something live, hours before the review) than leaving them as known, documented gaps. If asked directly in the review: yes, we know about these, here's why they weren't touched tonight.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gridCol w:w="1500"/>
      </w:tblGrid>
      <w:tr>
        <w:trPr>
          <w:tblHeader/>
        </w:trPr>
        <w:tc>
          <w:tcPr>
            <w:tcW w:type="dxa" w:w="2200"/>
            <w:shd w:fill="1F2937" w:val="clear"/>
            <w:tcMar>
              <w:top w:type="dxa" w:w="100"/>
              <w:left w:type="dxa" w:w="120"/>
              <w:bottom w:type="dxa" w:w="100"/>
              <w:right w:type="dxa" w:w="120"/>
            </w:tcMar>
          </w:tcPr>
          <w:p>
            <w:r>
              <w:rPr>
                <w:b/>
                <w:bCs/>
                <w:color w:val="FFFFFF"/>
                <w:sz w:val="20"/>
                <w:szCs w:val="20"/>
              </w:rPr>
              <w:t xml:space="preserve">Issue</w:t>
            </w:r>
          </w:p>
        </w:tc>
        <w:tc>
          <w:tcPr>
            <w:tcW w:type="dxa" w:w="6900"/>
            <w:shd w:fill="1F2937" w:val="clear"/>
            <w:tcMar>
              <w:top w:type="dxa" w:w="100"/>
              <w:left w:type="dxa" w:w="120"/>
              <w:bottom w:type="dxa" w:w="100"/>
              <w:right w:type="dxa" w:w="120"/>
            </w:tcMar>
          </w:tcPr>
          <w:p>
            <w:r>
              <w:rPr>
                <w:b/>
                <w:bCs/>
                <w:color w:val="FFFFFF"/>
                <w:sz w:val="20"/>
                <w:szCs w:val="20"/>
              </w:rPr>
              <w:t xml:space="preserve">What's wrong / why deferred</w:t>
            </w:r>
          </w:p>
        </w:tc>
        <w:tc>
          <w:tcPr>
            <w:tcW w:type="dxa" w:w="1500"/>
            <w:shd w:fill="1F2937" w:val="clear"/>
            <w:tcMar>
              <w:top w:type="dxa" w:w="100"/>
              <w:left w:type="dxa" w:w="120"/>
              <w:bottom w:type="dxa" w:w="100"/>
              <w:right w:type="dxa" w:w="120"/>
            </w:tcMar>
          </w:tcPr>
          <w:p>
            <w:r>
              <w:rPr>
                <w:b/>
                <w:bCs/>
                <w:color w:val="FFFFFF"/>
                <w:sz w:val="20"/>
                <w:szCs w:val="20"/>
              </w:rPr>
              <w:t xml:space="preserve">Status</w:t>
            </w:r>
          </w:p>
        </w:tc>
      </w:tr>
      <w:tr>
        <w:tc>
          <w:tcPr>
            <w:tcW w:type="dxa" w:w="2200"/>
            <w:shd w:fill="F3F4F6" w:val="clear"/>
            <w:tcMar>
              <w:top w:type="dxa" w:w="100"/>
              <w:left w:type="dxa" w:w="120"/>
              <w:bottom w:type="dxa" w:w="100"/>
              <w:right w:type="dxa" w:w="120"/>
            </w:tcMar>
          </w:tcPr>
          <w:p>
            <w:r>
              <w:rPr>
                <w:b w:val="false"/>
                <w:bCs w:val="false"/>
                <w:sz w:val="20"/>
                <w:szCs w:val="20"/>
              </w:rPr>
              <w:t xml:space="preserve">Internal service-to-service endpoints are unauthenticated</w:t>
            </w:r>
          </w:p>
        </w:tc>
        <w:tc>
          <w:tcPr>
            <w:tcW w:type="dxa" w:w="6900"/>
            <w:shd w:fill="F3F4F6" w:val="clear"/>
            <w:tcMar>
              <w:top w:type="dxa" w:w="100"/>
              <w:left w:type="dxa" w:w="120"/>
              <w:bottom w:type="dxa" w:w="100"/>
              <w:right w:type="dxa" w:w="120"/>
            </w:tcMar>
          </w:tcPr>
          <w:p>
            <w:r>
              <w:rPr>
                <w:b w:val="false"/>
                <w:bCs w:val="false"/>
                <w:sz w:val="20"/>
                <w:szCs w:val="20"/>
              </w:rPr>
              <w:t xml:space="preserve">Endpoints like "mark a loan repaid," "set any user's trust score," and "inject an expense record" are reachable by anyone on the internet with a plain request — no login required. This is the single biggest real risk in the app. Not fixed: the fix requires a shared-secret header across all 6 services plus matching environment variables set on all 6 live Railway/Render deployments and a coordinated redeploy — too much blast radius to do untested hours before the review. Top priority right after.</w:t>
            </w:r>
          </w:p>
        </w:tc>
        <w:tc>
          <w:tcPr>
            <w:tcW w:type="dxa" w:w="1500"/>
            <w:shd w:fill="F3F4F6" w:val="clear"/>
            <w:tcMar>
              <w:top w:type="dxa" w:w="100"/>
              <w:left w:type="dxa" w:w="120"/>
              <w:bottom w:type="dxa" w:w="100"/>
              <w:right w:type="dxa" w:w="120"/>
            </w:tcMar>
          </w:tcPr>
          <w:p>
            <w:r>
              <w:rPr>
                <w:b/>
                <w:bCs/>
                <w:color w:val="B91C1C"/>
                <w:sz w:val="20"/>
                <w:szCs w:val="20"/>
              </w:rPr>
              <w:t xml:space="preserve">Open</w:t>
            </w:r>
          </w:p>
        </w:tc>
      </w:tr>
      <w:tr>
        <w:tc>
          <w:tcPr>
            <w:tcW w:type="dxa" w:w="2200"/>
            <w:tcMar>
              <w:top w:type="dxa" w:w="100"/>
              <w:left w:type="dxa" w:w="120"/>
              <w:bottom w:type="dxa" w:w="100"/>
              <w:right w:type="dxa" w:w="120"/>
            </w:tcMar>
          </w:tcPr>
          <w:p>
            <w:r>
              <w:rPr>
                <w:b w:val="false"/>
                <w:bCs w:val="false"/>
                <w:sz w:val="20"/>
                <w:szCs w:val="20"/>
              </w:rPr>
              <w:t xml:space="preserve">Hardcoded fallback JWT secret checked into source</w:t>
            </w:r>
          </w:p>
        </w:tc>
        <w:tc>
          <w:tcPr>
            <w:tcW w:type="dxa" w:w="6900"/>
            <w:tcMar>
              <w:top w:type="dxa" w:w="100"/>
              <w:left w:type="dxa" w:w="120"/>
              <w:bottom w:type="dxa" w:w="100"/>
              <w:right w:type="dxa" w:w="120"/>
            </w:tcMar>
          </w:tcPr>
          <w:p>
            <w:r>
              <w:rPr>
                <w:b w:val="false"/>
                <w:bCs w:val="false"/>
                <w:sz w:val="20"/>
                <w:szCs w:val="20"/>
              </w:rPr>
              <w:t xml:space="preserve">Each service falls back to a default secret if the JWT_SECRET environment variable isn't set on its deployment. If even one of the 6 services was deployed without setting it, tokens could be forged. Needs a manual check of all 6 Railway/Render dashboards — can't be verified from code alone.</w:t>
            </w:r>
          </w:p>
        </w:tc>
        <w:tc>
          <w:tcPr>
            <w:tcW w:type="dxa" w:w="1500"/>
            <w:tcMar>
              <w:top w:type="dxa" w:w="100"/>
              <w:left w:type="dxa" w:w="120"/>
              <w:bottom w:type="dxa" w:w="100"/>
              <w:right w:type="dxa" w:w="120"/>
            </w:tcMar>
          </w:tcPr>
          <w:p>
            <w:r>
              <w:rPr>
                <w:b/>
                <w:bCs/>
                <w:color w:val="B91C1C"/>
                <w:sz w:val="20"/>
                <w:szCs w:val="20"/>
              </w:rPr>
              <w:t xml:space="preserve">Open</w:t>
            </w:r>
          </w:p>
        </w:tc>
      </w:tr>
      <w:tr>
        <w:tc>
          <w:tcPr>
            <w:tcW w:type="dxa" w:w="2200"/>
            <w:shd w:fill="F3F4F6" w:val="clear"/>
            <w:tcMar>
              <w:top w:type="dxa" w:w="100"/>
              <w:left w:type="dxa" w:w="120"/>
              <w:bottom w:type="dxa" w:w="100"/>
              <w:right w:type="dxa" w:w="120"/>
            </w:tcMar>
          </w:tcPr>
          <w:p>
            <w:r>
              <w:rPr>
                <w:b w:val="false"/>
                <w:bCs w:val="false"/>
                <w:sz w:val="20"/>
                <w:szCs w:val="20"/>
              </w:rPr>
              <w:t xml:space="preserve">Payment webhook retry could double-apply a partial repayment</w:t>
            </w:r>
          </w:p>
        </w:tc>
        <w:tc>
          <w:tcPr>
            <w:tcW w:type="dxa" w:w="6900"/>
            <w:shd w:fill="F3F4F6" w:val="clear"/>
            <w:tcMar>
              <w:top w:type="dxa" w:w="100"/>
              <w:left w:type="dxa" w:w="120"/>
              <w:bottom w:type="dxa" w:w="100"/>
              <w:right w:type="dxa" w:w="120"/>
            </w:tcMar>
          </w:tcPr>
          <w:p>
            <w:r>
              <w:rPr>
                <w:b w:val="false"/>
                <w:bCs w:val="false"/>
                <w:sz w:val="20"/>
                <w:szCs w:val="20"/>
              </w:rPr>
              <w:t xml:space="preserve">Paystack's webhook handler has no idempotency check tied to the transaction reference; a retried webhook (which Paystack sends automatically on timeout) could apply the same partial repayment twice. Full disbursement and full repayment happen to be protected by existing state guards — only partial repayment is exposed. Deferred because it touches live payment code.</w:t>
            </w:r>
          </w:p>
        </w:tc>
        <w:tc>
          <w:tcPr>
            <w:tcW w:type="dxa" w:w="1500"/>
            <w:shd w:fill="F3F4F6" w:val="clear"/>
            <w:tcMar>
              <w:top w:type="dxa" w:w="100"/>
              <w:left w:type="dxa" w:w="120"/>
              <w:bottom w:type="dxa" w:w="100"/>
              <w:right w:type="dxa" w:w="120"/>
            </w:tcMar>
          </w:tcPr>
          <w:p>
            <w:r>
              <w:rPr>
                <w:b/>
                <w:bCs/>
                <w:color w:val="B91C1C"/>
                <w:sz w:val="20"/>
                <w:szCs w:val="20"/>
              </w:rPr>
              <w:t xml:space="preserve">Open</w:t>
            </w:r>
          </w:p>
        </w:tc>
      </w:tr>
    </w:tbl>
    <w:p>
      <w:pPr>
        <w:pStyle w:val="Heading2"/>
        <w:spacing w:after="150" w:before="300"/>
      </w:pPr>
      <w:r>
        <w:t xml:space="preserve">Confirmed solid (worth mentioning if asked)</w:t>
      </w:r>
    </w:p>
    <w:p>
      <w:pPr>
        <w:pStyle w:val="ListParagraph"/>
        <w:numPr>
          <w:ilvl w:val="0"/>
          <w:numId w:val="2"/>
        </w:numPr>
        <w:spacing w:after="80"/>
      </w:pPr>
      <w:r>
        <w:t xml:space="preserve">Pessimistic row-locking (SELECT ... FOR UPDATE) is correctly used on every user-facing loan mutation — fund, sign, disburse, repay, default, cancel — preventing double-fund or double-repay race conditions.</w:t>
      </w:r>
    </w:p>
    <w:p>
      <w:pPr>
        <w:pStyle w:val="ListParagraph"/>
        <w:numPr>
          <w:ilvl w:val="0"/>
          <w:numId w:val="2"/>
        </w:numPr>
        <w:spacing w:after="80"/>
      </w:pPr>
      <w:r>
        <w:t xml:space="preserve">Circle authorization (owner-only actions, active-membership checks) is implemented correctly and consistently.</w:t>
      </w:r>
    </w:p>
    <w:p>
      <w:pPr>
        <w:pStyle w:val="ListParagraph"/>
        <w:numPr>
          <w:ilvl w:val="0"/>
          <w:numId w:val="2"/>
        </w:numPr>
        <w:spacing w:after="80"/>
      </w:pPr>
      <w:r>
        <w:t xml:space="preserve">Paystack webhook signature verification (HMAC-SHA512) is implemented correctly — the app can't be fed a fake payment confirmation.</w:t>
      </w:r>
    </w:p>
    <w:p>
      <w:pPr>
        <w:pStyle w:val="ListParagraph"/>
        <w:numPr>
          <w:ilvl w:val="0"/>
          <w:numId w:val="2"/>
        </w:numPr>
        <w:spacing w:after="80"/>
      </w:pPr>
      <w:r>
        <w:t xml:space="preserve">The frontend consistently refetches on screen focus after mutations (fund a loan, repay, resolve a dispute) — no stale-data pattern found anywhere in a full pass.</w:t>
      </w:r>
    </w:p>
    <w:p>
      <w:pPr>
        <w:pStyle w:val="ListParagraph"/>
        <w:numPr>
          <w:ilvl w:val="0"/>
          <w:numId w:val="2"/>
        </w:numPr>
        <w:spacing w:after="200"/>
      </w:pPr>
      <w:r>
        <w:t xml:space="preserve">Zero stray technology anywhere in the codebase — confirmed via a dedicated audit (see §1).</w:t>
      </w:r>
    </w:p>
    <w:p>
      <w:pPr>
        <w:pStyle w:val="Heading1"/>
        <w:spacing w:after="200" w:before="400"/>
      </w:pPr>
      <w:r>
        <w:t xml:space="preserve">4. Likely Questions To Be Ready For</w:t>
      </w:r>
    </w:p>
    <w:p>
      <w:pPr>
        <w:pStyle w:val="ListParagraph"/>
        <w:numPr>
          <w:ilvl w:val="0"/>
          <w:numId w:val="1"/>
        </w:numPr>
        <w:spacing w:after="80"/>
      </w:pPr>
      <w:r>
        <w:t xml:space="preserve">"Why microservices instead of a monolith?" — domain isolation matching real fintech system design (lending, payments, disputes, and budgeting are genuinely separate concerns), independent deploys/scaling, and it's a compulsory requirement.</w:t>
      </w:r>
    </w:p>
    <w:p>
      <w:pPr>
        <w:pStyle w:val="ListParagraph"/>
        <w:numPr>
          <w:ilvl w:val="0"/>
          <w:numId w:val="1"/>
        </w:numPr>
        <w:spacing w:after="80"/>
      </w:pPr>
      <w:r>
        <w:t xml:space="preserve">"What happens if a payment fails halfway through?" — Paystack webhook signature verification prevents fake confirmations; the known open gap is webhook retry idempotency on partial repayments specifically (see §3).</w:t>
      </w:r>
    </w:p>
    <w:p>
      <w:pPr>
        <w:pStyle w:val="ListParagraph"/>
        <w:numPr>
          <w:ilvl w:val="0"/>
          <w:numId w:val="1"/>
        </w:numPr>
        <w:spacing w:after="80"/>
      </w:pPr>
      <w:r>
        <w:t xml:space="preserve">"How do you handle multiple lenders funding one loan?" — contributions are tracked individually with per-lender interest rates; repayment is now split proportionally back to each contributor (fixed tonight, see §3).</w:t>
      </w:r>
    </w:p>
    <w:p>
      <w:pPr>
        <w:pStyle w:val="ListParagraph"/>
        <w:numPr>
          <w:ilvl w:val="0"/>
          <w:numId w:val="1"/>
        </w:numPr>
        <w:spacing w:after="80"/>
      </w:pPr>
      <w:r>
        <w:t xml:space="preserve">"Is the internal API secured?" — be honest: JWT-authenticated user-facing endpoints are solid, but service-to-service internal endpoints currently have no shared-secret protection. Known, on the list right after the review.</w:t>
      </w:r>
    </w:p>
    <w:sectPr>
      <w:pgSz w:w="12240" w:h="15840" w:orient="portrait"/>
      <w:pgMar w:top="900" w:right="820" w:bottom="90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2026-07-19T20:51:12.863Z</dcterms:created>
  <dcterms:modified xsi:type="dcterms:W3CDTF">2026-07-19T20:51:12.871Z</dcterms:modified>
</cp:coreProperties>
</file>

<file path=docProps/custom.xml><?xml version="1.0" encoding="utf-8"?>
<Properties xmlns="http://schemas.openxmlformats.org/officeDocument/2006/custom-properties" xmlns:vt="http://schemas.openxmlformats.org/officeDocument/2006/docPropsVTypes"/>
</file>