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4B92" w14:textId="165A75A9" w:rsidR="00E15907" w:rsidRPr="00A96097" w:rsidRDefault="00E15907" w:rsidP="00A96097">
      <w:pPr>
        <w:spacing w:before="80"/>
        <w:ind w:left="3019" w:right="2294" w:hanging="707"/>
        <w:rPr>
          <w:rFonts w:asciiTheme="minorHAnsi" w:hAnsiTheme="minorHAnsi" w:cstheme="minorHAnsi"/>
          <w:b/>
          <w:sz w:val="24"/>
        </w:rPr>
      </w:pPr>
      <w:r w:rsidRPr="009908A0">
        <w:rPr>
          <w:rFonts w:asciiTheme="minorHAnsi" w:hAnsiTheme="minorHAnsi" w:cstheme="minorHAnsi"/>
          <w:b/>
          <w:sz w:val="24"/>
        </w:rPr>
        <w:t>Updating the Fund Review BI User Guide</w:t>
      </w:r>
    </w:p>
    <w:p w14:paraId="2FDFCE1F" w14:textId="77777777" w:rsidR="00E15907" w:rsidRPr="009908A0" w:rsidRDefault="00E15907" w:rsidP="00E15907">
      <w:pPr>
        <w:pStyle w:val="BodyText"/>
        <w:spacing w:before="8"/>
        <w:rPr>
          <w:rFonts w:asciiTheme="minorHAnsi" w:hAnsiTheme="minorHAnsi" w:cstheme="minorHAnsi"/>
          <w:b/>
          <w:sz w:val="21"/>
        </w:rPr>
      </w:pPr>
    </w:p>
    <w:p w14:paraId="37F349F0" w14:textId="27609AFB" w:rsidR="00E15907" w:rsidRPr="009908A0" w:rsidRDefault="00E15907" w:rsidP="00A96097">
      <w:pPr>
        <w:pStyle w:val="BodyText"/>
        <w:spacing w:before="1"/>
        <w:ind w:left="219" w:right="215"/>
        <w:jc w:val="center"/>
        <w:rPr>
          <w:rFonts w:asciiTheme="minorHAnsi" w:hAnsiTheme="minorHAnsi" w:cstheme="minorHAnsi"/>
          <w:sz w:val="20"/>
        </w:rPr>
      </w:pPr>
      <w:r w:rsidRPr="009908A0">
        <w:rPr>
          <w:rFonts w:asciiTheme="minorHAnsi" w:hAnsiTheme="minorHAnsi" w:cstheme="minorHAnsi"/>
        </w:rPr>
        <w:t>The following table provides an outline of the steps to take when updating the fund review BI.</w:t>
      </w:r>
    </w:p>
    <w:p w14:paraId="4E2F9C23" w14:textId="347FC3BE" w:rsidR="00E15907" w:rsidRDefault="00E15907"/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993"/>
        <w:gridCol w:w="2126"/>
        <w:gridCol w:w="8080"/>
      </w:tblGrid>
      <w:tr w:rsidR="00E15907" w14:paraId="1F1C88B5" w14:textId="77777777" w:rsidTr="00A96097">
        <w:tc>
          <w:tcPr>
            <w:tcW w:w="993" w:type="dxa"/>
          </w:tcPr>
          <w:p w14:paraId="3319A9E6" w14:textId="4EC7DA48" w:rsidR="00E15907" w:rsidRDefault="00E15907" w:rsidP="00E15907">
            <w:r w:rsidRPr="009908A0">
              <w:rPr>
                <w:rFonts w:asciiTheme="minorHAnsi" w:hAnsiTheme="minorHAnsi" w:cstheme="minorHAnsi"/>
                <w:b/>
                <w:sz w:val="24"/>
              </w:rPr>
              <w:t>Section</w:t>
            </w:r>
          </w:p>
        </w:tc>
        <w:tc>
          <w:tcPr>
            <w:tcW w:w="2126" w:type="dxa"/>
          </w:tcPr>
          <w:p w14:paraId="7A97B557" w14:textId="77777777" w:rsidR="00E15907" w:rsidRDefault="00E15907" w:rsidP="00E15907"/>
        </w:tc>
        <w:tc>
          <w:tcPr>
            <w:tcW w:w="8080" w:type="dxa"/>
          </w:tcPr>
          <w:p w14:paraId="2914D42D" w14:textId="77777777" w:rsidR="00E15907" w:rsidRDefault="00E15907" w:rsidP="00E15907"/>
        </w:tc>
      </w:tr>
      <w:tr w:rsidR="00E15907" w14:paraId="6C2C65F2" w14:textId="77777777" w:rsidTr="00A96097">
        <w:tc>
          <w:tcPr>
            <w:tcW w:w="993" w:type="dxa"/>
          </w:tcPr>
          <w:p w14:paraId="24B550BC" w14:textId="640DE97A" w:rsidR="00E15907" w:rsidRDefault="00E15907" w:rsidP="00E15907">
            <w:r w:rsidRPr="009908A0">
              <w:rPr>
                <w:rFonts w:asciiTheme="minorHAnsi" w:hAnsiTheme="minorHAnsi" w:cstheme="minorHAnsi"/>
                <w:b/>
                <w:sz w:val="24"/>
              </w:rPr>
              <w:t>Part A</w:t>
            </w:r>
          </w:p>
        </w:tc>
        <w:tc>
          <w:tcPr>
            <w:tcW w:w="2126" w:type="dxa"/>
          </w:tcPr>
          <w:p w14:paraId="5AE712FD" w14:textId="77777777" w:rsidR="00E15907" w:rsidRDefault="00E15907" w:rsidP="00E15907"/>
        </w:tc>
        <w:tc>
          <w:tcPr>
            <w:tcW w:w="8080" w:type="dxa"/>
          </w:tcPr>
          <w:p w14:paraId="6DD053D1" w14:textId="77777777" w:rsidR="00E15907" w:rsidRDefault="00E15907" w:rsidP="00E15907"/>
        </w:tc>
      </w:tr>
      <w:tr w:rsidR="00E15907" w14:paraId="72BDB523" w14:textId="77777777" w:rsidTr="00A96097">
        <w:tc>
          <w:tcPr>
            <w:tcW w:w="993" w:type="dxa"/>
          </w:tcPr>
          <w:p w14:paraId="7E4FD9D7" w14:textId="77777777" w:rsidR="00E15907" w:rsidRDefault="00E15907" w:rsidP="00E15907"/>
        </w:tc>
        <w:tc>
          <w:tcPr>
            <w:tcW w:w="2126" w:type="dxa"/>
          </w:tcPr>
          <w:p w14:paraId="586500B8" w14:textId="04C2C7B0" w:rsidR="00E15907" w:rsidRDefault="00E15907" w:rsidP="00E15907">
            <w:r>
              <w:rPr>
                <w:rFonts w:asciiTheme="minorHAnsi" w:hAnsiTheme="minorHAnsi" w:cstheme="minorHAnsi"/>
                <w:b/>
                <w:sz w:val="24"/>
              </w:rPr>
              <w:t>Gathering Data</w:t>
            </w:r>
          </w:p>
        </w:tc>
        <w:tc>
          <w:tcPr>
            <w:tcW w:w="8080" w:type="dxa"/>
          </w:tcPr>
          <w:p w14:paraId="35D9772C" w14:textId="77777777" w:rsidR="00E15907" w:rsidRDefault="00E15907" w:rsidP="00E15907"/>
        </w:tc>
      </w:tr>
      <w:tr w:rsidR="00E15907" w14:paraId="379DF7AE" w14:textId="77777777" w:rsidTr="00A96097">
        <w:tc>
          <w:tcPr>
            <w:tcW w:w="993" w:type="dxa"/>
          </w:tcPr>
          <w:p w14:paraId="72DAFDF7" w14:textId="3F7360A9" w:rsidR="00E15907" w:rsidRDefault="00E15907" w:rsidP="00E15907">
            <w:r w:rsidRPr="009908A0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126" w:type="dxa"/>
          </w:tcPr>
          <w:p w14:paraId="4850164D" w14:textId="77777777" w:rsidR="00E15907" w:rsidRDefault="00E15907" w:rsidP="00E15907">
            <w:pPr>
              <w:pStyle w:val="TableParagraph"/>
              <w:spacing w:line="256" w:lineRule="exact"/>
              <w:ind w:left="467"/>
              <w:rPr>
                <w:rFonts w:asciiTheme="minorHAnsi" w:hAnsiTheme="minorHAnsi" w:cstheme="minorHAnsi"/>
                <w:sz w:val="24"/>
              </w:rPr>
            </w:pPr>
          </w:p>
          <w:p w14:paraId="437458D2" w14:textId="77777777" w:rsidR="00E15907" w:rsidRDefault="00E15907" w:rsidP="00E15907">
            <w:pPr>
              <w:pStyle w:val="TableParagraph"/>
              <w:numPr>
                <w:ilvl w:val="0"/>
                <w:numId w:val="1"/>
              </w:numPr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Canada Life</w:t>
            </w:r>
          </w:p>
          <w:p w14:paraId="618049C0" w14:textId="77777777" w:rsidR="00E15907" w:rsidRDefault="00E15907" w:rsidP="00E15907">
            <w:pPr>
              <w:pStyle w:val="TableParagraph"/>
              <w:numPr>
                <w:ilvl w:val="0"/>
                <w:numId w:val="1"/>
              </w:numPr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Manulife</w:t>
            </w:r>
          </w:p>
          <w:p w14:paraId="564DEF7B" w14:textId="58971148" w:rsidR="00E15907" w:rsidRDefault="00E15907" w:rsidP="00A96097">
            <w:pPr>
              <w:pStyle w:val="ListParagraph"/>
              <w:numPr>
                <w:ilvl w:val="0"/>
                <w:numId w:val="2"/>
              </w:numPr>
            </w:pPr>
            <w:r w:rsidRPr="00A96097">
              <w:rPr>
                <w:rFonts w:asciiTheme="minorHAnsi" w:hAnsiTheme="minorHAnsi" w:cstheme="minorHAnsi"/>
                <w:sz w:val="24"/>
              </w:rPr>
              <w:t>Sun Life</w:t>
            </w:r>
          </w:p>
        </w:tc>
        <w:tc>
          <w:tcPr>
            <w:tcW w:w="8080" w:type="dxa"/>
          </w:tcPr>
          <w:p w14:paraId="66880C54" w14:textId="77777777" w:rsidR="00E15907" w:rsidRDefault="00E15907" w:rsidP="00E15907">
            <w:pPr>
              <w:pStyle w:val="TableParagraph"/>
              <w:spacing w:line="256" w:lineRule="exact"/>
              <w:ind w:left="467"/>
              <w:rPr>
                <w:rFonts w:asciiTheme="minorHAnsi" w:hAnsiTheme="minorHAnsi" w:cstheme="minorHAnsi"/>
                <w:sz w:val="24"/>
              </w:rPr>
            </w:pPr>
          </w:p>
          <w:p w14:paraId="0C4DE53C" w14:textId="59456F2B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Assets</w:t>
            </w:r>
            <w:r w:rsidR="00727077">
              <w:rPr>
                <w:rFonts w:asciiTheme="minorHAnsi" w:hAnsiTheme="minorHAnsi" w:cstheme="minorHAnsi"/>
                <w:sz w:val="24"/>
              </w:rPr>
              <w:t xml:space="preserve"> - Isolate targeted tab if there are more than one.</w:t>
            </w:r>
          </w:p>
          <w:p w14:paraId="235FE5CC" w14:textId="1352686C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Fees</w:t>
            </w:r>
            <w:r w:rsidR="00727077">
              <w:rPr>
                <w:rFonts w:asciiTheme="minorHAnsi" w:hAnsiTheme="minorHAnsi" w:cstheme="minorHAnsi"/>
                <w:sz w:val="24"/>
              </w:rPr>
              <w:t xml:space="preserve"> - Isolate targeted tab if there are more than one.</w:t>
            </w:r>
          </w:p>
          <w:p w14:paraId="30FF8306" w14:textId="3CD2DC77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56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Core &amp; Other monthly returns (essential)</w:t>
            </w:r>
            <w:r w:rsidR="00727077">
              <w:rPr>
                <w:rFonts w:asciiTheme="minorHAnsi" w:hAnsiTheme="minorHAnsi" w:cstheme="minorHAnsi"/>
                <w:sz w:val="24"/>
              </w:rPr>
              <w:t xml:space="preserve"> - Isolate targeted tab if there are more than one.</w:t>
            </w:r>
          </w:p>
          <w:p w14:paraId="06E91A2D" w14:textId="77777777" w:rsidR="00E15907" w:rsidRDefault="00E15907" w:rsidP="00E15907"/>
        </w:tc>
      </w:tr>
      <w:tr w:rsidR="00E15907" w14:paraId="174423BF" w14:textId="77777777" w:rsidTr="00A96097">
        <w:tc>
          <w:tcPr>
            <w:tcW w:w="993" w:type="dxa"/>
          </w:tcPr>
          <w:p w14:paraId="4233A50E" w14:textId="555254B2" w:rsidR="00E15907" w:rsidRDefault="00E15907" w:rsidP="00E15907">
            <w:r w:rsidRPr="009908A0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126" w:type="dxa"/>
          </w:tcPr>
          <w:p w14:paraId="508E0131" w14:textId="77777777" w:rsidR="00A96097" w:rsidRDefault="00A96097" w:rsidP="00E15907">
            <w:pPr>
              <w:rPr>
                <w:rFonts w:asciiTheme="minorHAnsi" w:hAnsiTheme="minorHAnsi" w:cstheme="minorHAnsi"/>
                <w:sz w:val="24"/>
              </w:rPr>
            </w:pPr>
          </w:p>
          <w:p w14:paraId="524FD191" w14:textId="62401C64" w:rsidR="00E15907" w:rsidRDefault="00E15907" w:rsidP="00E15907">
            <w:r>
              <w:rPr>
                <w:rFonts w:asciiTheme="minorHAnsi" w:hAnsiTheme="minorHAnsi" w:cstheme="minorHAnsi"/>
                <w:sz w:val="24"/>
              </w:rPr>
              <w:t>Adjust seed data in DBT seed folder</w:t>
            </w:r>
          </w:p>
        </w:tc>
        <w:tc>
          <w:tcPr>
            <w:tcW w:w="8080" w:type="dxa"/>
          </w:tcPr>
          <w:p w14:paraId="48EDBE30" w14:textId="77777777" w:rsidR="00E15907" w:rsidRDefault="00E15907" w:rsidP="00E15907">
            <w:pPr>
              <w:pStyle w:val="TableParagraph"/>
              <w:spacing w:line="259" w:lineRule="exact"/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63A62069" w14:textId="77777777" w:rsidR="00E15907" w:rsidRDefault="00E15907" w:rsidP="00E15907">
            <w:pPr>
              <w:pStyle w:val="TableParagraph"/>
              <w:spacing w:line="259" w:lineRule="exact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If there are changes made to the categorization of the funds (additions or removal), address the changes in the seed tables (fund &amp; peer group categories). </w:t>
            </w:r>
          </w:p>
          <w:p w14:paraId="77364857" w14:textId="77777777" w:rsidR="00E15907" w:rsidRDefault="00E15907" w:rsidP="00E15907">
            <w:pPr>
              <w:pStyle w:val="TableParagraph"/>
              <w:spacing w:line="259" w:lineRule="exact"/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78821688" w14:textId="77777777" w:rsidR="00E15907" w:rsidRDefault="00E15907" w:rsidP="00E15907">
            <w:pPr>
              <w:pStyle w:val="TableParagraph"/>
              <w:spacing w:line="259" w:lineRule="exact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Additionally, the net_returns_three query needs to be adjusted for any changes regarding the peer group categories.</w:t>
            </w:r>
          </w:p>
          <w:p w14:paraId="5B278C74" w14:textId="77777777" w:rsidR="00E15907" w:rsidRDefault="00E15907" w:rsidP="00E15907"/>
        </w:tc>
      </w:tr>
      <w:tr w:rsidR="00E15907" w14:paraId="1A15F48D" w14:textId="77777777" w:rsidTr="00A96097">
        <w:tc>
          <w:tcPr>
            <w:tcW w:w="993" w:type="dxa"/>
          </w:tcPr>
          <w:p w14:paraId="2C1C158E" w14:textId="5526C7E1" w:rsidR="00E15907" w:rsidRDefault="00E15907" w:rsidP="00E15907">
            <w:r w:rsidRPr="009908A0">
              <w:rPr>
                <w:rFonts w:asciiTheme="minorHAnsi" w:hAnsiTheme="minorHAnsi" w:cstheme="minorHAnsi"/>
                <w:b/>
                <w:sz w:val="24"/>
              </w:rPr>
              <w:t xml:space="preserve">Part </w:t>
            </w:r>
            <w:r>
              <w:rPr>
                <w:rFonts w:asciiTheme="minorHAnsi" w:hAnsiTheme="minorHAnsi" w:cstheme="minorHAnsi"/>
                <w:b/>
                <w:sz w:val="24"/>
              </w:rPr>
              <w:t>B</w:t>
            </w:r>
          </w:p>
        </w:tc>
        <w:tc>
          <w:tcPr>
            <w:tcW w:w="2126" w:type="dxa"/>
          </w:tcPr>
          <w:p w14:paraId="4C73A0C8" w14:textId="77777777" w:rsidR="00E15907" w:rsidRDefault="00E15907" w:rsidP="00E15907"/>
        </w:tc>
        <w:tc>
          <w:tcPr>
            <w:tcW w:w="8080" w:type="dxa"/>
          </w:tcPr>
          <w:p w14:paraId="0AEBFB57" w14:textId="77777777" w:rsidR="00E15907" w:rsidRDefault="00E15907" w:rsidP="00E15907"/>
        </w:tc>
      </w:tr>
      <w:tr w:rsidR="00E15907" w14:paraId="30558F8A" w14:textId="77777777" w:rsidTr="00A96097">
        <w:tc>
          <w:tcPr>
            <w:tcW w:w="993" w:type="dxa"/>
          </w:tcPr>
          <w:p w14:paraId="575384B0" w14:textId="77777777" w:rsidR="00E15907" w:rsidRDefault="00E15907" w:rsidP="00E15907"/>
        </w:tc>
        <w:tc>
          <w:tcPr>
            <w:tcW w:w="2126" w:type="dxa"/>
          </w:tcPr>
          <w:p w14:paraId="3A162802" w14:textId="4BCED3BC" w:rsidR="00E15907" w:rsidRDefault="00E15907" w:rsidP="00E15907">
            <w:r>
              <w:rPr>
                <w:rFonts w:asciiTheme="minorHAnsi" w:hAnsiTheme="minorHAnsi" w:cstheme="minorHAnsi"/>
                <w:b/>
                <w:sz w:val="24"/>
              </w:rPr>
              <w:t>Extract, Transform, &amp; Load (ETL)</w:t>
            </w:r>
          </w:p>
        </w:tc>
        <w:tc>
          <w:tcPr>
            <w:tcW w:w="8080" w:type="dxa"/>
          </w:tcPr>
          <w:p w14:paraId="7F09A6EB" w14:textId="77777777" w:rsidR="00E15907" w:rsidRDefault="00E15907" w:rsidP="00E15907"/>
        </w:tc>
      </w:tr>
      <w:tr w:rsidR="00E15907" w14:paraId="345464C9" w14:textId="77777777" w:rsidTr="00A96097">
        <w:tc>
          <w:tcPr>
            <w:tcW w:w="993" w:type="dxa"/>
          </w:tcPr>
          <w:p w14:paraId="5D7078DF" w14:textId="589DBAB2" w:rsidR="00E15907" w:rsidRDefault="00E15907" w:rsidP="00E15907"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126" w:type="dxa"/>
          </w:tcPr>
          <w:p w14:paraId="2F84099A" w14:textId="77777777" w:rsidR="00A96097" w:rsidRDefault="00A96097" w:rsidP="00E15907">
            <w:pPr>
              <w:rPr>
                <w:rFonts w:asciiTheme="minorHAnsi" w:hAnsiTheme="minorHAnsi" w:cstheme="minorHAnsi"/>
                <w:sz w:val="24"/>
              </w:rPr>
            </w:pPr>
          </w:p>
          <w:p w14:paraId="3ED9F7C0" w14:textId="33C80C4E" w:rsidR="00E15907" w:rsidRDefault="00E15907" w:rsidP="00E15907">
            <w:r>
              <w:rPr>
                <w:rFonts w:asciiTheme="minorHAnsi" w:hAnsiTheme="minorHAnsi" w:cstheme="minorHAnsi"/>
                <w:sz w:val="24"/>
              </w:rPr>
              <w:t>Canada Life</w:t>
            </w:r>
          </w:p>
        </w:tc>
        <w:tc>
          <w:tcPr>
            <w:tcW w:w="8080" w:type="dxa"/>
          </w:tcPr>
          <w:p w14:paraId="265A3291" w14:textId="77777777" w:rsidR="00E15907" w:rsidRDefault="00E15907" w:rsidP="00E15907">
            <w:pPr>
              <w:pStyle w:val="TableParagraph"/>
              <w:spacing w:line="273" w:lineRule="exact"/>
              <w:ind w:left="467"/>
              <w:rPr>
                <w:rFonts w:asciiTheme="minorHAnsi" w:hAnsiTheme="minorHAnsi" w:cstheme="minorHAnsi"/>
                <w:sz w:val="24"/>
              </w:rPr>
            </w:pPr>
          </w:p>
          <w:p w14:paraId="6D52A9FB" w14:textId="77777777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 w:rsidRPr="00FE44C4">
              <w:rPr>
                <w:rFonts w:asciiTheme="minorHAnsi" w:hAnsiTheme="minorHAnsi" w:cstheme="minorHAnsi"/>
                <w:sz w:val="24"/>
              </w:rPr>
              <w:t>CL_Assets</w:t>
            </w:r>
          </w:p>
          <w:p w14:paraId="17500310" w14:textId="77777777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 w:rsidRPr="00FE44C4">
              <w:rPr>
                <w:rFonts w:asciiTheme="minorHAnsi" w:hAnsiTheme="minorHAnsi" w:cstheme="minorHAnsi"/>
                <w:sz w:val="24"/>
              </w:rPr>
              <w:t>CL_Fees</w:t>
            </w:r>
          </w:p>
          <w:p w14:paraId="73924078" w14:textId="77777777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 w:rsidRPr="00FE44C4">
              <w:rPr>
                <w:rFonts w:asciiTheme="minorHAnsi" w:hAnsiTheme="minorHAnsi" w:cstheme="minorHAnsi"/>
                <w:sz w:val="24"/>
              </w:rPr>
              <w:t>CL_Fund_Returns_Core</w:t>
            </w:r>
          </w:p>
          <w:p w14:paraId="4CC03C9F" w14:textId="77777777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 w:rsidRPr="00FE44C4">
              <w:rPr>
                <w:rFonts w:asciiTheme="minorHAnsi" w:hAnsiTheme="minorHAnsi" w:cstheme="minorHAnsi"/>
                <w:sz w:val="24"/>
              </w:rPr>
              <w:t>CL_Fund_Returns_Others</w:t>
            </w:r>
          </w:p>
          <w:p w14:paraId="4B025A70" w14:textId="77777777" w:rsidR="00E15907" w:rsidRDefault="00E15907" w:rsidP="00E15907"/>
        </w:tc>
      </w:tr>
      <w:tr w:rsidR="00E15907" w14:paraId="45242745" w14:textId="77777777" w:rsidTr="00A96097">
        <w:tc>
          <w:tcPr>
            <w:tcW w:w="993" w:type="dxa"/>
          </w:tcPr>
          <w:p w14:paraId="0948DDBA" w14:textId="05E27183" w:rsidR="00E15907" w:rsidRDefault="00E15907" w:rsidP="00E15907"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126" w:type="dxa"/>
          </w:tcPr>
          <w:p w14:paraId="1535748E" w14:textId="77777777" w:rsidR="00A96097" w:rsidRDefault="00A96097" w:rsidP="00E15907">
            <w:pPr>
              <w:rPr>
                <w:rFonts w:asciiTheme="minorHAnsi" w:hAnsiTheme="minorHAnsi" w:cstheme="minorHAnsi"/>
                <w:sz w:val="24"/>
              </w:rPr>
            </w:pPr>
          </w:p>
          <w:p w14:paraId="4B6EE915" w14:textId="7CCB1018" w:rsidR="00E15907" w:rsidRDefault="00E15907" w:rsidP="00E15907">
            <w:r>
              <w:rPr>
                <w:rFonts w:asciiTheme="minorHAnsi" w:hAnsiTheme="minorHAnsi" w:cstheme="minorHAnsi"/>
                <w:sz w:val="24"/>
              </w:rPr>
              <w:t>Manulife</w:t>
            </w:r>
          </w:p>
        </w:tc>
        <w:tc>
          <w:tcPr>
            <w:tcW w:w="8080" w:type="dxa"/>
          </w:tcPr>
          <w:p w14:paraId="5E9E0C98" w14:textId="77777777" w:rsidR="00E15907" w:rsidRDefault="00E15907" w:rsidP="00E15907">
            <w:pPr>
              <w:pStyle w:val="TableParagraph"/>
              <w:spacing w:line="273" w:lineRule="exact"/>
              <w:ind w:left="467"/>
              <w:rPr>
                <w:rFonts w:asciiTheme="minorHAnsi" w:hAnsiTheme="minorHAnsi" w:cstheme="minorHAnsi"/>
                <w:sz w:val="24"/>
              </w:rPr>
            </w:pPr>
          </w:p>
          <w:p w14:paraId="705615B5" w14:textId="77777777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</w:t>
            </w:r>
            <w:r w:rsidRPr="00FE44C4">
              <w:rPr>
                <w:rFonts w:asciiTheme="minorHAnsi" w:hAnsiTheme="minorHAnsi" w:cstheme="minorHAnsi"/>
                <w:sz w:val="24"/>
              </w:rPr>
              <w:t>L_Assets</w:t>
            </w:r>
          </w:p>
          <w:p w14:paraId="318BAF93" w14:textId="77777777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</w:t>
            </w:r>
            <w:r w:rsidRPr="00FE44C4">
              <w:rPr>
                <w:rFonts w:asciiTheme="minorHAnsi" w:hAnsiTheme="minorHAnsi" w:cstheme="minorHAnsi"/>
                <w:sz w:val="24"/>
              </w:rPr>
              <w:t>L_Fees</w:t>
            </w:r>
          </w:p>
          <w:p w14:paraId="56DB66C1" w14:textId="77777777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ML</w:t>
            </w:r>
            <w:r w:rsidRPr="00FE44C4">
              <w:rPr>
                <w:rFonts w:asciiTheme="minorHAnsi" w:hAnsiTheme="minorHAnsi" w:cstheme="minorHAnsi"/>
                <w:sz w:val="24"/>
              </w:rPr>
              <w:t>_Fund_Returns_Core</w:t>
            </w:r>
          </w:p>
          <w:p w14:paraId="3A01D77A" w14:textId="77777777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</w:t>
            </w:r>
            <w:r w:rsidRPr="00CC083B">
              <w:rPr>
                <w:rFonts w:asciiTheme="minorHAnsi" w:hAnsiTheme="minorHAnsi" w:cstheme="minorHAnsi"/>
                <w:sz w:val="24"/>
              </w:rPr>
              <w:t>L_Fund_Returns_Other</w:t>
            </w:r>
            <w:r>
              <w:rPr>
                <w:rFonts w:asciiTheme="minorHAnsi" w:hAnsiTheme="minorHAnsi" w:cstheme="minorHAnsi"/>
                <w:sz w:val="24"/>
              </w:rPr>
              <w:t>s</w:t>
            </w:r>
          </w:p>
          <w:p w14:paraId="78F0B386" w14:textId="77777777" w:rsidR="00E15907" w:rsidRDefault="00E15907" w:rsidP="00E15907"/>
        </w:tc>
      </w:tr>
      <w:tr w:rsidR="00E15907" w14:paraId="2A133093" w14:textId="77777777" w:rsidTr="00A96097">
        <w:trPr>
          <w:trHeight w:val="1514"/>
        </w:trPr>
        <w:tc>
          <w:tcPr>
            <w:tcW w:w="993" w:type="dxa"/>
          </w:tcPr>
          <w:p w14:paraId="17036B32" w14:textId="73B4233B" w:rsidR="00E15907" w:rsidRDefault="00E15907" w:rsidP="00E15907"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2126" w:type="dxa"/>
          </w:tcPr>
          <w:p w14:paraId="195213B7" w14:textId="77777777" w:rsidR="00A96097" w:rsidRDefault="00A96097" w:rsidP="00E15907">
            <w:pPr>
              <w:rPr>
                <w:rFonts w:asciiTheme="minorHAnsi" w:hAnsiTheme="minorHAnsi" w:cstheme="minorHAnsi"/>
                <w:sz w:val="24"/>
              </w:rPr>
            </w:pPr>
          </w:p>
          <w:p w14:paraId="23592C28" w14:textId="77777777" w:rsidR="00E15907" w:rsidRDefault="00E15907" w:rsidP="00E1590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Sun Life</w:t>
            </w:r>
          </w:p>
          <w:p w14:paraId="48DFD496" w14:textId="2129D1B8" w:rsidR="00BB45DF" w:rsidRPr="00BB45DF" w:rsidRDefault="00BB45DF" w:rsidP="00E15907">
            <w:pPr>
              <w:rPr>
                <w:rFonts w:asciiTheme="minorHAnsi" w:hAnsiTheme="minorHAnsi" w:cstheme="minorHAnsi"/>
                <w:sz w:val="24"/>
              </w:rPr>
            </w:pPr>
            <w:r w:rsidRPr="00BB45DF">
              <w:rPr>
                <w:rFonts w:asciiTheme="minorHAnsi" w:hAnsiTheme="minorHAnsi" w:cstheme="minorHAnsi"/>
                <w:sz w:val="24"/>
              </w:rPr>
              <w:t>Union D</w:t>
            </w:r>
            <w:r w:rsidR="00AD6729">
              <w:rPr>
                <w:rFonts w:asciiTheme="minorHAnsi" w:hAnsiTheme="minorHAnsi" w:cstheme="minorHAnsi"/>
                <w:sz w:val="24"/>
              </w:rPr>
              <w:t>B</w:t>
            </w:r>
            <w:r w:rsidRPr="00BB45DF">
              <w:rPr>
                <w:rFonts w:asciiTheme="minorHAnsi" w:hAnsiTheme="minorHAnsi" w:cstheme="minorHAnsi"/>
                <w:sz w:val="24"/>
              </w:rPr>
              <w:t xml:space="preserve"> &amp; </w:t>
            </w:r>
            <w:r w:rsidR="00AD6729">
              <w:rPr>
                <w:rFonts w:asciiTheme="minorHAnsi" w:hAnsiTheme="minorHAnsi" w:cstheme="minorHAnsi"/>
                <w:sz w:val="24"/>
              </w:rPr>
              <w:t>DC</w:t>
            </w:r>
            <w:r w:rsidRPr="00BB45DF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79340A91" w14:textId="45EC8ABF" w:rsidR="00BB45DF" w:rsidRDefault="00BB45DF" w:rsidP="00E15907">
            <w:r w:rsidRPr="00BB45DF">
              <w:rPr>
                <w:rFonts w:asciiTheme="minorHAnsi" w:hAnsiTheme="minorHAnsi" w:cstheme="minorHAnsi"/>
                <w:sz w:val="24"/>
              </w:rPr>
              <w:t>Files for Core</w:t>
            </w:r>
          </w:p>
        </w:tc>
        <w:tc>
          <w:tcPr>
            <w:tcW w:w="8080" w:type="dxa"/>
          </w:tcPr>
          <w:p w14:paraId="22EBB8E6" w14:textId="77777777" w:rsidR="00E15907" w:rsidRDefault="00E15907" w:rsidP="00E15907">
            <w:pPr>
              <w:pStyle w:val="TableParagraph"/>
              <w:spacing w:line="273" w:lineRule="exact"/>
              <w:ind w:left="467"/>
              <w:rPr>
                <w:rFonts w:asciiTheme="minorHAnsi" w:hAnsiTheme="minorHAnsi" w:cstheme="minorHAnsi"/>
                <w:sz w:val="24"/>
              </w:rPr>
            </w:pPr>
          </w:p>
          <w:p w14:paraId="48210F3E" w14:textId="77777777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</w:t>
            </w:r>
            <w:r w:rsidRPr="00FE44C4">
              <w:rPr>
                <w:rFonts w:asciiTheme="minorHAnsi" w:hAnsiTheme="minorHAnsi" w:cstheme="minorHAnsi"/>
                <w:sz w:val="24"/>
              </w:rPr>
              <w:t>L_Assets</w:t>
            </w:r>
          </w:p>
          <w:p w14:paraId="3752A680" w14:textId="77777777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</w:t>
            </w:r>
            <w:r w:rsidRPr="00FE44C4">
              <w:rPr>
                <w:rFonts w:asciiTheme="minorHAnsi" w:hAnsiTheme="minorHAnsi" w:cstheme="minorHAnsi"/>
                <w:sz w:val="24"/>
              </w:rPr>
              <w:t>L_Fees</w:t>
            </w:r>
          </w:p>
          <w:p w14:paraId="78CA4254" w14:textId="77777777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SL</w:t>
            </w:r>
            <w:r w:rsidRPr="00FE44C4">
              <w:rPr>
                <w:rFonts w:asciiTheme="minorHAnsi" w:hAnsiTheme="minorHAnsi" w:cstheme="minorHAnsi"/>
                <w:sz w:val="24"/>
              </w:rPr>
              <w:t>_Fund_Returns_Core</w:t>
            </w:r>
          </w:p>
          <w:p w14:paraId="025F9BD0" w14:textId="77777777" w:rsidR="00E15907" w:rsidRDefault="00E15907" w:rsidP="00E15907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</w:t>
            </w:r>
            <w:r w:rsidRPr="00732D14">
              <w:rPr>
                <w:rFonts w:asciiTheme="minorHAnsi" w:hAnsiTheme="minorHAnsi" w:cstheme="minorHAnsi"/>
                <w:sz w:val="24"/>
              </w:rPr>
              <w:t>L_Fund_Returns_Others</w:t>
            </w:r>
          </w:p>
          <w:p w14:paraId="5C865FB9" w14:textId="77777777" w:rsidR="00E15907" w:rsidRDefault="00E15907" w:rsidP="00E15907"/>
        </w:tc>
      </w:tr>
      <w:tr w:rsidR="001011CE" w14:paraId="53082718" w14:textId="77777777" w:rsidTr="001011CE">
        <w:trPr>
          <w:trHeight w:val="1367"/>
        </w:trPr>
        <w:tc>
          <w:tcPr>
            <w:tcW w:w="993" w:type="dxa"/>
          </w:tcPr>
          <w:p w14:paraId="1D9F66F9" w14:textId="3F47D7D8" w:rsidR="001011CE" w:rsidRDefault="001011CE" w:rsidP="00E1590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2126" w:type="dxa"/>
          </w:tcPr>
          <w:p w14:paraId="073E209F" w14:textId="002588F1" w:rsidR="001011CE" w:rsidRDefault="001011CE" w:rsidP="00E1590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Industrial Alliance</w:t>
            </w:r>
          </w:p>
        </w:tc>
        <w:tc>
          <w:tcPr>
            <w:tcW w:w="8080" w:type="dxa"/>
          </w:tcPr>
          <w:p w14:paraId="3D75AE6A" w14:textId="77777777" w:rsidR="00F51D49" w:rsidRDefault="00F51D49" w:rsidP="00F51D49">
            <w:pPr>
              <w:pStyle w:val="TableParagraph"/>
              <w:spacing w:line="273" w:lineRule="exact"/>
              <w:rPr>
                <w:rFonts w:asciiTheme="minorHAnsi" w:hAnsiTheme="minorHAnsi" w:cstheme="minorHAnsi"/>
                <w:sz w:val="24"/>
              </w:rPr>
            </w:pPr>
          </w:p>
          <w:p w14:paraId="225C9995" w14:textId="026EDD84" w:rsidR="001011CE" w:rsidRDefault="00B82040" w:rsidP="001011CE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IA</w:t>
            </w:r>
            <w:r w:rsidR="001011CE" w:rsidRPr="00FE44C4">
              <w:rPr>
                <w:rFonts w:asciiTheme="minorHAnsi" w:hAnsiTheme="minorHAnsi" w:cstheme="minorHAnsi"/>
                <w:sz w:val="24"/>
              </w:rPr>
              <w:t>_</w:t>
            </w:r>
            <w:r w:rsidR="004449CD">
              <w:rPr>
                <w:rFonts w:asciiTheme="minorHAnsi" w:hAnsiTheme="minorHAnsi" w:cstheme="minorHAnsi"/>
                <w:sz w:val="24"/>
              </w:rPr>
              <w:t>ATT_</w:t>
            </w:r>
            <w:r w:rsidR="001011CE" w:rsidRPr="00FE44C4">
              <w:rPr>
                <w:rFonts w:asciiTheme="minorHAnsi" w:hAnsiTheme="minorHAnsi" w:cstheme="minorHAnsi"/>
                <w:sz w:val="24"/>
              </w:rPr>
              <w:t>Assets</w:t>
            </w:r>
            <w:r w:rsidR="00492763">
              <w:rPr>
                <w:rFonts w:asciiTheme="minorHAnsi" w:hAnsiTheme="minorHAnsi" w:cstheme="minorHAnsi"/>
                <w:sz w:val="24"/>
              </w:rPr>
              <w:t>_DPSP</w:t>
            </w:r>
            <w:r w:rsidR="004449CD">
              <w:rPr>
                <w:rFonts w:asciiTheme="minorHAnsi" w:hAnsiTheme="minorHAnsi" w:cstheme="minorHAnsi"/>
                <w:sz w:val="24"/>
              </w:rPr>
              <w:t xml:space="preserve"> or IA_</w:t>
            </w:r>
            <w:r w:rsidR="004449CD" w:rsidRPr="00FE44C4">
              <w:rPr>
                <w:rFonts w:asciiTheme="minorHAnsi" w:hAnsiTheme="minorHAnsi" w:cstheme="minorHAnsi"/>
                <w:sz w:val="24"/>
              </w:rPr>
              <w:t>Assets</w:t>
            </w:r>
            <w:r w:rsidR="004449CD">
              <w:rPr>
                <w:rFonts w:asciiTheme="minorHAnsi" w:hAnsiTheme="minorHAnsi" w:cstheme="minorHAnsi"/>
                <w:sz w:val="24"/>
              </w:rPr>
              <w:t>_DPSP</w:t>
            </w:r>
          </w:p>
          <w:p w14:paraId="742E24EB" w14:textId="740A6DE8" w:rsidR="00492763" w:rsidRPr="004449CD" w:rsidRDefault="00492763" w:rsidP="004449CD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IA_</w:t>
            </w:r>
            <w:r w:rsidR="004449CD">
              <w:rPr>
                <w:rFonts w:asciiTheme="minorHAnsi" w:hAnsiTheme="minorHAnsi" w:cstheme="minorHAnsi"/>
                <w:sz w:val="24"/>
              </w:rPr>
              <w:t>ATT_</w:t>
            </w:r>
            <w:r>
              <w:rPr>
                <w:rFonts w:asciiTheme="minorHAnsi" w:hAnsiTheme="minorHAnsi" w:cstheme="minorHAnsi"/>
                <w:sz w:val="24"/>
              </w:rPr>
              <w:t>Assets_RRSP</w:t>
            </w:r>
            <w:r w:rsidR="004449CD">
              <w:rPr>
                <w:rFonts w:asciiTheme="minorHAnsi" w:hAnsiTheme="minorHAnsi" w:cstheme="minorHAnsi"/>
                <w:sz w:val="24"/>
              </w:rPr>
              <w:t xml:space="preserve"> or IA_Assets_RRSP</w:t>
            </w:r>
          </w:p>
          <w:p w14:paraId="557CB2C8" w14:textId="418E81C3" w:rsidR="001011CE" w:rsidRDefault="00B82040" w:rsidP="001011CE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IA</w:t>
            </w:r>
            <w:r w:rsidR="001011CE" w:rsidRPr="00FE44C4">
              <w:rPr>
                <w:rFonts w:asciiTheme="minorHAnsi" w:hAnsiTheme="minorHAnsi" w:cstheme="minorHAnsi"/>
                <w:sz w:val="24"/>
              </w:rPr>
              <w:t>_Fees</w:t>
            </w:r>
          </w:p>
          <w:p w14:paraId="2B70E779" w14:textId="77777777" w:rsidR="001011CE" w:rsidRDefault="00B82040" w:rsidP="00B82040">
            <w:pPr>
              <w:pStyle w:val="TableParagraph"/>
              <w:numPr>
                <w:ilvl w:val="0"/>
                <w:numId w:val="2"/>
              </w:numPr>
              <w:spacing w:line="273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IA</w:t>
            </w:r>
            <w:r w:rsidR="001011CE" w:rsidRPr="00FE44C4">
              <w:rPr>
                <w:rFonts w:asciiTheme="minorHAnsi" w:hAnsiTheme="minorHAnsi" w:cstheme="minorHAnsi"/>
                <w:sz w:val="24"/>
              </w:rPr>
              <w:t>_Fund_Returns_Core</w:t>
            </w:r>
          </w:p>
          <w:p w14:paraId="75763625" w14:textId="66B0E5E8" w:rsidR="00F51D49" w:rsidRPr="00B82040" w:rsidRDefault="00F51D49" w:rsidP="00F51D49">
            <w:pPr>
              <w:pStyle w:val="TableParagraph"/>
              <w:spacing w:line="273" w:lineRule="exact"/>
              <w:ind w:left="467"/>
              <w:rPr>
                <w:rFonts w:asciiTheme="minorHAnsi" w:hAnsiTheme="minorHAnsi" w:cstheme="minorHAnsi"/>
                <w:sz w:val="24"/>
              </w:rPr>
            </w:pPr>
          </w:p>
        </w:tc>
      </w:tr>
      <w:tr w:rsidR="00E15907" w14:paraId="39B1F31F" w14:textId="77777777" w:rsidTr="00A96097">
        <w:tc>
          <w:tcPr>
            <w:tcW w:w="993" w:type="dxa"/>
          </w:tcPr>
          <w:p w14:paraId="3D3B2E40" w14:textId="33BFE004" w:rsidR="00E15907" w:rsidRDefault="001011CE" w:rsidP="00E15907">
            <w:r>
              <w:t>5</w:t>
            </w:r>
          </w:p>
        </w:tc>
        <w:tc>
          <w:tcPr>
            <w:tcW w:w="2126" w:type="dxa"/>
          </w:tcPr>
          <w:p w14:paraId="4929C38F" w14:textId="77777777" w:rsidR="00A96097" w:rsidRDefault="00A96097" w:rsidP="00E15907">
            <w:pPr>
              <w:rPr>
                <w:rFonts w:asciiTheme="minorHAnsi" w:hAnsiTheme="minorHAnsi" w:cstheme="minorHAnsi"/>
                <w:sz w:val="24"/>
              </w:rPr>
            </w:pPr>
          </w:p>
          <w:p w14:paraId="226A2598" w14:textId="77711B1B" w:rsidR="00E15907" w:rsidRDefault="00E15907" w:rsidP="00E15907">
            <w:r>
              <w:rPr>
                <w:rFonts w:asciiTheme="minorHAnsi" w:hAnsiTheme="minorHAnsi" w:cstheme="minorHAnsi"/>
                <w:sz w:val="24"/>
              </w:rPr>
              <w:t xml:space="preserve">Run the </w:t>
            </w:r>
            <w:r w:rsidRPr="00E27048">
              <w:rPr>
                <w:rFonts w:asciiTheme="minorHAnsi" w:hAnsiTheme="minorHAnsi" w:cstheme="minorHAnsi"/>
                <w:sz w:val="24"/>
              </w:rPr>
              <w:t>ETL_All_Modules</w:t>
            </w:r>
            <w:r>
              <w:rPr>
                <w:rFonts w:asciiTheme="minorHAnsi" w:hAnsiTheme="minorHAnsi" w:cstheme="minorHAnsi"/>
                <w:sz w:val="24"/>
              </w:rPr>
              <w:t xml:space="preserve"> file in the code folder</w:t>
            </w:r>
          </w:p>
        </w:tc>
        <w:tc>
          <w:tcPr>
            <w:tcW w:w="8080" w:type="dxa"/>
          </w:tcPr>
          <w:p w14:paraId="4927AE19" w14:textId="77777777" w:rsidR="00E15907" w:rsidRDefault="00E15907" w:rsidP="00E15907">
            <w:pPr>
              <w:pStyle w:val="TableParagraph"/>
              <w:spacing w:line="259" w:lineRule="exact"/>
              <w:jc w:val="both"/>
              <w:rPr>
                <w:rFonts w:asciiTheme="minorHAnsi" w:hAnsiTheme="minorHAnsi" w:cstheme="minorHAnsi"/>
                <w:sz w:val="24"/>
              </w:rPr>
            </w:pPr>
          </w:p>
          <w:p w14:paraId="735C914D" w14:textId="7093B43A" w:rsidR="00E15907" w:rsidRDefault="00E15907" w:rsidP="000A1EF2">
            <w:pPr>
              <w:pStyle w:val="TableParagraph"/>
              <w:spacing w:line="259" w:lineRule="exact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Follow the prompts when running the file to update the data. All raw &amp; cleaned data will be archived by date in the appropriate folders. </w:t>
            </w:r>
          </w:p>
          <w:p w14:paraId="02A47044" w14:textId="38F8AE9A" w:rsidR="00210715" w:rsidRPr="00210715" w:rsidRDefault="00E15907" w:rsidP="00210715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Additionally, a backup of the current database will</w:t>
            </w:r>
            <w:r w:rsidR="00210715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also be archived by date in the appropriate folders.</w:t>
            </w:r>
            <w:r w:rsidR="00210715">
              <w:rPr>
                <w:rFonts w:asciiTheme="minorHAnsi" w:hAnsiTheme="minorHAnsi" w:cstheme="minorHAnsi"/>
                <w:sz w:val="24"/>
              </w:rPr>
              <w:t xml:space="preserve">  Once that is completed run </w:t>
            </w:r>
            <w:r w:rsidR="00DB6592">
              <w:rPr>
                <w:rFonts w:asciiTheme="minorHAnsi" w:hAnsiTheme="minorHAnsi" w:cstheme="minorHAnsi"/>
                <w:sz w:val="24"/>
              </w:rPr>
              <w:t>“</w:t>
            </w:r>
            <w:r w:rsidR="00210715" w:rsidRPr="00210715">
              <w:rPr>
                <w:rFonts w:asciiTheme="minorHAnsi" w:hAnsiTheme="minorHAnsi" w:cstheme="minorHAnsi"/>
                <w:sz w:val="24"/>
              </w:rPr>
              <w:t>dbt seed --full-refresh</w:t>
            </w:r>
            <w:r w:rsidR="00DB6592">
              <w:rPr>
                <w:rFonts w:asciiTheme="minorHAnsi" w:hAnsiTheme="minorHAnsi" w:cstheme="minorHAnsi"/>
                <w:sz w:val="24"/>
              </w:rPr>
              <w:t>”</w:t>
            </w:r>
          </w:p>
          <w:p w14:paraId="3C17F323" w14:textId="5B7B5692" w:rsidR="00210715" w:rsidRDefault="00210715" w:rsidP="00210715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and </w:t>
            </w:r>
            <w:r w:rsidR="00DB6592">
              <w:rPr>
                <w:rFonts w:asciiTheme="minorHAnsi" w:hAnsiTheme="minorHAnsi" w:cstheme="minorHAnsi"/>
                <w:sz w:val="24"/>
              </w:rPr>
              <w:t>“</w:t>
            </w:r>
            <w:r>
              <w:rPr>
                <w:rFonts w:asciiTheme="minorHAnsi" w:hAnsiTheme="minorHAnsi" w:cstheme="minorHAnsi"/>
                <w:sz w:val="24"/>
              </w:rPr>
              <w:t>dbt run</w:t>
            </w:r>
            <w:r w:rsidR="00DB6592">
              <w:rPr>
                <w:rFonts w:asciiTheme="minorHAnsi" w:hAnsiTheme="minorHAnsi" w:cstheme="minorHAnsi"/>
                <w:sz w:val="24"/>
              </w:rPr>
              <w:t>”</w:t>
            </w:r>
            <w:r>
              <w:rPr>
                <w:rFonts w:asciiTheme="minorHAnsi" w:hAnsiTheme="minorHAnsi" w:cstheme="minorHAnsi"/>
                <w:sz w:val="24"/>
              </w:rPr>
              <w:t xml:space="preserve"> to complete the data transformations.</w:t>
            </w:r>
          </w:p>
          <w:p w14:paraId="5D30F19D" w14:textId="77777777" w:rsidR="00E15907" w:rsidRDefault="00E15907" w:rsidP="00E15907"/>
        </w:tc>
      </w:tr>
      <w:tr w:rsidR="001011CE" w14:paraId="29DA3FD3" w14:textId="77777777" w:rsidTr="001011CE">
        <w:trPr>
          <w:trHeight w:val="85"/>
        </w:trPr>
        <w:tc>
          <w:tcPr>
            <w:tcW w:w="993" w:type="dxa"/>
          </w:tcPr>
          <w:p w14:paraId="77D2E703" w14:textId="0767DDD4" w:rsidR="001011CE" w:rsidRDefault="001011CE" w:rsidP="00E15907">
            <w:r>
              <w:rPr>
                <w:rFonts w:asciiTheme="minorHAnsi" w:hAnsiTheme="minorHAnsi" w:cstheme="minorHAnsi"/>
                <w:b/>
                <w:sz w:val="24"/>
              </w:rPr>
              <w:lastRenderedPageBreak/>
              <w:t xml:space="preserve">  </w:t>
            </w:r>
            <w:r w:rsidRPr="009D1CBF">
              <w:rPr>
                <w:rFonts w:asciiTheme="minorHAnsi" w:hAnsiTheme="minorHAnsi" w:cstheme="minorHAnsi"/>
                <w:b/>
                <w:sz w:val="24"/>
              </w:rPr>
              <w:t>Part C</w:t>
            </w:r>
          </w:p>
        </w:tc>
        <w:tc>
          <w:tcPr>
            <w:tcW w:w="2126" w:type="dxa"/>
          </w:tcPr>
          <w:p w14:paraId="70F54BB5" w14:textId="77777777" w:rsidR="001011CE" w:rsidRDefault="001011CE" w:rsidP="00E1590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080" w:type="dxa"/>
          </w:tcPr>
          <w:p w14:paraId="0D665512" w14:textId="77777777" w:rsidR="001011CE" w:rsidRDefault="001011CE" w:rsidP="00E15907">
            <w:pPr>
              <w:pStyle w:val="TableParagraph"/>
              <w:spacing w:line="259" w:lineRule="exact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1011CE" w14:paraId="1AC47699" w14:textId="77777777" w:rsidTr="00A96097">
        <w:tc>
          <w:tcPr>
            <w:tcW w:w="993" w:type="dxa"/>
          </w:tcPr>
          <w:p w14:paraId="6B26DE2A" w14:textId="36B5B8E0" w:rsidR="001011CE" w:rsidRDefault="001011CE" w:rsidP="00A9609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26" w:type="dxa"/>
          </w:tcPr>
          <w:p w14:paraId="4D25D48A" w14:textId="74823F51" w:rsidR="001011CE" w:rsidRDefault="001011CE" w:rsidP="00A9609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Funds Review BI</w:t>
            </w:r>
          </w:p>
        </w:tc>
        <w:tc>
          <w:tcPr>
            <w:tcW w:w="8080" w:type="dxa"/>
          </w:tcPr>
          <w:p w14:paraId="3F577F89" w14:textId="77777777" w:rsidR="001011CE" w:rsidRDefault="001011CE" w:rsidP="00A96097">
            <w:pPr>
              <w:pStyle w:val="TableParagraph"/>
              <w:spacing w:line="259" w:lineRule="exact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1011CE" w14:paraId="33C99052" w14:textId="77777777" w:rsidTr="00A96097">
        <w:tc>
          <w:tcPr>
            <w:tcW w:w="993" w:type="dxa"/>
          </w:tcPr>
          <w:p w14:paraId="3627C3CC" w14:textId="43C3ED61" w:rsidR="001011CE" w:rsidRDefault="001011CE" w:rsidP="00A9609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126" w:type="dxa"/>
          </w:tcPr>
          <w:p w14:paraId="3015F8E0" w14:textId="77777777" w:rsidR="001011CE" w:rsidRDefault="001011CE" w:rsidP="00A96097">
            <w:pPr>
              <w:pStyle w:val="TableParagraph"/>
              <w:spacing w:line="273" w:lineRule="exact"/>
              <w:ind w:left="0"/>
              <w:rPr>
                <w:rFonts w:asciiTheme="minorHAnsi" w:hAnsiTheme="minorHAnsi" w:cstheme="minorHAnsi"/>
                <w:sz w:val="24"/>
              </w:rPr>
            </w:pPr>
          </w:p>
          <w:p w14:paraId="55F96431" w14:textId="77777777" w:rsidR="001011CE" w:rsidRDefault="001011CE" w:rsidP="00A96097">
            <w:pPr>
              <w:pStyle w:val="TableParagraph"/>
              <w:spacing w:line="273" w:lineRule="exact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Refresh the BI data.</w:t>
            </w:r>
          </w:p>
          <w:p w14:paraId="2E8F3DB4" w14:textId="4E766BE4" w:rsidR="001011CE" w:rsidRDefault="001011CE" w:rsidP="00A9609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080" w:type="dxa"/>
          </w:tcPr>
          <w:p w14:paraId="5B859C31" w14:textId="77777777" w:rsidR="001011CE" w:rsidRDefault="001011CE" w:rsidP="00A96097">
            <w:pPr>
              <w:pStyle w:val="TableParagraph"/>
              <w:spacing w:line="276" w:lineRule="exact"/>
              <w:ind w:hanging="1"/>
              <w:rPr>
                <w:rFonts w:asciiTheme="minorHAnsi" w:hAnsiTheme="minorHAnsi" w:cstheme="minorHAnsi"/>
                <w:sz w:val="24"/>
              </w:rPr>
            </w:pPr>
          </w:p>
          <w:p w14:paraId="483EFF00" w14:textId="2FC5EF53" w:rsidR="001011CE" w:rsidRDefault="001011CE" w:rsidP="00A96097">
            <w:pPr>
              <w:pStyle w:val="TableParagraph"/>
              <w:spacing w:line="259" w:lineRule="exact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Refresh the BI data</w:t>
            </w:r>
          </w:p>
        </w:tc>
      </w:tr>
    </w:tbl>
    <w:p w14:paraId="50DBF62E" w14:textId="77777777" w:rsidR="00A96097" w:rsidRDefault="00A96097"/>
    <w:sectPr w:rsidR="00A96097" w:rsidSect="00F8286F">
      <w:pgSz w:w="12240" w:h="15840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F73E0"/>
    <w:multiLevelType w:val="hybridMultilevel"/>
    <w:tmpl w:val="08F297E4"/>
    <w:lvl w:ilvl="0" w:tplc="DF100D3C">
      <w:numFmt w:val="bullet"/>
      <w:lvlText w:val="-"/>
      <w:lvlJc w:val="left"/>
      <w:pPr>
        <w:ind w:left="467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79811087"/>
    <w:multiLevelType w:val="hybridMultilevel"/>
    <w:tmpl w:val="694E5086"/>
    <w:lvl w:ilvl="0" w:tplc="EA56913E">
      <w:numFmt w:val="bullet"/>
      <w:lvlText w:val="-"/>
      <w:lvlJc w:val="left"/>
      <w:pPr>
        <w:ind w:left="467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832994087">
    <w:abstractNumId w:val="0"/>
  </w:num>
  <w:num w:numId="2" w16cid:durableId="1941840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07"/>
    <w:rsid w:val="000A1EF2"/>
    <w:rsid w:val="001011CE"/>
    <w:rsid w:val="00210715"/>
    <w:rsid w:val="004449CD"/>
    <w:rsid w:val="00492763"/>
    <w:rsid w:val="00727077"/>
    <w:rsid w:val="009A535B"/>
    <w:rsid w:val="00A96097"/>
    <w:rsid w:val="00AD6729"/>
    <w:rsid w:val="00B82040"/>
    <w:rsid w:val="00BB45DF"/>
    <w:rsid w:val="00DB6592"/>
    <w:rsid w:val="00E15907"/>
    <w:rsid w:val="00F51D49"/>
    <w:rsid w:val="00F8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7196"/>
  <w15:chartTrackingRefBased/>
  <w15:docId w15:val="{A99245A5-7A12-4C67-988C-A061207B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9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590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5907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15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15907"/>
    <w:pPr>
      <w:ind w:left="107"/>
    </w:pPr>
  </w:style>
  <w:style w:type="paragraph" w:styleId="ListParagraph">
    <w:name w:val="List Paragraph"/>
    <w:basedOn w:val="Normal"/>
    <w:uiPriority w:val="34"/>
    <w:qFormat/>
    <w:rsid w:val="00A9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Benvenuto</dc:creator>
  <cp:keywords/>
  <dc:description/>
  <cp:lastModifiedBy>Joey Benvenuto</cp:lastModifiedBy>
  <cp:revision>13</cp:revision>
  <dcterms:created xsi:type="dcterms:W3CDTF">2023-01-20T18:38:00Z</dcterms:created>
  <dcterms:modified xsi:type="dcterms:W3CDTF">2024-04-23T16:43:00Z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2023-01-20T19:35:01Z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1858c8ec-42a6-4072-bbc8-c006f136980d</vt:lpwstr>
  </property>
  <property fmtid="{D5CDD505-2E9C-101B-9397-08002B2CF9AE}" pid="7" name="MSIP_Label_defa4170-0d19-0005-0004-bc88714345d2_ActionId">
    <vt:lpwstr>46f9cc56-47af-481a-b7c2-d9b4f738e5ad</vt:lpwstr>
  </property>
  <property fmtid="{D5CDD505-2E9C-101B-9397-08002B2CF9AE}" pid="8" name="MSIP_Label_defa4170-0d19-0005-0004-bc88714345d2_ContentBits">
    <vt:lpwstr>0</vt:lpwstr>
  </property>
</Properties>
</file>