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6F16" w14:textId="77777777" w:rsidR="00CA3CC0" w:rsidRDefault="00CE0BD2" w:rsidP="00CE0BD2">
      <w:r w:rsidRPr="00CE0BD2">
        <w:br/>
      </w:r>
    </w:p>
    <w:p w14:paraId="0B210547" w14:textId="77777777" w:rsidR="00CA3CC0" w:rsidRDefault="00CA3CC0" w:rsidP="00CE0BD2"/>
    <w:p w14:paraId="416D387F" w14:textId="77777777" w:rsidR="00CA3CC0" w:rsidRDefault="00CA3CC0" w:rsidP="00CE0BD2"/>
    <w:p w14:paraId="7CC420C7" w14:textId="77777777" w:rsidR="00CA3CC0" w:rsidRDefault="00CA3CC0" w:rsidP="00CE0BD2"/>
    <w:p w14:paraId="77463A92" w14:textId="77777777" w:rsidR="00CA3CC0" w:rsidRDefault="00CA3CC0" w:rsidP="00CE0BD2"/>
    <w:p w14:paraId="65DEA8B8" w14:textId="77777777" w:rsidR="00CA3CC0" w:rsidRDefault="00CA3CC0" w:rsidP="00CE0BD2"/>
    <w:p w14:paraId="30FFB4FF" w14:textId="77777777" w:rsidR="00CA3CC0" w:rsidRDefault="00CA3CC0" w:rsidP="00CE0BD2"/>
    <w:p w14:paraId="3C55D51E" w14:textId="77777777" w:rsidR="00CA3CC0" w:rsidRDefault="00CA3CC0" w:rsidP="00CE0BD2"/>
    <w:p w14:paraId="1D00019D" w14:textId="29FB83E5" w:rsidR="00CE0BD2" w:rsidRPr="00CE0BD2" w:rsidRDefault="00CE0BD2" w:rsidP="00CE0BD2">
      <w:r w:rsidRPr="00CE0BD2">
        <w:br/>
      </w:r>
    </w:p>
    <w:p w14:paraId="244A9DE2" w14:textId="686BC475" w:rsidR="00CE0BD2" w:rsidRPr="00CE0BD2" w:rsidRDefault="00CE0BD2" w:rsidP="000C3AF9">
      <w:pPr>
        <w:jc w:val="center"/>
      </w:pPr>
      <w:r w:rsidRPr="00CE0BD2">
        <w:rPr>
          <w:b/>
          <w:bCs/>
        </w:rPr>
        <w:t>The Nexus of Macroeconomic Policy Quality on Inflation: An Examination on Government Regulation and Its Effect on</w:t>
      </w:r>
      <w:r w:rsidR="00CA3CC0">
        <w:rPr>
          <w:b/>
          <w:bCs/>
        </w:rPr>
        <w:t xml:space="preserve"> Consumers</w:t>
      </w:r>
    </w:p>
    <w:p w14:paraId="5D97A344" w14:textId="77777777" w:rsidR="00CE0BD2" w:rsidRPr="00CE0BD2" w:rsidRDefault="00CE0BD2" w:rsidP="000C3AF9">
      <w:pPr>
        <w:jc w:val="center"/>
      </w:pPr>
      <w:r w:rsidRPr="00CE0BD2">
        <w:t>Joseph Russoniello</w:t>
      </w:r>
    </w:p>
    <w:p w14:paraId="1D5F6270" w14:textId="77777777" w:rsidR="00CE0BD2" w:rsidRPr="00CE0BD2" w:rsidRDefault="00CE0BD2" w:rsidP="000C3AF9">
      <w:pPr>
        <w:jc w:val="center"/>
      </w:pPr>
      <w:r w:rsidRPr="00CE0BD2">
        <w:t>Boston University</w:t>
      </w:r>
    </w:p>
    <w:p w14:paraId="6F502A64" w14:textId="77777777" w:rsidR="00CE0BD2" w:rsidRPr="00CE0BD2" w:rsidRDefault="00CE0BD2" w:rsidP="000C3AF9">
      <w:pPr>
        <w:jc w:val="center"/>
      </w:pPr>
      <w:r w:rsidRPr="00CE0BD2">
        <w:t>Professor Stacy Gelsheimer</w:t>
      </w:r>
    </w:p>
    <w:p w14:paraId="71773802" w14:textId="77777777" w:rsidR="00CE0BD2" w:rsidRPr="00CE0BD2" w:rsidRDefault="00CE0BD2" w:rsidP="000C3AF9">
      <w:pPr>
        <w:jc w:val="center"/>
      </w:pPr>
      <w:r w:rsidRPr="00CE0BD2">
        <w:t>4/27/2025</w:t>
      </w:r>
    </w:p>
    <w:p w14:paraId="6D4BD150" w14:textId="77777777" w:rsidR="00CE0BD2" w:rsidRDefault="00CE0BD2">
      <w:pPr>
        <w:rPr>
          <w:b/>
          <w:bCs/>
        </w:rPr>
      </w:pPr>
      <w:r>
        <w:rPr>
          <w:b/>
          <w:bCs/>
        </w:rPr>
        <w:br w:type="page"/>
      </w:r>
    </w:p>
    <w:p w14:paraId="05ACA455" w14:textId="5CCCC2A4" w:rsidR="00CE0BD2" w:rsidRPr="00CE0BD2" w:rsidRDefault="00CE0BD2" w:rsidP="00395BFB">
      <w:pPr>
        <w:jc w:val="center"/>
      </w:pPr>
      <w:r w:rsidRPr="00CE0BD2">
        <w:rPr>
          <w:b/>
          <w:bCs/>
        </w:rPr>
        <w:lastRenderedPageBreak/>
        <w:t>Abstract</w:t>
      </w:r>
    </w:p>
    <w:p w14:paraId="4B29113E" w14:textId="4A62B803" w:rsidR="00CE0BD2" w:rsidRPr="00CE0BD2" w:rsidRDefault="00CE0BD2" w:rsidP="000C3AF9">
      <w:pPr>
        <w:spacing w:line="480" w:lineRule="auto"/>
        <w:jc w:val="both"/>
      </w:pPr>
      <w:r w:rsidRPr="00CE0BD2">
        <w:t>This paper investigates the relationship between the quality of a nation's macroeconomic policy, as measured by the World Bank's CPIA Macroeconomic Management Index, and its inflation rate. Using a panel dataset of 75 countries from 2005 to 2016, we estimate several fixed effects models to examine this relationship</w:t>
      </w:r>
      <w:r w:rsidR="007F218E">
        <w:t xml:space="preserve">. </w:t>
      </w:r>
      <w:r w:rsidR="00B409E8">
        <w:t>Our r</w:t>
      </w:r>
      <w:r w:rsidRPr="00CE0BD2">
        <w:t xml:space="preserve">esults indicate that while higher macroeconomic policy ratings are associated with lower inflation rates, this relationship is </w:t>
      </w:r>
      <w:r w:rsidR="00B409E8">
        <w:t>dependent on the</w:t>
      </w:r>
      <w:r w:rsidRPr="00CE0BD2">
        <w:t xml:space="preserve"> country's export volume. </w:t>
      </w:r>
      <w:r w:rsidR="005C0C30">
        <w:t xml:space="preserve"> </w:t>
      </w:r>
      <w:r w:rsidRPr="00CE0BD2">
        <w:t>Furthermore, macroeconomic policy quality only achieves statistical significance</w:t>
      </w:r>
      <w:r w:rsidR="00B409E8">
        <w:t xml:space="preserve"> after</w:t>
      </w:r>
      <w:r w:rsidRPr="00CE0BD2">
        <w:t xml:space="preserve"> accounting for domestic financial sector credit growth and broader structural factors</w:t>
      </w:r>
      <w:r w:rsidR="005C0C30">
        <w:t>, including</w:t>
      </w:r>
      <w:r w:rsidRPr="00CE0BD2">
        <w:t xml:space="preserve"> social equity, debt management, and property rights.</w:t>
      </w:r>
    </w:p>
    <w:p w14:paraId="0187527E" w14:textId="77777777" w:rsidR="00CE0BD2" w:rsidRPr="00CE0BD2" w:rsidRDefault="00000000" w:rsidP="00CE0BD2">
      <w:r>
        <w:pict w14:anchorId="3FF7B5A3">
          <v:rect id="_x0000_i1025" style="width:0;height:1.5pt" o:hralign="center" o:hrstd="t" o:hr="t" fillcolor="#a0a0a0" stroked="f"/>
        </w:pict>
      </w:r>
    </w:p>
    <w:p w14:paraId="5F9BBAE6" w14:textId="77777777" w:rsidR="00CE0BD2" w:rsidRDefault="00CE0BD2">
      <w:pPr>
        <w:rPr>
          <w:b/>
          <w:bCs/>
        </w:rPr>
      </w:pPr>
      <w:r>
        <w:rPr>
          <w:b/>
          <w:bCs/>
        </w:rPr>
        <w:br w:type="page"/>
      </w:r>
    </w:p>
    <w:p w14:paraId="3CEC1BF2" w14:textId="2BEC0FED" w:rsidR="008360D0" w:rsidRDefault="00CE0BD2" w:rsidP="00B33DFD">
      <w:pPr>
        <w:jc w:val="center"/>
      </w:pPr>
      <w:r w:rsidRPr="00CE0BD2">
        <w:rPr>
          <w:b/>
          <w:bCs/>
        </w:rPr>
        <w:lastRenderedPageBreak/>
        <w:t>Introduction</w:t>
      </w:r>
    </w:p>
    <w:p w14:paraId="25C7083D" w14:textId="2563CF2B" w:rsidR="008360D0" w:rsidRDefault="00241D80" w:rsidP="008360D0">
      <w:pPr>
        <w:spacing w:line="480" w:lineRule="auto"/>
        <w:ind w:firstLine="720"/>
        <w:jc w:val="both"/>
      </w:pPr>
      <w:r w:rsidRPr="00241D80">
        <w:t xml:space="preserve">In the lead-up to the 2024 U.S. presidential election, inflation emerged as a paramount concern among voters. A Pew Research Center survey conducted in May 2024 found that 62% of Americans considered inflation a </w:t>
      </w:r>
      <w:r>
        <w:t>“</w:t>
      </w:r>
      <w:r w:rsidRPr="00241D80">
        <w:t>very big</w:t>
      </w:r>
      <w:r>
        <w:t xml:space="preserve">” </w:t>
      </w:r>
      <w:r w:rsidRPr="00241D80">
        <w:t>problem for the country</w:t>
      </w:r>
      <w:r>
        <w:t xml:space="preserve"> (</w:t>
      </w:r>
      <w:r w:rsidR="00A46EFC">
        <w:t>Nadeem</w:t>
      </w:r>
      <w:r>
        <w:t>, 2024)</w:t>
      </w:r>
      <w:r w:rsidR="00B4312C">
        <w:t>, and many Americans considered an administration’s proposed economic policy as a key factor in their voting decisions</w:t>
      </w:r>
      <w:r w:rsidRPr="00241D80">
        <w:t>.</w:t>
      </w:r>
      <w:r>
        <w:t xml:space="preserve"> </w:t>
      </w:r>
      <w:r w:rsidR="008360D0" w:rsidRPr="008360D0">
        <w:t xml:space="preserve">This </w:t>
      </w:r>
      <w:r w:rsidR="0004585A">
        <w:t>study</w:t>
      </w:r>
      <w:r w:rsidR="008360D0" w:rsidRPr="008360D0">
        <w:t xml:space="preserve"> investigates the role of macroeconomic management quality in shaping inflation outcomes, focusing on whether stronger</w:t>
      </w:r>
      <w:r w:rsidR="0004585A">
        <w:t xml:space="preserve"> macroeconomic policy</w:t>
      </w:r>
      <w:r w:rsidR="008360D0" w:rsidRPr="008360D0">
        <w:t xml:space="preserve">, as measured by the World Bank's CPIA Macroeconomic Management Index, reliably </w:t>
      </w:r>
      <w:r w:rsidR="0004585A">
        <w:t>suppresses</w:t>
      </w:r>
      <w:r w:rsidR="008360D0" w:rsidRPr="008360D0">
        <w:t xml:space="preserve"> inflation. In contrast to prior work that often links inflation outcomes to broader governance or monetary policy stances, we explicitly test whether the effectiveness of macroeconomic quality is contingent on external factors such as trade exposure.</w:t>
      </w:r>
      <w:r w:rsidR="00487B01">
        <w:t xml:space="preserve"> </w:t>
      </w:r>
    </w:p>
    <w:p w14:paraId="711402E5" w14:textId="4722D57F" w:rsidR="008E67D1" w:rsidRDefault="0004585A" w:rsidP="009A300E">
      <w:pPr>
        <w:spacing w:line="480" w:lineRule="auto"/>
        <w:ind w:firstLine="720"/>
        <w:jc w:val="both"/>
      </w:pPr>
      <w:r>
        <w:t>Though</w:t>
      </w:r>
      <w:r w:rsidRPr="00B33DFD">
        <w:t xml:space="preserve"> stronger macroeconomic management is traditionally expected to stabilize inflation, the substantial spread in inflation outcomes across varying policy quality levels</w:t>
      </w:r>
      <w:r w:rsidR="009A300E">
        <w:t>,</w:t>
      </w:r>
      <w:r w:rsidRPr="00B33DFD">
        <w:t xml:space="preserve"> visualized in Figure </w:t>
      </w:r>
      <w:r>
        <w:t>1</w:t>
      </w:r>
      <w:r w:rsidR="009A300E">
        <w:t>,</w:t>
      </w:r>
      <w:r w:rsidRPr="00B33DFD">
        <w:t xml:space="preserve"> indicates that additional factors likely shape inflation dynamics</w:t>
      </w:r>
      <w:r>
        <w:t>, motivating the specific regression techniques used in this report</w:t>
      </w:r>
      <w:r w:rsidRPr="00B33DFD">
        <w:t>.</w:t>
      </w:r>
      <w:r>
        <w:t xml:space="preserve"> T</w:t>
      </w:r>
      <w:r w:rsidR="00CE0BD2" w:rsidRPr="00CE0BD2">
        <w:t xml:space="preserve">his paper </w:t>
      </w:r>
      <w:r w:rsidR="00B4312C">
        <w:t xml:space="preserve">finds </w:t>
      </w:r>
      <w:r w:rsidR="009A300E">
        <w:t xml:space="preserve">that the impact of a nation’s macroeconomic management quality is associated with an expected decrease in inflation, but is dependent on that nation’s export volumes, controlling for broader institutional and financial sector quality. </w:t>
      </w:r>
    </w:p>
    <w:p w14:paraId="7CE37E5C" w14:textId="173070AC" w:rsidR="009A300E" w:rsidRPr="00CE0BD2" w:rsidRDefault="009A300E" w:rsidP="009A300E">
      <w:pPr>
        <w:spacing w:line="480" w:lineRule="auto"/>
        <w:jc w:val="both"/>
      </w:pPr>
      <w:r w:rsidRPr="009A300E">
        <w:rPr>
          <w:i/>
          <w:iCs/>
        </w:rPr>
        <w:lastRenderedPageBreak/>
        <w:t>Figure 1: Variance of Inflation % with respect to CPIA Macroeconomic Management</w:t>
      </w:r>
      <w:r w:rsidRPr="009A300E">
        <w:rPr>
          <w:noProof/>
        </w:rPr>
        <w:drawing>
          <wp:inline distT="0" distB="0" distL="0" distR="0" wp14:anchorId="3D34C245" wp14:editId="01A98F14">
            <wp:extent cx="5943600" cy="4434205"/>
            <wp:effectExtent l="0" t="0" r="0" b="4445"/>
            <wp:docPr id="209009640"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9640" name="Picture 1" descr="A graph of a diagram&#10;&#10;AI-generated content may be incorrect."/>
                    <pic:cNvPicPr/>
                  </pic:nvPicPr>
                  <pic:blipFill>
                    <a:blip r:embed="rId7"/>
                    <a:stretch>
                      <a:fillRect/>
                    </a:stretch>
                  </pic:blipFill>
                  <pic:spPr>
                    <a:xfrm>
                      <a:off x="0" y="0"/>
                      <a:ext cx="5943600" cy="4434205"/>
                    </a:xfrm>
                    <a:prstGeom prst="rect">
                      <a:avLst/>
                    </a:prstGeom>
                  </pic:spPr>
                </pic:pic>
              </a:graphicData>
            </a:graphic>
          </wp:inline>
        </w:drawing>
      </w:r>
    </w:p>
    <w:p w14:paraId="37ABC8F9" w14:textId="77777777" w:rsidR="00CE0BD2" w:rsidRPr="00CE0BD2" w:rsidRDefault="00CE0BD2" w:rsidP="000C3AF9">
      <w:pPr>
        <w:jc w:val="center"/>
      </w:pPr>
      <w:r w:rsidRPr="00CE0BD2">
        <w:rPr>
          <w:b/>
          <w:bCs/>
        </w:rPr>
        <w:t>Literature Review</w:t>
      </w:r>
    </w:p>
    <w:p w14:paraId="1035D8A9" w14:textId="6CAF39D2" w:rsidR="00241D80" w:rsidRDefault="0008425B" w:rsidP="000C3AF9">
      <w:pPr>
        <w:spacing w:line="480" w:lineRule="auto"/>
        <w:ind w:firstLine="720"/>
        <w:jc w:val="both"/>
      </w:pPr>
      <w:r>
        <w:t>Existing research is lacking in its investigation of the isolated effect of macroeconomic management on consumer price inflation. However</w:t>
      </w:r>
      <w:r w:rsidR="001E5F15">
        <w:t>, e</w:t>
      </w:r>
      <w:r w:rsidR="00CE0BD2" w:rsidRPr="00CE0BD2">
        <w:t xml:space="preserve">conomic theory and </w:t>
      </w:r>
      <w:r w:rsidR="001E5F15">
        <w:t xml:space="preserve">existing </w:t>
      </w:r>
      <w:r w:rsidR="00CE0BD2" w:rsidRPr="00CE0BD2">
        <w:t>empirical research identify several pathways through which macroeconomic quality shapes inflation</w:t>
      </w:r>
      <w:r w:rsidR="001D6FFC">
        <w:t xml:space="preserve">. </w:t>
      </w:r>
    </w:p>
    <w:p w14:paraId="281CF0CE" w14:textId="21041706" w:rsidR="009A300E" w:rsidRDefault="00B33DFD" w:rsidP="007F218E">
      <w:pPr>
        <w:spacing w:line="480" w:lineRule="auto"/>
        <w:ind w:firstLine="720"/>
        <w:jc w:val="both"/>
      </w:pPr>
      <w:r>
        <w:t>Taken from classical economics, t</w:t>
      </w:r>
      <w:r w:rsidR="00CE0BD2" w:rsidRPr="00CE0BD2">
        <w:t>he Phillips curve</w:t>
      </w:r>
      <w:r>
        <w:t xml:space="preserve"> demonstrates the</w:t>
      </w:r>
      <w:r w:rsidR="00CE0BD2" w:rsidRPr="00CE0BD2">
        <w:t xml:space="preserve"> relationship between </w:t>
      </w:r>
      <w:r>
        <w:t xml:space="preserve">economic </w:t>
      </w:r>
      <w:r w:rsidR="00CE0BD2" w:rsidRPr="00CE0BD2">
        <w:t xml:space="preserve">output and inflation, with faster GDP growth or lower unemployment leading to upward price pressures (Phillips, 1958; Friedman, 1968). </w:t>
      </w:r>
      <w:r>
        <w:t>Modern e</w:t>
      </w:r>
      <w:r w:rsidR="00CE0BD2" w:rsidRPr="00CE0BD2">
        <w:t xml:space="preserve">mpirical </w:t>
      </w:r>
      <w:r w:rsidR="00CE0BD2" w:rsidRPr="00CE0BD2">
        <w:lastRenderedPageBreak/>
        <w:t>findings</w:t>
      </w:r>
      <w:r w:rsidR="00A52B96">
        <w:t xml:space="preserve"> </w:t>
      </w:r>
      <w:r w:rsidR="00CE0BD2" w:rsidRPr="00CE0BD2">
        <w:t xml:space="preserve">confirm that demand-side pressures intensify inflation, </w:t>
      </w:r>
      <w:r w:rsidR="00FC3EB0">
        <w:t xml:space="preserve">potentially </w:t>
      </w:r>
      <w:r w:rsidR="00CE0BD2" w:rsidRPr="00CE0BD2">
        <w:t>necessitating GDP controls.</w:t>
      </w:r>
      <w:r w:rsidR="00241D80">
        <w:t xml:space="preserve"> </w:t>
      </w:r>
      <w:r w:rsidR="009A300E">
        <w:t xml:space="preserve"> </w:t>
      </w:r>
      <w:r w:rsidR="00CE0BD2" w:rsidRPr="00CE0BD2">
        <w:t>Income levels, proxied by GDP per capita, also modulate inflation dynamics. Developed economies exhibit stable, low inflation rates, whereas developing nations often experience greater volatility (Ha, Kose, &amp; Ohnsorge, 2019). Credit growth similarly plays a vital role; rapid financial expansion can fuel demand and thus inflation (Choi &amp; Cook,</w:t>
      </w:r>
      <w:r w:rsidR="00A52B96">
        <w:t xml:space="preserve"> 2002</w:t>
      </w:r>
      <w:r w:rsidR="00CE0BD2" w:rsidRPr="00CE0BD2">
        <w:t>).</w:t>
      </w:r>
      <w:r>
        <w:t xml:space="preserve"> Prior research has also found that e</w:t>
      </w:r>
      <w:r w:rsidR="00CE0BD2" w:rsidRPr="00CE0BD2">
        <w:t>xport booms or trade price volatility affect domestic inflation via terms-of-trade mechanisms</w:t>
      </w:r>
      <w:r w:rsidR="007F218E">
        <w:t xml:space="preserve"> </w:t>
      </w:r>
      <w:r w:rsidR="007F218E" w:rsidRPr="007F218E">
        <w:t>(Frankel &amp; Orszag, 2001)</w:t>
      </w:r>
      <w:r w:rsidR="00126CA5">
        <w:t xml:space="preserve">. </w:t>
      </w:r>
      <w:r w:rsidR="00CE0BD2" w:rsidRPr="00CE0BD2">
        <w:t xml:space="preserve">Strong banking systems and regulatory frameworks </w:t>
      </w:r>
      <w:r w:rsidR="00FC3EB0">
        <w:t xml:space="preserve">help </w:t>
      </w:r>
      <w:r w:rsidR="00CE0BD2" w:rsidRPr="00CE0BD2">
        <w:t xml:space="preserve">stabilize inflation (Mishkin, 2007), whereas corruption and weak institutions exacerbate volatility </w:t>
      </w:r>
      <w:r w:rsidR="007F218E" w:rsidRPr="007F218E">
        <w:t>(Salahodjaev &amp; Chepel, 2014)</w:t>
      </w:r>
      <w:r w:rsidR="007F218E">
        <w:t xml:space="preserve">. </w:t>
      </w:r>
      <w:r w:rsidR="0008425B">
        <w:t>Finally, i</w:t>
      </w:r>
      <w:r w:rsidR="00CE0BD2" w:rsidRPr="00CE0BD2">
        <w:t>nfrastructure deficiencies</w:t>
      </w:r>
      <w:r w:rsidR="0008425B">
        <w:t xml:space="preserve"> create </w:t>
      </w:r>
      <w:r w:rsidR="00CE0BD2" w:rsidRPr="00CE0BD2">
        <w:t>supply</w:t>
      </w:r>
      <w:r w:rsidR="0008425B">
        <w:t xml:space="preserve"> </w:t>
      </w:r>
      <w:r w:rsidR="00CE0BD2" w:rsidRPr="00CE0BD2">
        <w:t xml:space="preserve">bottlenecks </w:t>
      </w:r>
      <w:r w:rsidR="0008425B">
        <w:t xml:space="preserve">and </w:t>
      </w:r>
      <w:r w:rsidR="00CE0BD2" w:rsidRPr="00CE0BD2">
        <w:t>can further destabilize prices (Straub, 2011).</w:t>
      </w:r>
      <w:r w:rsidR="00241D80" w:rsidRPr="00241D80">
        <w:t xml:space="preserve"> </w:t>
      </w:r>
      <w:r w:rsidR="00241D80">
        <w:t xml:space="preserve"> </w:t>
      </w:r>
    </w:p>
    <w:p w14:paraId="288719DA" w14:textId="5E841D51" w:rsidR="00CE0BD2" w:rsidRPr="00CE0BD2" w:rsidRDefault="00241D80" w:rsidP="009A300E">
      <w:pPr>
        <w:spacing w:line="480" w:lineRule="auto"/>
        <w:ind w:firstLine="720"/>
        <w:jc w:val="both"/>
      </w:pPr>
      <w:r>
        <w:t>Together, these factors demonstrate that inflation outcomes are shaped by a complex interplay of economic development, financial conditions, external shocks, and institutional quality. Accordingly, any empirical analysis seeking to isolate the effect of macroeconomic management on inflation must carefully control</w:t>
      </w:r>
      <w:r w:rsidR="005D28F3">
        <w:t xml:space="preserve"> </w:t>
      </w:r>
      <w:r>
        <w:t>for these confounding influences.</w:t>
      </w:r>
      <w:r w:rsidR="009A300E">
        <w:t xml:space="preserve"> Therefore,</w:t>
      </w:r>
      <w:r w:rsidR="00CE0BD2" w:rsidRPr="00CE0BD2">
        <w:t xml:space="preserve"> </w:t>
      </w:r>
      <w:r w:rsidR="009A300E" w:rsidRPr="00CE0BD2">
        <w:t>controlling</w:t>
      </w:r>
      <w:r w:rsidR="00FC3EB0">
        <w:t xml:space="preserve"> </w:t>
      </w:r>
      <w:r w:rsidR="009A300E">
        <w:t xml:space="preserve">for </w:t>
      </w:r>
      <w:r w:rsidR="00CE0BD2" w:rsidRPr="00CE0BD2">
        <w:t>GDP growth, income levels, credit conditions, trade shocks, financial sector depth, governance quality, and infrastructure is critical to isolating the impact of macroeconomic management on inflation.</w:t>
      </w:r>
      <w:r w:rsidR="00FC3EB0">
        <w:t xml:space="preserve"> This study </w:t>
      </w:r>
      <w:r w:rsidR="009A300E">
        <w:t xml:space="preserve">investigates </w:t>
      </w:r>
      <w:r w:rsidR="00FC3EB0">
        <w:t xml:space="preserve">each of these </w:t>
      </w:r>
      <w:r w:rsidR="009A300E">
        <w:t xml:space="preserve">as potential </w:t>
      </w:r>
      <w:r w:rsidR="00395BFB">
        <w:t>sources</w:t>
      </w:r>
      <w:r w:rsidR="00FC3EB0">
        <w:t xml:space="preserve"> of bias by including statistically significant variables in the finalized regression model.</w:t>
      </w:r>
    </w:p>
    <w:p w14:paraId="432960A1" w14:textId="77777777" w:rsidR="009A300E" w:rsidRDefault="009A300E" w:rsidP="00CE0BD2">
      <w:pPr>
        <w:jc w:val="center"/>
        <w:rPr>
          <w:b/>
          <w:bCs/>
        </w:rPr>
      </w:pPr>
    </w:p>
    <w:p w14:paraId="5CB891E9" w14:textId="77777777" w:rsidR="009A300E" w:rsidRDefault="009A300E" w:rsidP="00CE0BD2">
      <w:pPr>
        <w:jc w:val="center"/>
        <w:rPr>
          <w:b/>
          <w:bCs/>
        </w:rPr>
      </w:pPr>
    </w:p>
    <w:p w14:paraId="61F7814E" w14:textId="256CDF20" w:rsidR="00CE0BD2" w:rsidRPr="00CE0BD2" w:rsidRDefault="00CE0BD2" w:rsidP="00CE0BD2">
      <w:pPr>
        <w:jc w:val="center"/>
      </w:pPr>
      <w:r w:rsidRPr="00CE0BD2">
        <w:rPr>
          <w:b/>
          <w:bCs/>
        </w:rPr>
        <w:t>Data Description</w:t>
      </w:r>
    </w:p>
    <w:p w14:paraId="6F28879E" w14:textId="154AEB73" w:rsidR="00CE0BD2" w:rsidRPr="009A300E" w:rsidRDefault="00CE0BD2" w:rsidP="009A300E">
      <w:pPr>
        <w:jc w:val="center"/>
        <w:rPr>
          <w:i/>
          <w:iCs/>
        </w:rPr>
      </w:pPr>
      <w:r w:rsidRPr="009A300E">
        <w:rPr>
          <w:i/>
          <w:iCs/>
        </w:rPr>
        <w:lastRenderedPageBreak/>
        <w:t>Table 1</w:t>
      </w:r>
      <w:r w:rsidR="009A300E">
        <w:rPr>
          <w:i/>
          <w:iCs/>
        </w:rPr>
        <w:t>:</w:t>
      </w:r>
      <w:r w:rsidRPr="009A300E">
        <w:rPr>
          <w:i/>
          <w:iCs/>
        </w:rPr>
        <w:t xml:space="preserve"> Variable Descriptions</w:t>
      </w:r>
    </w:p>
    <w:tbl>
      <w:tblPr>
        <w:tblW w:w="9360" w:type="dxa"/>
        <w:tblCellMar>
          <w:top w:w="15" w:type="dxa"/>
          <w:left w:w="15" w:type="dxa"/>
          <w:bottom w:w="15" w:type="dxa"/>
          <w:right w:w="15" w:type="dxa"/>
        </w:tblCellMar>
        <w:tblLook w:val="04A0" w:firstRow="1" w:lastRow="0" w:firstColumn="1" w:lastColumn="0" w:noHBand="0" w:noVBand="1"/>
      </w:tblPr>
      <w:tblGrid>
        <w:gridCol w:w="1160"/>
        <w:gridCol w:w="8200"/>
      </w:tblGrid>
      <w:tr w:rsidR="00CE0BD2" w:rsidRPr="00CE0BD2" w14:paraId="4CBFEF26"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7A307" w14:textId="77777777" w:rsidR="00CE0BD2" w:rsidRPr="00CE0BD2" w:rsidRDefault="00CE0BD2" w:rsidP="00CE0BD2">
            <w:r w:rsidRPr="00CE0BD2">
              <w:t>Inflation</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5E2F0" w14:textId="77777777" w:rsidR="00CE0BD2" w:rsidRPr="00CE0BD2" w:rsidRDefault="00CE0BD2" w:rsidP="00CE0BD2">
            <w:r w:rsidRPr="00CE0BD2">
              <w:t>Inflation in consumer prices (annual %)</w:t>
            </w:r>
          </w:p>
        </w:tc>
      </w:tr>
      <w:tr w:rsidR="00CE0BD2" w:rsidRPr="00CE0BD2" w14:paraId="6DC9CF3C"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6190" w14:textId="77777777" w:rsidR="00CE0BD2" w:rsidRPr="00CE0BD2" w:rsidRDefault="00CE0BD2" w:rsidP="00CE0BD2">
            <w:r w:rsidRPr="00CE0BD2">
              <w:rPr>
                <w:i/>
                <w:iCs/>
              </w:rPr>
              <w:t>Macro</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9CC91" w14:textId="77777777" w:rsidR="00CE0BD2" w:rsidRPr="00CE0BD2" w:rsidRDefault="00CE0BD2" w:rsidP="00CE0BD2">
            <w:r w:rsidRPr="00CE0BD2">
              <w:t>CPIA macroeconomic management rating (1=low to 6=high)</w:t>
            </w:r>
          </w:p>
        </w:tc>
      </w:tr>
      <w:tr w:rsidR="00CE0BD2" w:rsidRPr="00CE0BD2" w14:paraId="70528B25"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014AC" w14:textId="58D13C3A" w:rsidR="00CE0BD2" w:rsidRPr="00CE0BD2" w:rsidRDefault="00CE0BD2" w:rsidP="00CE0BD2">
            <w:r w:rsidRPr="00CE0BD2">
              <w:rPr>
                <w:i/>
                <w:iCs/>
              </w:rPr>
              <w:t>CPIA</w:t>
            </w:r>
            <w:r w:rsidR="00241D80">
              <w:rPr>
                <w:i/>
                <w:iCs/>
              </w:rPr>
              <w:t xml:space="preserve"> </w:t>
            </w:r>
            <w:r w:rsidRPr="00CE0BD2">
              <w:rPr>
                <w:i/>
                <w:iCs/>
              </w:rPr>
              <w:t>Avg</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60FA2" w14:textId="77777777" w:rsidR="00CE0BD2" w:rsidRPr="00CE0BD2" w:rsidRDefault="00CE0BD2" w:rsidP="00CE0BD2">
            <w:r w:rsidRPr="00CE0BD2">
              <w:t>A composite index calculated as the mean of CPIA ratings for economic management, social inclusion, financial sector development, and property rights</w:t>
            </w:r>
          </w:p>
        </w:tc>
      </w:tr>
      <w:tr w:rsidR="00CE0BD2" w:rsidRPr="00CE0BD2" w14:paraId="1A13AEF2"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10DB8" w14:textId="77777777" w:rsidR="00CE0BD2" w:rsidRPr="00CE0BD2" w:rsidRDefault="00CE0BD2" w:rsidP="00CE0BD2">
            <w:r w:rsidRPr="00CE0BD2">
              <w:rPr>
                <w:i/>
                <w:iCs/>
              </w:rPr>
              <w:t>Export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80851" w14:textId="77777777" w:rsidR="00CE0BD2" w:rsidRPr="00CE0BD2" w:rsidRDefault="00CE0BD2" w:rsidP="00CE0BD2">
            <w:r w:rsidRPr="00CE0BD2">
              <w:t>Export Volume Index (Standardized in comparison to 2,000)</w:t>
            </w:r>
          </w:p>
        </w:tc>
      </w:tr>
      <w:tr w:rsidR="00CE0BD2" w:rsidRPr="00CE0BD2" w14:paraId="339AB2ED"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B3124" w14:textId="77777777" w:rsidR="00CE0BD2" w:rsidRPr="00CE0BD2" w:rsidRDefault="00CE0BD2" w:rsidP="00CE0BD2">
            <w:r w:rsidRPr="00CE0BD2">
              <w:rPr>
                <w:i/>
                <w:iCs/>
              </w:rPr>
              <w:t>Credit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E089" w14:textId="77777777" w:rsidR="00CE0BD2" w:rsidRPr="00CE0BD2" w:rsidRDefault="00CE0BD2" w:rsidP="00CE0BD2">
            <w:r w:rsidRPr="00CE0BD2">
              <w:t>Domestic Credit provided to financial sector (% of GDP)</w:t>
            </w:r>
          </w:p>
        </w:tc>
      </w:tr>
    </w:tbl>
    <w:p w14:paraId="50CEF70F" w14:textId="77777777" w:rsidR="00CE0BD2" w:rsidRPr="00CE0BD2" w:rsidRDefault="00CE0BD2" w:rsidP="00CE0BD2"/>
    <w:p w14:paraId="2EE8D903" w14:textId="1E654E11" w:rsidR="00CE0BD2" w:rsidRPr="00CE0BD2" w:rsidRDefault="00CE0BD2" w:rsidP="000C3AF9">
      <w:pPr>
        <w:spacing w:line="480" w:lineRule="auto"/>
        <w:ind w:firstLine="720"/>
        <w:jc w:val="both"/>
      </w:pPr>
      <w:r w:rsidRPr="00CE0BD2">
        <w:t xml:space="preserve">This research employs panel data collected between 2005 and 2016 to examine the relationship between macroeconomic policy quality and inflation rates. The dataset contains </w:t>
      </w:r>
      <w:r w:rsidR="0008425B">
        <w:t>922 observations, covering 75 countries across a diverse range of economic, institutional, and developmental contexts. One observation</w:t>
      </w:r>
      <w:r w:rsidR="00E66FED">
        <w:t xml:space="preserve"> is taken per country per year.</w:t>
      </w:r>
    </w:p>
    <w:p w14:paraId="35DA0468" w14:textId="08918A87" w:rsidR="00CE0BD2" w:rsidRPr="00CE0BD2" w:rsidRDefault="00CE0BD2" w:rsidP="000C3AF9">
      <w:pPr>
        <w:spacing w:line="480" w:lineRule="auto"/>
        <w:ind w:firstLine="720"/>
        <w:jc w:val="both"/>
      </w:pPr>
      <w:r w:rsidRPr="00CE0BD2">
        <w:t>The primary dataset is the World Bank’s Country Policy and Institutional Assessment (CPIA) database</w:t>
      </w:r>
      <w:r w:rsidR="00A52B96">
        <w:t xml:space="preserve"> (World Bank, 2025)</w:t>
      </w:r>
      <w:r w:rsidRPr="00CE0BD2">
        <w:t xml:space="preserve">. The CPIA provides ratings across several dimensions of governance and economic management. This paper </w:t>
      </w:r>
      <w:r w:rsidR="00395BFB" w:rsidRPr="00CE0BD2">
        <w:t>focuses</w:t>
      </w:r>
      <w:r w:rsidRPr="00CE0BD2">
        <w:t xml:space="preserve"> on the quality of macroeconomic policy formulation and implementation. The key independent variable, the CPIA Macroeconomic Management Rating, is drawn directly from this database and evaluated on a standardized scale ranging from 1 to 6.</w:t>
      </w:r>
    </w:p>
    <w:p w14:paraId="07E7EC17" w14:textId="77777777" w:rsidR="00CE0BD2" w:rsidRPr="00CE0BD2" w:rsidRDefault="00CE0BD2" w:rsidP="000C3AF9">
      <w:pPr>
        <w:spacing w:line="480" w:lineRule="auto"/>
        <w:ind w:firstLine="720"/>
        <w:jc w:val="both"/>
      </w:pPr>
      <w:r w:rsidRPr="00CE0BD2">
        <w:t xml:space="preserve">In addition to the macroeconomic policy quality measure, several control variables are incorporated to account for potential omitted variable bias. Export volume data, used to capture a country's exposure to global trade shocks, is obtained from the World Bank’s </w:t>
      </w:r>
      <w:r w:rsidRPr="00CE0BD2">
        <w:lastRenderedPageBreak/>
        <w:t>Development Indicators. Domestic credit to the private sector, expressed as a percentage of GDP, is included as a measure of financial sector development and liquidity conditions, drawn from the same source.</w:t>
      </w:r>
    </w:p>
    <w:p w14:paraId="6758EDD1" w14:textId="59D8BDE0" w:rsidR="00CE0BD2" w:rsidRPr="00CE0BD2" w:rsidRDefault="00CE0BD2" w:rsidP="000C3AF9">
      <w:pPr>
        <w:spacing w:line="480" w:lineRule="auto"/>
        <w:ind w:firstLine="720"/>
        <w:jc w:val="both"/>
      </w:pPr>
      <w:r w:rsidRPr="00CE0BD2">
        <w:t xml:space="preserve">A composite indicator, the CPIA Average Rating, is created by calculating the </w:t>
      </w:r>
      <w:r w:rsidR="0008425B">
        <w:t>average</w:t>
      </w:r>
      <w:r w:rsidRPr="00CE0BD2">
        <w:t xml:space="preserve"> of five </w:t>
      </w:r>
      <w:r w:rsidR="005D28F3">
        <w:tab/>
      </w:r>
      <w:r w:rsidRPr="00CE0BD2">
        <w:t>CPIA sub-scores: economic management, financial sector development, social inclusion and equity, property rights and rule-based governance, and social protection. This custom variable captures broader institutional quality and policy coherence beyond macroeconomic management alone.</w:t>
      </w:r>
    </w:p>
    <w:p w14:paraId="59A8655B" w14:textId="7EE4BA07" w:rsidR="00CE0BD2" w:rsidRPr="00CE0BD2" w:rsidRDefault="00CE0BD2" w:rsidP="000C3AF9">
      <w:pPr>
        <w:spacing w:line="480" w:lineRule="auto"/>
        <w:ind w:firstLine="720"/>
        <w:jc w:val="both"/>
      </w:pPr>
      <w:r w:rsidRPr="00CE0BD2">
        <w:t>Together, the dataset integrates key themes such as governance quality, financial market development, trade openness, and social inclusion. These themes reflect the complex, multifaceted drivers of inflation and economic stability across countries.</w:t>
      </w:r>
    </w:p>
    <w:p w14:paraId="2C454C9F" w14:textId="4E9C0326" w:rsidR="00CE0BD2" w:rsidRPr="00CE0BD2" w:rsidRDefault="00CE0BD2" w:rsidP="00CE0BD2">
      <w:pPr>
        <w:jc w:val="center"/>
      </w:pPr>
      <w:r w:rsidRPr="00CE0BD2">
        <w:t>Table 2</w:t>
      </w:r>
      <w:r w:rsidR="00241D80">
        <w:t xml:space="preserve"> </w:t>
      </w:r>
      <w:r w:rsidRPr="00CE0BD2">
        <w:t>– Summary Statistics</w:t>
      </w:r>
    </w:p>
    <w:tbl>
      <w:tblPr>
        <w:tblW w:w="9360" w:type="dxa"/>
        <w:tblCellMar>
          <w:top w:w="15" w:type="dxa"/>
          <w:left w:w="15" w:type="dxa"/>
          <w:bottom w:w="15" w:type="dxa"/>
          <w:right w:w="15" w:type="dxa"/>
        </w:tblCellMar>
        <w:tblLook w:val="04A0" w:firstRow="1" w:lastRow="0" w:firstColumn="1" w:lastColumn="0" w:noHBand="0" w:noVBand="1"/>
      </w:tblPr>
      <w:tblGrid>
        <w:gridCol w:w="2050"/>
        <w:gridCol w:w="853"/>
        <w:gridCol w:w="1554"/>
        <w:gridCol w:w="1620"/>
        <w:gridCol w:w="1729"/>
        <w:gridCol w:w="1554"/>
      </w:tblGrid>
      <w:tr w:rsidR="00CE0BD2" w:rsidRPr="00CE0BD2" w14:paraId="5B8594FC"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92D33" w14:textId="77777777" w:rsidR="00CE0BD2" w:rsidRPr="00CE0BD2" w:rsidRDefault="00CE0BD2" w:rsidP="00CE0BD2">
            <w:r w:rsidRPr="00CE0BD2">
              <w:rPr>
                <w:b/>
                <w:bCs/>
                <w:u w:val="single"/>
              </w:rPr>
              <w:t>Observation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7FBA3" w14:textId="77777777" w:rsidR="00CE0BD2" w:rsidRPr="00CE0BD2" w:rsidRDefault="00CE0BD2" w:rsidP="00CE0BD2">
            <w:r w:rsidRPr="00CE0BD2">
              <w:rPr>
                <w:b/>
                <w:bCs/>
                <w:u w:val="single"/>
              </w:rPr>
              <w:t>Obs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D444E"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21EA1" w14:textId="77777777" w:rsidR="00CE0BD2" w:rsidRPr="00CE0BD2" w:rsidRDefault="00CE0BD2" w:rsidP="00CE0BD2">
            <w:r w:rsidRPr="00CE0BD2">
              <w:rPr>
                <w:b/>
                <w:bCs/>
                <w:u w:val="single"/>
              </w:rPr>
              <w:t>Std. 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DEC78"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5734F" w14:textId="77777777" w:rsidR="00CE0BD2" w:rsidRPr="00CE0BD2" w:rsidRDefault="00CE0BD2" w:rsidP="00CE0BD2">
            <w:r w:rsidRPr="00CE0BD2">
              <w:rPr>
                <w:b/>
                <w:bCs/>
                <w:u w:val="single"/>
              </w:rPr>
              <w:t>Max</w:t>
            </w:r>
          </w:p>
        </w:tc>
      </w:tr>
      <w:tr w:rsidR="00CE0BD2" w:rsidRPr="00CE0BD2" w14:paraId="25D70882"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167FB" w14:textId="77777777" w:rsidR="00CE0BD2" w:rsidRPr="00CE0BD2" w:rsidRDefault="00CE0BD2" w:rsidP="00CE0BD2">
            <w:r w:rsidRPr="00CE0BD2">
              <w:rPr>
                <w:i/>
                <w:iCs/>
              </w:rPr>
              <w:t>Inflation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ED941" w14:textId="77777777" w:rsidR="00CE0BD2" w:rsidRPr="00CE0BD2" w:rsidRDefault="00CE0BD2" w:rsidP="00CE0BD2">
            <w:r w:rsidRPr="00CE0BD2">
              <w:t>856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180FB" w14:textId="77777777" w:rsidR="00CE0BD2" w:rsidRPr="00CE0BD2" w:rsidRDefault="00CE0BD2" w:rsidP="00CE0BD2">
            <w:r w:rsidRPr="00CE0BD2">
              <w:t>37.43121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E0C60" w14:textId="77777777" w:rsidR="00CE0BD2" w:rsidRPr="00CE0BD2" w:rsidRDefault="00CE0BD2" w:rsidP="00CE0BD2">
            <w:r w:rsidRPr="00CE0BD2">
              <w:t>835.0617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DADFF" w14:textId="77777777" w:rsidR="00CE0BD2" w:rsidRPr="00CE0BD2" w:rsidRDefault="00CE0BD2" w:rsidP="00CE0BD2">
            <w:r w:rsidRPr="00CE0BD2">
              <w:t>-35.83668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D16D" w14:textId="77777777" w:rsidR="00CE0BD2" w:rsidRPr="00CE0BD2" w:rsidRDefault="00CE0BD2" w:rsidP="00CE0BD2">
            <w:r w:rsidRPr="00CE0BD2">
              <w:t>24411.03</w:t>
            </w:r>
          </w:p>
        </w:tc>
      </w:tr>
      <w:tr w:rsidR="00CE0BD2" w:rsidRPr="00CE0BD2" w14:paraId="0012650D"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E28C3" w14:textId="77777777" w:rsidR="00CE0BD2" w:rsidRPr="00CE0BD2" w:rsidRDefault="00CE0BD2" w:rsidP="00CE0BD2">
            <w:r w:rsidRPr="00CE0BD2">
              <w:rPr>
                <w:i/>
                <w:iCs/>
              </w:rPr>
              <w:t>Macro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E89E5"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CF3DA" w14:textId="77777777" w:rsidR="00CE0BD2" w:rsidRPr="00CE0BD2" w:rsidRDefault="00CE0BD2" w:rsidP="00CE0BD2">
            <w:r w:rsidRPr="00CE0BD2">
              <w:t>3.630694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3CDFB" w14:textId="77777777" w:rsidR="00CE0BD2" w:rsidRPr="00CE0BD2" w:rsidRDefault="00CE0BD2" w:rsidP="00CE0BD2">
            <w:r w:rsidRPr="00CE0BD2">
              <w:t xml:space="preserve"> .6785062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20394" w14:textId="77777777" w:rsidR="00CE0BD2" w:rsidRPr="00CE0BD2" w:rsidRDefault="00CE0BD2" w:rsidP="00CE0BD2">
            <w:r w:rsidRPr="00CE0BD2">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2619" w14:textId="77777777" w:rsidR="00CE0BD2" w:rsidRPr="00CE0BD2" w:rsidRDefault="00CE0BD2" w:rsidP="00CE0BD2">
            <w:r w:rsidRPr="00CE0BD2">
              <w:t>5.55</w:t>
            </w:r>
          </w:p>
        </w:tc>
      </w:tr>
      <w:tr w:rsidR="00CE0BD2" w:rsidRPr="00CE0BD2" w14:paraId="2D06ACD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60A3" w14:textId="77777777" w:rsidR="00CE0BD2" w:rsidRPr="00CE0BD2" w:rsidRDefault="00CE0BD2" w:rsidP="00CE0BD2">
            <w:r w:rsidRPr="00CE0BD2">
              <w:rPr>
                <w:i/>
                <w:iCs/>
              </w:rPr>
              <w:t>Export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740E8" w14:textId="77777777" w:rsidR="00CE0BD2" w:rsidRPr="00CE0BD2" w:rsidRDefault="00CE0BD2" w:rsidP="00CE0BD2">
            <w:r w:rsidRPr="00CE0BD2">
              <w:t>866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1D6C7" w14:textId="77777777" w:rsidR="00CE0BD2" w:rsidRPr="00CE0BD2" w:rsidRDefault="00CE0BD2" w:rsidP="00CE0BD2">
            <w:r w:rsidRPr="00CE0BD2">
              <w:t>242.8489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9699B" w14:textId="77777777" w:rsidR="00CE0BD2" w:rsidRPr="00CE0BD2" w:rsidRDefault="00CE0BD2" w:rsidP="00CE0BD2">
            <w:r w:rsidRPr="00CE0BD2">
              <w:t>554.8185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4CEE" w14:textId="77777777" w:rsidR="00CE0BD2" w:rsidRPr="00CE0BD2" w:rsidRDefault="00CE0BD2" w:rsidP="00CE0BD2">
            <w:r w:rsidRPr="00CE0BD2">
              <w:t>10.24806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51655" w14:textId="77777777" w:rsidR="00CE0BD2" w:rsidRPr="00CE0BD2" w:rsidRDefault="00CE0BD2" w:rsidP="00CE0BD2">
            <w:r w:rsidRPr="00CE0BD2">
              <w:t>9589.121</w:t>
            </w:r>
          </w:p>
        </w:tc>
      </w:tr>
      <w:tr w:rsidR="00CE0BD2" w:rsidRPr="00CE0BD2" w14:paraId="4C2B69E5"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1BEF2" w14:textId="77777777" w:rsidR="00CE0BD2" w:rsidRPr="00CE0BD2" w:rsidRDefault="00CE0BD2" w:rsidP="00CE0BD2">
            <w:r w:rsidRPr="00CE0BD2">
              <w:rPr>
                <w:i/>
                <w:iCs/>
              </w:rPr>
              <w:t>CPIA_Avg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73A02"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92E61" w14:textId="77777777" w:rsidR="00CE0BD2" w:rsidRPr="00CE0BD2" w:rsidRDefault="00CE0BD2" w:rsidP="00CE0BD2">
            <w:r w:rsidRPr="00CE0BD2">
              <w:t>3.152354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4F5F0" w14:textId="77777777" w:rsidR="00CE0BD2" w:rsidRPr="00CE0BD2" w:rsidRDefault="00CE0BD2" w:rsidP="00CE0BD2">
            <w:r w:rsidRPr="00CE0BD2">
              <w:t xml:space="preserve"> .4864851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BC297" w14:textId="77777777" w:rsidR="00CE0BD2" w:rsidRPr="00CE0BD2" w:rsidRDefault="00CE0BD2" w:rsidP="00CE0BD2">
            <w:r w:rsidRPr="00CE0BD2">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02DB" w14:textId="77777777" w:rsidR="00CE0BD2" w:rsidRPr="00CE0BD2" w:rsidRDefault="00CE0BD2" w:rsidP="00CE0BD2">
            <w:r w:rsidRPr="00CE0BD2">
              <w:t>4.32</w:t>
            </w:r>
          </w:p>
        </w:tc>
      </w:tr>
      <w:tr w:rsidR="00CE0BD2" w:rsidRPr="00CE0BD2" w14:paraId="1E76802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43F8" w14:textId="77777777" w:rsidR="00CE0BD2" w:rsidRPr="00CE0BD2" w:rsidRDefault="00CE0BD2" w:rsidP="00CE0BD2">
            <w:r w:rsidRPr="00CE0BD2">
              <w:rPr>
                <w:i/>
                <w:iCs/>
              </w:rPr>
              <w:t>Credit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E4967" w14:textId="77777777" w:rsidR="00CE0BD2" w:rsidRPr="00CE0BD2" w:rsidRDefault="00CE0BD2" w:rsidP="00CE0BD2">
            <w:r w:rsidRPr="00CE0BD2">
              <w:t>847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2B2C2" w14:textId="77777777" w:rsidR="00CE0BD2" w:rsidRPr="00CE0BD2" w:rsidRDefault="00CE0BD2" w:rsidP="00CE0BD2">
            <w:r w:rsidRPr="00CE0BD2">
              <w:t>32.80088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09B1C" w14:textId="77777777" w:rsidR="00CE0BD2" w:rsidRPr="00CE0BD2" w:rsidRDefault="00CE0BD2" w:rsidP="00CE0BD2">
            <w:r w:rsidRPr="00CE0BD2">
              <w:t>25.57832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B6AD3" w14:textId="77777777" w:rsidR="00CE0BD2" w:rsidRPr="00CE0BD2" w:rsidRDefault="00CE0BD2" w:rsidP="00CE0BD2">
            <w:r w:rsidRPr="00CE0BD2">
              <w:t xml:space="preserve"> -41.18233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DD87A" w14:textId="77777777" w:rsidR="00CE0BD2" w:rsidRPr="00CE0BD2" w:rsidRDefault="00CE0BD2" w:rsidP="00CE0BD2">
            <w:r w:rsidRPr="00CE0BD2">
              <w:t xml:space="preserve"> 135.1</w:t>
            </w:r>
          </w:p>
        </w:tc>
      </w:tr>
    </w:tbl>
    <w:p w14:paraId="431F7571" w14:textId="77777777" w:rsidR="00CE0BD2" w:rsidRPr="00CE0BD2" w:rsidRDefault="00CE0BD2" w:rsidP="00CE0BD2"/>
    <w:p w14:paraId="189B74DF" w14:textId="77777777" w:rsidR="00FC3EB0" w:rsidRDefault="00FC3EB0" w:rsidP="00CE0BD2">
      <w:pPr>
        <w:jc w:val="center"/>
        <w:rPr>
          <w:b/>
          <w:bCs/>
        </w:rPr>
      </w:pPr>
    </w:p>
    <w:p w14:paraId="28E95402" w14:textId="1C8AEC64" w:rsidR="00CE0BD2" w:rsidRDefault="00CE0BD2" w:rsidP="00CE0BD2">
      <w:pPr>
        <w:jc w:val="center"/>
        <w:rPr>
          <w:b/>
          <w:bCs/>
        </w:rPr>
      </w:pPr>
      <w:r w:rsidRPr="00CE0BD2">
        <w:rPr>
          <w:b/>
          <w:bCs/>
        </w:rPr>
        <w:lastRenderedPageBreak/>
        <w:t>Empirical Model Specification</w:t>
      </w:r>
    </w:p>
    <w:p w14:paraId="1187BD26" w14:textId="4CE01381" w:rsidR="00A076E6" w:rsidRPr="00CE0BD2" w:rsidRDefault="00A076E6" w:rsidP="00A076E6">
      <w:pPr>
        <w:rPr>
          <w:b/>
          <w:bCs/>
        </w:rPr>
      </w:pPr>
      <w:r>
        <w:rPr>
          <w:b/>
          <w:bCs/>
        </w:rPr>
        <w:t>Regression Model and Theoretical Justification</w:t>
      </w:r>
    </w:p>
    <w:p w14:paraId="1A48900B" w14:textId="4FE74C55" w:rsidR="00CE0BD2" w:rsidRPr="00CE0BD2" w:rsidRDefault="00CE0BD2" w:rsidP="000C3AF9">
      <w:pPr>
        <w:spacing w:line="480" w:lineRule="auto"/>
        <w:ind w:firstLine="720"/>
        <w:jc w:val="both"/>
      </w:pPr>
      <w:r>
        <w:t>We employ a fixed-effects linear model with the clustered panel data framework, operationalized through an ordinary least squares (OLS) strategy. The model to be estimated is articulated as follows</w:t>
      </w:r>
    </w:p>
    <w:p w14:paraId="38A0186D" w14:textId="6006B617" w:rsidR="00CE0BD2" w:rsidRPr="00F26CA6" w:rsidRDefault="00CE0BD2" w:rsidP="000C3AF9">
      <w:pPr>
        <w:spacing w:line="480" w:lineRule="auto"/>
        <w:ind w:firstLine="720"/>
        <w:jc w:val="center"/>
      </w:pP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β</m:t>
            </m:r>
          </m:e>
          <m:sub>
            <m:r>
              <m:rPr>
                <m:sty m:val="p"/>
              </m:rPr>
              <w:rPr>
                <w:rFonts w:ascii="Cambria Math" w:hAnsi="Cambria Math"/>
              </w:rPr>
              <m:t>4</m:t>
            </m:r>
          </m:sub>
        </m:sSub>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5</m:t>
            </m:r>
          </m:sub>
        </m:sSub>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it</m:t>
            </m:r>
          </m:sub>
        </m:sSub>
      </m:oMath>
      <w:r w:rsidR="005F4010">
        <w:t xml:space="preserve"> </w:t>
      </w:r>
    </w:p>
    <w:p w14:paraId="19B35C4D" w14:textId="7172292D" w:rsidR="00B7440A" w:rsidRPr="000C3AF9" w:rsidRDefault="00CE0BD2" w:rsidP="000C3AF9">
      <w:pPr>
        <w:spacing w:line="480" w:lineRule="auto"/>
        <w:ind w:firstLine="720"/>
        <w:jc w:val="both"/>
      </w:pPr>
      <w:r>
        <w:t xml:space="preserve">Where </w:t>
      </w: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oMath>
      <w:r w:rsidRPr="000C3AF9">
        <w:t xml:space="preserve"> represents the inflation in consumer prices for</w:t>
      </w:r>
      <w:r w:rsidR="00B7440A" w:rsidRPr="000C3AF9">
        <w:t xml:space="preserve"> </w:t>
      </w:r>
      <w:r w:rsidR="0008425B">
        <w:t xml:space="preserve">a </w:t>
      </w:r>
      <w:r w:rsidRPr="000C3AF9">
        <w:t xml:space="preserve">country </w:t>
      </w:r>
      <m:oMath>
        <m:r>
          <w:rPr>
            <w:rFonts w:ascii="Cambria Math" w:hAnsi="Cambria Math"/>
          </w:rPr>
          <m:t>i</m:t>
        </m:r>
      </m:oMath>
      <w:r w:rsidRPr="000C3AF9">
        <w:t xml:space="preserve"> at time </w:t>
      </w:r>
      <m:oMath>
        <m:r>
          <w:rPr>
            <w:rFonts w:ascii="Cambria Math" w:hAnsi="Cambria Math"/>
          </w:rPr>
          <m:t>t</m:t>
        </m:r>
      </m:oMath>
      <w:r w:rsidR="00B7440A" w:rsidRPr="000C3AF9">
        <w:t xml:space="preserve">. The model uses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oMath>
      <w:r w:rsidR="00B7440A" w:rsidRPr="000C3AF9">
        <w:t xml:space="preserve"> as its primary explanatory variable, and a proposed interaction term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control variables </w:t>
      </w:r>
      <m:oMath>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w:t>
      </w:r>
      <m:oMath>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w:t>
      </w:r>
      <m:oMath>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oMath>
      <w:r w:rsidR="00B7440A" w:rsidRPr="000C3AF9">
        <w:t xml:space="preserve">, and  representing the other cluster control variables we use element fixed-effects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00B7440A" w:rsidRPr="000C3AF9">
        <w:t xml:space="preserve">, time fixed-effects </w:t>
      </w:r>
      <m:oMath>
        <m:sSub>
          <m:sSubPr>
            <m:ctrlPr>
              <w:rPr>
                <w:rFonts w:ascii="Cambria Math" w:hAnsi="Cambria Math"/>
              </w:rPr>
            </m:ctrlPr>
          </m:sSubPr>
          <m:e>
            <m:r>
              <w:rPr>
                <w:rFonts w:ascii="Cambria Math" w:hAnsi="Cambria Math"/>
              </w:rPr>
              <m:t>γ</m:t>
            </m:r>
          </m:e>
          <m:sub>
            <m:r>
              <w:rPr>
                <w:rFonts w:ascii="Cambria Math" w:hAnsi="Cambria Math"/>
              </w:rPr>
              <m:t>t</m:t>
            </m:r>
          </m:sub>
        </m:sSub>
      </m:oMath>
      <w:r w:rsidR="00B7440A" w:rsidRPr="000C3AF9">
        <w:t xml:space="preserve"> and an error term </w:t>
      </w:r>
      <m:oMath>
        <m:sSub>
          <m:sSubPr>
            <m:ctrlPr>
              <w:rPr>
                <w:rFonts w:ascii="Cambria Math" w:hAnsi="Cambria Math"/>
              </w:rPr>
            </m:ctrlPr>
          </m:sSubPr>
          <m:e>
            <m:r>
              <w:rPr>
                <w:rFonts w:ascii="Cambria Math" w:hAnsi="Cambria Math"/>
              </w:rPr>
              <m:t>ϵ</m:t>
            </m:r>
          </m:e>
          <m:sub>
            <m:r>
              <w:rPr>
                <w:rFonts w:ascii="Cambria Math" w:hAnsi="Cambria Math"/>
              </w:rPr>
              <m:t>it</m:t>
            </m:r>
          </m:sub>
        </m:sSub>
      </m:oMath>
    </w:p>
    <w:p w14:paraId="4A14797A" w14:textId="32A00D87" w:rsidR="00B7440A" w:rsidRPr="000C3AF9" w:rsidRDefault="00B7440A" w:rsidP="000C3AF9">
      <w:pPr>
        <w:spacing w:line="480" w:lineRule="auto"/>
        <w:ind w:firstLine="720"/>
        <w:jc w:val="both"/>
      </w:pPr>
      <w:r w:rsidRPr="000C3AF9">
        <w:t xml:space="preserve">We expect the sign of the coefficient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rsidRPr="000C3AF9">
        <w:t xml:space="preserve"> to be negative</w:t>
      </w:r>
      <w:r w:rsidR="00E66FED">
        <w:t>, as effective macroeconomic management should theoretically curb the impact of inflation on consumers</w:t>
      </w:r>
      <w:r w:rsidRPr="000C3AF9">
        <w:t xml:space="preserve">.  </w:t>
      </w:r>
      <w:r w:rsidR="00E66FED">
        <w:t xml:space="preserve">Countries </w:t>
      </w:r>
      <w:r w:rsidR="00A076E6" w:rsidRPr="000C3AF9">
        <w:t xml:space="preserve">with higher macroeconomic policy ratings are </w:t>
      </w:r>
      <w:r w:rsidR="00395BFB" w:rsidRPr="000C3AF9">
        <w:t>characterized</w:t>
      </w:r>
      <w:r w:rsidR="00A076E6" w:rsidRPr="000C3AF9">
        <w:t xml:space="preserve"> by stronger institutional frameworks and more credible policy environments, both of which are associated with lower inflation volatility. </w:t>
      </w:r>
    </w:p>
    <w:p w14:paraId="4D0A5AA3" w14:textId="43A28847" w:rsidR="00CE0BD2" w:rsidRPr="00CE0BD2" w:rsidRDefault="00A076E6" w:rsidP="00CE0BD2">
      <w:pPr>
        <w:rPr>
          <w:rFonts w:eastAsiaTheme="minorEastAsia"/>
          <w:b/>
          <w:bCs/>
        </w:rPr>
      </w:pPr>
      <w:r>
        <w:rPr>
          <w:rFonts w:eastAsiaTheme="minorEastAsia"/>
          <w:b/>
          <w:bCs/>
        </w:rPr>
        <w:t>Variable Selection Rationale</w:t>
      </w:r>
    </w:p>
    <w:p w14:paraId="65040CA6" w14:textId="6636215F" w:rsidR="00A076E6" w:rsidRPr="00A076E6" w:rsidRDefault="00A076E6" w:rsidP="000C3AF9">
      <w:pPr>
        <w:spacing w:line="480" w:lineRule="auto"/>
        <w:ind w:firstLine="720"/>
        <w:jc w:val="both"/>
      </w:pPr>
      <w:r w:rsidRPr="00A076E6">
        <w:t xml:space="preserve">The primary explanatory variable of interest in this study is </w:t>
      </w:r>
      <w:r w:rsidRPr="000C3AF9">
        <w:t>CPIA Macroeconomic Management Rating (Macro)</w:t>
      </w:r>
      <w:r w:rsidRPr="005F4010">
        <w:t xml:space="preserve">, </w:t>
      </w:r>
      <w:r w:rsidRPr="00A076E6">
        <w:t>a</w:t>
      </w:r>
      <w:r w:rsidR="001D6FFC">
        <w:t xml:space="preserve">n ordinal categorical </w:t>
      </w:r>
      <w:r w:rsidRPr="00A076E6">
        <w:t>measure of macroeconomic policy quality on a standardized 1–6 scale</w:t>
      </w:r>
      <w:r w:rsidR="001D6FFC">
        <w:t>, incremented by 0.5</w:t>
      </w:r>
      <w:r w:rsidRPr="00A076E6">
        <w:t xml:space="preserve">. Across all estimated models, Macro consistently demonstrates strong statistical significance at the 1% level. For instance, in the </w:t>
      </w:r>
      <w:r w:rsidRPr="00A076E6">
        <w:lastRenderedPageBreak/>
        <w:t xml:space="preserve">preferred interaction model (Column </w:t>
      </w:r>
      <w:r w:rsidR="005C0C30">
        <w:t>6</w:t>
      </w:r>
      <w:r w:rsidRPr="00A076E6">
        <w:t xml:space="preserve"> of Table </w:t>
      </w:r>
      <w:r w:rsidR="00FC3EB0">
        <w:t>3</w:t>
      </w:r>
      <w:r w:rsidRPr="00A076E6">
        <w:t>), the coefficient on Macro is -4.644 (p&lt;0.01)</w:t>
      </w:r>
      <w:r w:rsidR="001D6FFC">
        <w:t xml:space="preserve">. </w:t>
      </w:r>
      <w:r w:rsidRPr="00A076E6">
        <w:t>Even in the absence of additional interaction terms or controls (Column 1), Macro remains highly significant with a coefficient of -3.222 (p&lt;0.01), underscoring its centrality to the study's research question.</w:t>
      </w:r>
    </w:p>
    <w:p w14:paraId="67661B50" w14:textId="58CEE59D" w:rsidR="00A076E6" w:rsidRPr="00A076E6" w:rsidRDefault="00A076E6" w:rsidP="000C3AF9">
      <w:pPr>
        <w:spacing w:line="480" w:lineRule="auto"/>
        <w:ind w:firstLine="720"/>
        <w:jc w:val="both"/>
      </w:pPr>
      <w:r w:rsidRPr="0008425B">
        <w:t>Export Volume</w:t>
      </w:r>
      <w:r w:rsidRPr="00A076E6">
        <w:t xml:space="preserve"> (Export) is included as </w:t>
      </w:r>
      <w:r w:rsidR="00B4312C">
        <w:t xml:space="preserve">an </w:t>
      </w:r>
      <w:r w:rsidR="00B4312C" w:rsidRPr="00A076E6">
        <w:t>independent</w:t>
      </w:r>
      <w:r w:rsidRPr="00A076E6">
        <w:t xml:space="preserve"> control </w:t>
      </w:r>
      <w:r w:rsidR="00B4312C">
        <w:t xml:space="preserve">variable </w:t>
      </w:r>
      <w:r w:rsidRPr="00A076E6">
        <w:t>and as part of an interaction term with Macro. The rationale stems from the influence of external trade shocks on domestic inflation dynamics. While Export alone is marginally significant in the final model (p&lt;0.1), the interaction term (Macro × Export) achieves statistical significance at the 10% level (coefficient = 0.00792; p&lt;0.1)</w:t>
      </w:r>
      <w:r w:rsidR="001D6FFC">
        <w:t xml:space="preserve">, meaning that </w:t>
      </w:r>
      <w:r w:rsidR="00B4312C">
        <w:t>countries with higher indices are expected to reduce the impact of macroeconomic policy on inflation.</w:t>
      </w:r>
      <w:r w:rsidR="0070184E">
        <w:t xml:space="preserve"> </w:t>
      </w:r>
    </w:p>
    <w:p w14:paraId="5332B230" w14:textId="3A8EE29A" w:rsidR="00A076E6" w:rsidRPr="00A076E6" w:rsidRDefault="00A076E6" w:rsidP="000C3AF9">
      <w:pPr>
        <w:spacing w:line="480" w:lineRule="auto"/>
        <w:ind w:firstLine="720"/>
        <w:jc w:val="both"/>
      </w:pPr>
      <w:r w:rsidRPr="00A076E6">
        <w:t>CPIA Average Rating (CPIA</w:t>
      </w:r>
      <w:r w:rsidR="005D28F3">
        <w:t xml:space="preserve"> </w:t>
      </w:r>
      <w:r w:rsidRPr="00A076E6">
        <w:t>Avg), a custom composite measure of broader institutional quality, is included to control for the potential confounding influence of a country’s financial sector development, property rights protections, and social inclusion efforts. Although</w:t>
      </w:r>
      <w:r w:rsidR="005D28F3">
        <w:t xml:space="preserve"> CPIA Average</w:t>
      </w:r>
      <w:r w:rsidRPr="00A076E6">
        <w:t xml:space="preserve"> exhibits only marginal statistical significance (p&lt;0.1) in the interaction model, its inclusion is critical. Omitting CPIA</w:t>
      </w:r>
      <w:r w:rsidR="005D28F3">
        <w:t xml:space="preserve"> Average</w:t>
      </w:r>
      <w:r w:rsidRPr="00A076E6">
        <w:t xml:space="preserve"> leads to substantial omitted variable bias, shifting the estimated effect of Macro significantly and reducing its interpretability. Its presence ensures that the estimated relationship between macroeconomic management and inflation is not conflated with broader governance quality effects.</w:t>
      </w:r>
    </w:p>
    <w:p w14:paraId="5AEACB61" w14:textId="78A25A4D" w:rsidR="00A076E6" w:rsidRPr="00A076E6" w:rsidRDefault="00A076E6" w:rsidP="000C3AF9">
      <w:pPr>
        <w:spacing w:line="480" w:lineRule="auto"/>
        <w:ind w:firstLine="720"/>
        <w:jc w:val="both"/>
      </w:pPr>
      <w:r w:rsidRPr="00A076E6">
        <w:t xml:space="preserve">Domestic Credit to Private Sector (Credit Financial), expressed as a percentage of GDP, is incorporated to account for liquidity conditions and credit market dynamics, which </w:t>
      </w:r>
      <w:r w:rsidR="005C0C30">
        <w:lastRenderedPageBreak/>
        <w:t xml:space="preserve">existing research </w:t>
      </w:r>
      <w:r w:rsidRPr="00A076E6">
        <w:t>identifies as important determinants of inflation. This variable demonstrates consistent statistical significance at the 1% level across all specifications</w:t>
      </w:r>
      <w:r w:rsidR="005C0C30">
        <w:t xml:space="preserve">. </w:t>
      </w:r>
      <w:r w:rsidRPr="00A076E6">
        <w:t>further validating its inclusion.</w:t>
      </w:r>
    </w:p>
    <w:p w14:paraId="7C89304F" w14:textId="0D58BE73" w:rsidR="00A076E6" w:rsidRPr="00A076E6" w:rsidRDefault="00A076E6" w:rsidP="000C3AF9">
      <w:pPr>
        <w:spacing w:line="480" w:lineRule="auto"/>
        <w:ind w:firstLine="720"/>
        <w:jc w:val="both"/>
      </w:pPr>
      <w:r w:rsidRPr="00A076E6">
        <w:t xml:space="preserve">In evaluating potential omitted variables, we systematically tested several additional controls across multiple specifications. These included GDP per capita growth, real GDP levels, depth of credit information systems, electricity access rates (as a proxy for infrastructure quality), and levels of informal payments (as a proxy for corruption). Models including </w:t>
      </w:r>
      <w:r w:rsidRPr="000C3AF9">
        <w:t>GDP growth and GDP constant dollars</w:t>
      </w:r>
      <w:r w:rsidRPr="00A076E6">
        <w:t xml:space="preserve"> did not yield any meaningful change in the Macro coefficient and were therefore excluded. Including </w:t>
      </w:r>
      <w:r w:rsidRPr="0008425B">
        <w:t>depth of credit</w:t>
      </w:r>
      <w:r w:rsidRPr="00A076E6">
        <w:t xml:space="preserve"> introduced slight changes but substantially reduced the number of observations, undermining estimation robustness. Similarly, including </w:t>
      </w:r>
      <w:r w:rsidRPr="00A076E6">
        <w:rPr>
          <w:b/>
          <w:bCs/>
        </w:rPr>
        <w:t>e</w:t>
      </w:r>
      <w:r w:rsidRPr="0008425B">
        <w:t>lectricity access and informal payments</w:t>
      </w:r>
      <w:r w:rsidRPr="00A076E6">
        <w:t xml:space="preserve"> did not produce statistically significant shifts in the key coefficients, nor did they meet the threshold of moving the estimated coefficient on Macro by more than one standard error. As such, these variables were ultimately omitted from the final model</w:t>
      </w:r>
      <w:r w:rsidR="0008425B">
        <w:t>s</w:t>
      </w:r>
      <w:r w:rsidRPr="00A076E6">
        <w:t xml:space="preserve"> to preserve sample size</w:t>
      </w:r>
      <w:r w:rsidR="0008425B">
        <w:t xml:space="preserve"> and model parsimony.</w:t>
      </w:r>
    </w:p>
    <w:p w14:paraId="44C8F0ED" w14:textId="2BCECC35" w:rsidR="000C3AF9" w:rsidRDefault="005D28F3" w:rsidP="008E67D1">
      <w:pPr>
        <w:spacing w:line="480" w:lineRule="auto"/>
        <w:ind w:firstLine="720"/>
        <w:jc w:val="both"/>
      </w:pPr>
      <w:r>
        <w:t>Estimating quadratic and log-linear models considered the possibility of nonlinearity</w:t>
      </w:r>
      <w:r w:rsidR="0008425B">
        <w:t xml:space="preserve"> (Columns </w:t>
      </w:r>
      <w:r w:rsidR="005C0C30">
        <w:t>3</w:t>
      </w:r>
      <w:r w:rsidR="0008425B">
        <w:t xml:space="preserve"> and </w:t>
      </w:r>
      <w:r w:rsidR="005C0C30">
        <w:t>4</w:t>
      </w:r>
      <w:r w:rsidR="0008425B">
        <w:t>)</w:t>
      </w:r>
      <w:commentRangeStart w:id="0"/>
      <w:r w:rsidR="00A076E6" w:rsidRPr="00A076E6">
        <w:t>. However, none of these alternative specifications improved model fit</w:t>
      </w:r>
      <w:r w:rsidR="0008425B">
        <w:t xml:space="preserve"> as much as the linear interaction term, </w:t>
      </w:r>
      <w:r w:rsidR="00A076E6" w:rsidRPr="00A076E6">
        <w:t xml:space="preserve">as assessed by adjusted R-squared values and statistical significance tests. Consequently, a linear </w:t>
      </w:r>
      <w:r w:rsidR="0008425B">
        <w:t xml:space="preserve">model </w:t>
      </w:r>
      <w:r w:rsidR="00A076E6" w:rsidRPr="00A076E6">
        <w:t xml:space="preserve">with an interaction term between Macro and Export </w:t>
      </w:r>
      <w:r w:rsidR="0008425B">
        <w:t xml:space="preserve">(Column </w:t>
      </w:r>
      <w:r w:rsidR="005C0C30">
        <w:t>6</w:t>
      </w:r>
      <w:r w:rsidR="0008425B">
        <w:t xml:space="preserve">) </w:t>
      </w:r>
      <w:r w:rsidR="00A076E6" w:rsidRPr="00A076E6">
        <w:t>was selected as the</w:t>
      </w:r>
      <w:r w:rsidR="009A745C">
        <w:t xml:space="preserve"> most</w:t>
      </w:r>
      <w:r w:rsidR="00A076E6" w:rsidRPr="00A076E6">
        <w:t xml:space="preserve"> </w:t>
      </w:r>
      <w:r w:rsidR="00B4312C" w:rsidRPr="00A076E6">
        <w:t>theoretically</w:t>
      </w:r>
      <w:r w:rsidR="00A076E6" w:rsidRPr="00A076E6">
        <w:t xml:space="preserve"> coherent and empirically robust model for this analysis.</w:t>
      </w:r>
      <w:commentRangeEnd w:id="0"/>
      <w:r w:rsidR="00FC3EB0">
        <w:rPr>
          <w:rStyle w:val="CommentReference"/>
        </w:rPr>
        <w:commentReference w:id="0"/>
      </w:r>
    </w:p>
    <w:p w14:paraId="262BE15A" w14:textId="780722A4" w:rsidR="00FC3EB0" w:rsidRPr="00A076E6" w:rsidRDefault="00FC3EB0" w:rsidP="00FC3EB0">
      <w:pPr>
        <w:jc w:val="center"/>
      </w:pPr>
      <w:r>
        <w:lastRenderedPageBreak/>
        <w:t>Table 3: - Estimates of Macroeconomic Rating: Effect on Change in Inflation across countries and time</w:t>
      </w:r>
    </w:p>
    <w:tbl>
      <w:tblPr>
        <w:tblW w:w="0" w:type="auto"/>
        <w:jc w:val="center"/>
        <w:tblLayout w:type="fixed"/>
        <w:tblCellMar>
          <w:left w:w="75" w:type="dxa"/>
          <w:right w:w="75" w:type="dxa"/>
        </w:tblCellMar>
        <w:tblLook w:val="0000" w:firstRow="0" w:lastRow="0" w:firstColumn="0" w:lastColumn="0" w:noHBand="0" w:noVBand="0"/>
      </w:tblPr>
      <w:tblGrid>
        <w:gridCol w:w="2811"/>
        <w:gridCol w:w="1440"/>
        <w:gridCol w:w="1584"/>
        <w:gridCol w:w="1584"/>
        <w:gridCol w:w="1584"/>
        <w:gridCol w:w="1440"/>
        <w:gridCol w:w="1584"/>
      </w:tblGrid>
      <w:tr w:rsidR="005C0C30" w14:paraId="3FE509C7" w14:textId="77777777" w:rsidTr="006823DE">
        <w:trPr>
          <w:jc w:val="center"/>
        </w:trPr>
        <w:tc>
          <w:tcPr>
            <w:tcW w:w="2811" w:type="dxa"/>
            <w:tcBorders>
              <w:top w:val="single" w:sz="6" w:space="0" w:color="auto"/>
              <w:left w:val="nil"/>
              <w:bottom w:val="nil"/>
              <w:right w:val="nil"/>
            </w:tcBorders>
          </w:tcPr>
          <w:p w14:paraId="16A533A4"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single" w:sz="6" w:space="0" w:color="auto"/>
              <w:left w:val="nil"/>
              <w:bottom w:val="nil"/>
              <w:right w:val="nil"/>
            </w:tcBorders>
          </w:tcPr>
          <w:p w14:paraId="5ABACF1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w:t>
            </w:r>
          </w:p>
        </w:tc>
        <w:tc>
          <w:tcPr>
            <w:tcW w:w="1584" w:type="dxa"/>
            <w:tcBorders>
              <w:top w:val="single" w:sz="6" w:space="0" w:color="auto"/>
              <w:left w:val="nil"/>
              <w:bottom w:val="nil"/>
              <w:right w:val="nil"/>
            </w:tcBorders>
          </w:tcPr>
          <w:p w14:paraId="4BA7FEF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w:t>
            </w:r>
          </w:p>
        </w:tc>
        <w:tc>
          <w:tcPr>
            <w:tcW w:w="1584" w:type="dxa"/>
            <w:tcBorders>
              <w:top w:val="single" w:sz="6" w:space="0" w:color="auto"/>
              <w:left w:val="nil"/>
              <w:bottom w:val="nil"/>
              <w:right w:val="nil"/>
            </w:tcBorders>
          </w:tcPr>
          <w:p w14:paraId="06EC765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w:t>
            </w:r>
          </w:p>
        </w:tc>
        <w:tc>
          <w:tcPr>
            <w:tcW w:w="1584" w:type="dxa"/>
            <w:tcBorders>
              <w:top w:val="single" w:sz="6" w:space="0" w:color="auto"/>
              <w:left w:val="nil"/>
              <w:bottom w:val="nil"/>
              <w:right w:val="nil"/>
            </w:tcBorders>
          </w:tcPr>
          <w:p w14:paraId="388494B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w:t>
            </w:r>
          </w:p>
        </w:tc>
        <w:tc>
          <w:tcPr>
            <w:tcW w:w="1440" w:type="dxa"/>
            <w:tcBorders>
              <w:top w:val="single" w:sz="6" w:space="0" w:color="auto"/>
              <w:left w:val="nil"/>
              <w:bottom w:val="nil"/>
              <w:right w:val="nil"/>
            </w:tcBorders>
          </w:tcPr>
          <w:p w14:paraId="5149F14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w:t>
            </w:r>
          </w:p>
        </w:tc>
        <w:tc>
          <w:tcPr>
            <w:tcW w:w="1584" w:type="dxa"/>
            <w:tcBorders>
              <w:top w:val="single" w:sz="6" w:space="0" w:color="auto"/>
              <w:left w:val="nil"/>
              <w:bottom w:val="nil"/>
              <w:right w:val="nil"/>
            </w:tcBorders>
          </w:tcPr>
          <w:p w14:paraId="1CBAA8A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w:t>
            </w:r>
          </w:p>
        </w:tc>
      </w:tr>
      <w:tr w:rsidR="005C0C30" w14:paraId="157F3C6C" w14:textId="77777777" w:rsidTr="006823DE">
        <w:trPr>
          <w:jc w:val="center"/>
        </w:trPr>
        <w:tc>
          <w:tcPr>
            <w:tcW w:w="2811" w:type="dxa"/>
            <w:tcBorders>
              <w:top w:val="nil"/>
              <w:left w:val="nil"/>
              <w:bottom w:val="single" w:sz="6" w:space="0" w:color="auto"/>
              <w:right w:val="nil"/>
            </w:tcBorders>
          </w:tcPr>
          <w:p w14:paraId="50B4DB7A"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VARIABLES</w:t>
            </w:r>
          </w:p>
        </w:tc>
        <w:tc>
          <w:tcPr>
            <w:tcW w:w="1440" w:type="dxa"/>
            <w:tcBorders>
              <w:top w:val="nil"/>
              <w:left w:val="nil"/>
              <w:bottom w:val="single" w:sz="6" w:space="0" w:color="auto"/>
              <w:right w:val="nil"/>
            </w:tcBorders>
          </w:tcPr>
          <w:p w14:paraId="4554BC6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5ECC702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63F7F6A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3ABEB7D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440" w:type="dxa"/>
            <w:tcBorders>
              <w:top w:val="nil"/>
              <w:left w:val="nil"/>
              <w:bottom w:val="single" w:sz="6" w:space="0" w:color="auto"/>
              <w:right w:val="nil"/>
            </w:tcBorders>
          </w:tcPr>
          <w:p w14:paraId="419EA18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7DA747E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r>
      <w:tr w:rsidR="005C0C30" w14:paraId="126CD377" w14:textId="77777777" w:rsidTr="006823DE">
        <w:trPr>
          <w:jc w:val="center"/>
        </w:trPr>
        <w:tc>
          <w:tcPr>
            <w:tcW w:w="2811" w:type="dxa"/>
            <w:tcBorders>
              <w:top w:val="nil"/>
              <w:left w:val="nil"/>
              <w:bottom w:val="nil"/>
              <w:right w:val="nil"/>
            </w:tcBorders>
          </w:tcPr>
          <w:p w14:paraId="4D3DAF4F"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527B4CC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F3C66E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B4456C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7C1E63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64AA72B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A00F96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7D860460" w14:textId="77777777" w:rsidTr="006823DE">
        <w:trPr>
          <w:jc w:val="center"/>
        </w:trPr>
        <w:tc>
          <w:tcPr>
            <w:tcW w:w="2811" w:type="dxa"/>
            <w:tcBorders>
              <w:top w:val="nil"/>
              <w:left w:val="nil"/>
              <w:bottom w:val="nil"/>
              <w:right w:val="nil"/>
            </w:tcBorders>
          </w:tcPr>
          <w:p w14:paraId="73F93732"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w:t>
            </w:r>
          </w:p>
        </w:tc>
        <w:tc>
          <w:tcPr>
            <w:tcW w:w="1440" w:type="dxa"/>
            <w:tcBorders>
              <w:top w:val="nil"/>
              <w:left w:val="nil"/>
              <w:bottom w:val="nil"/>
              <w:right w:val="nil"/>
            </w:tcBorders>
          </w:tcPr>
          <w:p w14:paraId="3AC7777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-269.0</w:t>
            </w:r>
          </w:p>
        </w:tc>
        <w:tc>
          <w:tcPr>
            <w:tcW w:w="1584" w:type="dxa"/>
            <w:tcBorders>
              <w:top w:val="nil"/>
              <w:left w:val="nil"/>
              <w:bottom w:val="nil"/>
              <w:right w:val="nil"/>
            </w:tcBorders>
          </w:tcPr>
          <w:p w14:paraId="1140003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-3.222***</w:t>
            </w:r>
          </w:p>
        </w:tc>
        <w:tc>
          <w:tcPr>
            <w:tcW w:w="1584" w:type="dxa"/>
            <w:tcBorders>
              <w:top w:val="nil"/>
              <w:left w:val="nil"/>
              <w:bottom w:val="nil"/>
              <w:right w:val="nil"/>
            </w:tcBorders>
          </w:tcPr>
          <w:p w14:paraId="5F54A62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-10.14**</w:t>
            </w:r>
          </w:p>
        </w:tc>
        <w:tc>
          <w:tcPr>
            <w:tcW w:w="1584" w:type="dxa"/>
            <w:tcBorders>
              <w:top w:val="nil"/>
              <w:left w:val="nil"/>
              <w:bottom w:val="nil"/>
              <w:right w:val="nil"/>
            </w:tcBorders>
          </w:tcPr>
          <w:p w14:paraId="4D77092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3.869</w:t>
            </w:r>
          </w:p>
        </w:tc>
        <w:tc>
          <w:tcPr>
            <w:tcW w:w="1440" w:type="dxa"/>
            <w:tcBorders>
              <w:top w:val="nil"/>
              <w:left w:val="nil"/>
              <w:bottom w:val="nil"/>
              <w:right w:val="nil"/>
            </w:tcBorders>
          </w:tcPr>
          <w:p w14:paraId="6AA6CE9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-608.9</w:t>
            </w:r>
          </w:p>
        </w:tc>
        <w:tc>
          <w:tcPr>
            <w:tcW w:w="1584" w:type="dxa"/>
            <w:tcBorders>
              <w:top w:val="nil"/>
              <w:left w:val="nil"/>
              <w:bottom w:val="nil"/>
              <w:right w:val="nil"/>
            </w:tcBorders>
          </w:tcPr>
          <w:p w14:paraId="1C517F1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-4.644***</w:t>
            </w:r>
          </w:p>
        </w:tc>
      </w:tr>
      <w:tr w:rsidR="005C0C30" w14:paraId="7D4D8E26" w14:textId="77777777" w:rsidTr="006823DE">
        <w:trPr>
          <w:jc w:val="center"/>
        </w:trPr>
        <w:tc>
          <w:tcPr>
            <w:tcW w:w="2811" w:type="dxa"/>
            <w:tcBorders>
              <w:top w:val="nil"/>
              <w:left w:val="nil"/>
              <w:bottom w:val="nil"/>
              <w:right w:val="nil"/>
            </w:tcBorders>
          </w:tcPr>
          <w:p w14:paraId="1962C15A"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7CA0518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(255.7)</w:t>
            </w:r>
          </w:p>
        </w:tc>
        <w:tc>
          <w:tcPr>
            <w:tcW w:w="1584" w:type="dxa"/>
            <w:tcBorders>
              <w:top w:val="nil"/>
              <w:left w:val="nil"/>
              <w:bottom w:val="nil"/>
              <w:right w:val="nil"/>
            </w:tcBorders>
          </w:tcPr>
          <w:p w14:paraId="2D641B2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(0.691)</w:t>
            </w:r>
          </w:p>
        </w:tc>
        <w:tc>
          <w:tcPr>
            <w:tcW w:w="1584" w:type="dxa"/>
            <w:tcBorders>
              <w:top w:val="nil"/>
              <w:left w:val="nil"/>
              <w:bottom w:val="nil"/>
              <w:right w:val="nil"/>
            </w:tcBorders>
          </w:tcPr>
          <w:p w14:paraId="74729E1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(4.106)</w:t>
            </w:r>
          </w:p>
        </w:tc>
        <w:tc>
          <w:tcPr>
            <w:tcW w:w="1584" w:type="dxa"/>
            <w:tcBorders>
              <w:top w:val="nil"/>
              <w:left w:val="nil"/>
              <w:bottom w:val="nil"/>
              <w:right w:val="nil"/>
            </w:tcBorders>
          </w:tcPr>
          <w:p w14:paraId="6C27493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(3.375)</w:t>
            </w:r>
          </w:p>
        </w:tc>
        <w:tc>
          <w:tcPr>
            <w:tcW w:w="1440" w:type="dxa"/>
            <w:tcBorders>
              <w:top w:val="nil"/>
              <w:left w:val="nil"/>
              <w:bottom w:val="nil"/>
              <w:right w:val="nil"/>
            </w:tcBorders>
          </w:tcPr>
          <w:p w14:paraId="3A30CF2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(564.5)</w:t>
            </w:r>
          </w:p>
        </w:tc>
        <w:tc>
          <w:tcPr>
            <w:tcW w:w="1584" w:type="dxa"/>
            <w:tcBorders>
              <w:top w:val="nil"/>
              <w:left w:val="nil"/>
              <w:bottom w:val="nil"/>
              <w:right w:val="nil"/>
            </w:tcBorders>
          </w:tcPr>
          <w:p w14:paraId="7D889F2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(1.104)</w:t>
            </w:r>
          </w:p>
        </w:tc>
      </w:tr>
      <w:tr w:rsidR="005C0C30" w14:paraId="35F87D93" w14:textId="77777777" w:rsidTr="006823DE">
        <w:trPr>
          <w:jc w:val="center"/>
        </w:trPr>
        <w:tc>
          <w:tcPr>
            <w:tcW w:w="2811" w:type="dxa"/>
            <w:tcBorders>
              <w:top w:val="nil"/>
              <w:left w:val="nil"/>
              <w:bottom w:val="nil"/>
              <w:right w:val="nil"/>
            </w:tcBorders>
          </w:tcPr>
          <w:p w14:paraId="23534E01"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Macro^2</w:t>
            </w:r>
          </w:p>
        </w:tc>
        <w:tc>
          <w:tcPr>
            <w:tcW w:w="1440" w:type="dxa"/>
            <w:tcBorders>
              <w:top w:val="nil"/>
              <w:left w:val="nil"/>
              <w:bottom w:val="nil"/>
              <w:right w:val="nil"/>
            </w:tcBorders>
          </w:tcPr>
          <w:p w14:paraId="4DE43C2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7E3879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ED4ADB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0.970*</w:t>
            </w:r>
          </w:p>
        </w:tc>
        <w:tc>
          <w:tcPr>
            <w:tcW w:w="1584" w:type="dxa"/>
            <w:tcBorders>
              <w:top w:val="nil"/>
              <w:left w:val="nil"/>
              <w:bottom w:val="nil"/>
              <w:right w:val="nil"/>
            </w:tcBorders>
          </w:tcPr>
          <w:p w14:paraId="401A840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5448D6B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962FFB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196E2FEC" w14:textId="77777777" w:rsidTr="006823DE">
        <w:trPr>
          <w:jc w:val="center"/>
        </w:trPr>
        <w:tc>
          <w:tcPr>
            <w:tcW w:w="2811" w:type="dxa"/>
            <w:tcBorders>
              <w:top w:val="nil"/>
              <w:left w:val="nil"/>
              <w:bottom w:val="nil"/>
              <w:right w:val="nil"/>
            </w:tcBorders>
          </w:tcPr>
          <w:p w14:paraId="18F63A6F"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392C797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A3D569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E31040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(0.534)</w:t>
            </w:r>
          </w:p>
        </w:tc>
        <w:tc>
          <w:tcPr>
            <w:tcW w:w="1584" w:type="dxa"/>
            <w:tcBorders>
              <w:top w:val="nil"/>
              <w:left w:val="nil"/>
              <w:bottom w:val="nil"/>
              <w:right w:val="nil"/>
            </w:tcBorders>
          </w:tcPr>
          <w:p w14:paraId="59745A8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5FC1F30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E94B19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600AAA9A" w14:textId="77777777" w:rsidTr="006823DE">
        <w:trPr>
          <w:jc w:val="center"/>
        </w:trPr>
        <w:tc>
          <w:tcPr>
            <w:tcW w:w="2811" w:type="dxa"/>
            <w:tcBorders>
              <w:top w:val="nil"/>
              <w:left w:val="nil"/>
              <w:bottom w:val="nil"/>
              <w:right w:val="nil"/>
            </w:tcBorders>
          </w:tcPr>
          <w:p w14:paraId="33313572"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Export</w:t>
            </w:r>
          </w:p>
        </w:tc>
        <w:tc>
          <w:tcPr>
            <w:tcW w:w="1440" w:type="dxa"/>
            <w:tcBorders>
              <w:top w:val="nil"/>
              <w:left w:val="nil"/>
              <w:bottom w:val="nil"/>
              <w:right w:val="nil"/>
            </w:tcBorders>
          </w:tcPr>
          <w:p w14:paraId="01DC1F8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4B2FC1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4.56e-06</w:t>
            </w:r>
          </w:p>
        </w:tc>
        <w:tc>
          <w:tcPr>
            <w:tcW w:w="1584" w:type="dxa"/>
            <w:tcBorders>
              <w:top w:val="nil"/>
              <w:left w:val="nil"/>
              <w:bottom w:val="nil"/>
              <w:right w:val="nil"/>
            </w:tcBorders>
          </w:tcPr>
          <w:p w14:paraId="117F2F4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1.29e-05</w:t>
            </w:r>
          </w:p>
        </w:tc>
        <w:tc>
          <w:tcPr>
            <w:tcW w:w="1584" w:type="dxa"/>
            <w:tcBorders>
              <w:top w:val="nil"/>
              <w:left w:val="nil"/>
              <w:bottom w:val="nil"/>
              <w:right w:val="nil"/>
            </w:tcBorders>
          </w:tcPr>
          <w:p w14:paraId="57462EB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1.56e-05</w:t>
            </w:r>
          </w:p>
        </w:tc>
        <w:tc>
          <w:tcPr>
            <w:tcW w:w="1440" w:type="dxa"/>
            <w:tcBorders>
              <w:top w:val="nil"/>
              <w:left w:val="nil"/>
              <w:bottom w:val="nil"/>
              <w:right w:val="nil"/>
            </w:tcBorders>
          </w:tcPr>
          <w:p w14:paraId="3A7B97A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-6.812</w:t>
            </w:r>
          </w:p>
        </w:tc>
        <w:tc>
          <w:tcPr>
            <w:tcW w:w="1584" w:type="dxa"/>
            <w:tcBorders>
              <w:top w:val="nil"/>
              <w:left w:val="nil"/>
              <w:bottom w:val="nil"/>
              <w:right w:val="nil"/>
            </w:tcBorders>
          </w:tcPr>
          <w:p w14:paraId="32757B5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-0.0317*</w:t>
            </w:r>
          </w:p>
        </w:tc>
      </w:tr>
      <w:tr w:rsidR="005C0C30" w14:paraId="74125C33" w14:textId="77777777" w:rsidTr="006823DE">
        <w:trPr>
          <w:jc w:val="center"/>
        </w:trPr>
        <w:tc>
          <w:tcPr>
            <w:tcW w:w="2811" w:type="dxa"/>
            <w:tcBorders>
              <w:top w:val="nil"/>
              <w:left w:val="nil"/>
              <w:bottom w:val="nil"/>
              <w:right w:val="nil"/>
            </w:tcBorders>
          </w:tcPr>
          <w:p w14:paraId="143FAD8A"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69F1479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8538DF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(0.000260)</w:t>
            </w:r>
          </w:p>
        </w:tc>
        <w:tc>
          <w:tcPr>
            <w:tcW w:w="1584" w:type="dxa"/>
            <w:tcBorders>
              <w:top w:val="nil"/>
              <w:left w:val="nil"/>
              <w:bottom w:val="nil"/>
              <w:right w:val="nil"/>
            </w:tcBorders>
          </w:tcPr>
          <w:p w14:paraId="687A4C7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(0.000253)</w:t>
            </w:r>
          </w:p>
        </w:tc>
        <w:tc>
          <w:tcPr>
            <w:tcW w:w="1584" w:type="dxa"/>
            <w:tcBorders>
              <w:top w:val="nil"/>
              <w:left w:val="nil"/>
              <w:bottom w:val="nil"/>
              <w:right w:val="nil"/>
            </w:tcBorders>
          </w:tcPr>
          <w:p w14:paraId="36D373B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(0.000253)</w:t>
            </w:r>
          </w:p>
        </w:tc>
        <w:tc>
          <w:tcPr>
            <w:tcW w:w="1440" w:type="dxa"/>
            <w:tcBorders>
              <w:top w:val="nil"/>
              <w:left w:val="nil"/>
              <w:bottom w:val="nil"/>
              <w:right w:val="nil"/>
            </w:tcBorders>
          </w:tcPr>
          <w:p w14:paraId="690B76E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(6.438)</w:t>
            </w:r>
          </w:p>
        </w:tc>
        <w:tc>
          <w:tcPr>
            <w:tcW w:w="1584" w:type="dxa"/>
            <w:tcBorders>
              <w:top w:val="nil"/>
              <w:left w:val="nil"/>
              <w:bottom w:val="nil"/>
              <w:right w:val="nil"/>
            </w:tcBorders>
          </w:tcPr>
          <w:p w14:paraId="77DCFE3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(0.0163)</w:t>
            </w:r>
          </w:p>
        </w:tc>
      </w:tr>
      <w:tr w:rsidR="005C0C30" w14:paraId="18507670" w14:textId="77777777" w:rsidTr="006823DE">
        <w:trPr>
          <w:jc w:val="center"/>
        </w:trPr>
        <w:tc>
          <w:tcPr>
            <w:tcW w:w="2811" w:type="dxa"/>
            <w:tcBorders>
              <w:top w:val="nil"/>
              <w:left w:val="nil"/>
              <w:bottom w:val="nil"/>
              <w:right w:val="nil"/>
            </w:tcBorders>
          </w:tcPr>
          <w:p w14:paraId="7F67FC0C"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CPIA_Avg</w:t>
            </w:r>
          </w:p>
        </w:tc>
        <w:tc>
          <w:tcPr>
            <w:tcW w:w="1440" w:type="dxa"/>
            <w:tcBorders>
              <w:top w:val="nil"/>
              <w:left w:val="nil"/>
              <w:bottom w:val="nil"/>
              <w:right w:val="nil"/>
            </w:tcBorders>
          </w:tcPr>
          <w:p w14:paraId="533D4B6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18174D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3.483**</w:t>
            </w:r>
          </w:p>
        </w:tc>
        <w:tc>
          <w:tcPr>
            <w:tcW w:w="1584" w:type="dxa"/>
            <w:tcBorders>
              <w:top w:val="nil"/>
              <w:left w:val="nil"/>
              <w:bottom w:val="nil"/>
              <w:right w:val="nil"/>
            </w:tcBorders>
          </w:tcPr>
          <w:p w14:paraId="0E6B790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3.428**</w:t>
            </w:r>
          </w:p>
        </w:tc>
        <w:tc>
          <w:tcPr>
            <w:tcW w:w="1584" w:type="dxa"/>
            <w:tcBorders>
              <w:top w:val="nil"/>
              <w:left w:val="nil"/>
              <w:bottom w:val="nil"/>
              <w:right w:val="nil"/>
            </w:tcBorders>
          </w:tcPr>
          <w:p w14:paraId="4C0FBCC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3.333*</w:t>
            </w:r>
          </w:p>
        </w:tc>
        <w:tc>
          <w:tcPr>
            <w:tcW w:w="1440" w:type="dxa"/>
            <w:tcBorders>
              <w:top w:val="nil"/>
              <w:left w:val="nil"/>
              <w:bottom w:val="nil"/>
              <w:right w:val="nil"/>
            </w:tcBorders>
          </w:tcPr>
          <w:p w14:paraId="12C98B4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8F05DE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3.284*</w:t>
            </w:r>
          </w:p>
        </w:tc>
      </w:tr>
      <w:tr w:rsidR="005C0C30" w14:paraId="6BC228DB" w14:textId="77777777" w:rsidTr="006823DE">
        <w:trPr>
          <w:jc w:val="center"/>
        </w:trPr>
        <w:tc>
          <w:tcPr>
            <w:tcW w:w="2811" w:type="dxa"/>
            <w:tcBorders>
              <w:top w:val="nil"/>
              <w:left w:val="nil"/>
              <w:bottom w:val="nil"/>
              <w:right w:val="nil"/>
            </w:tcBorders>
          </w:tcPr>
          <w:p w14:paraId="61DC6DA5"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60672D4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141E56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(1.737)</w:t>
            </w:r>
          </w:p>
        </w:tc>
        <w:tc>
          <w:tcPr>
            <w:tcW w:w="1584" w:type="dxa"/>
            <w:tcBorders>
              <w:top w:val="nil"/>
              <w:left w:val="nil"/>
              <w:bottom w:val="nil"/>
              <w:right w:val="nil"/>
            </w:tcBorders>
          </w:tcPr>
          <w:p w14:paraId="080B432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(1.719)</w:t>
            </w:r>
          </w:p>
        </w:tc>
        <w:tc>
          <w:tcPr>
            <w:tcW w:w="1584" w:type="dxa"/>
            <w:tcBorders>
              <w:top w:val="nil"/>
              <w:left w:val="nil"/>
              <w:bottom w:val="nil"/>
              <w:right w:val="nil"/>
            </w:tcBorders>
          </w:tcPr>
          <w:p w14:paraId="331B8CE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(1.700)</w:t>
            </w:r>
          </w:p>
        </w:tc>
        <w:tc>
          <w:tcPr>
            <w:tcW w:w="1440" w:type="dxa"/>
            <w:tcBorders>
              <w:top w:val="nil"/>
              <w:left w:val="nil"/>
              <w:bottom w:val="nil"/>
              <w:right w:val="nil"/>
            </w:tcBorders>
          </w:tcPr>
          <w:p w14:paraId="42FA399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47F1E8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(1.776)</w:t>
            </w:r>
          </w:p>
        </w:tc>
      </w:tr>
      <w:tr w:rsidR="005C0C30" w14:paraId="07D7E18D" w14:textId="77777777" w:rsidTr="006823DE">
        <w:trPr>
          <w:jc w:val="center"/>
        </w:trPr>
        <w:tc>
          <w:tcPr>
            <w:tcW w:w="2811" w:type="dxa"/>
            <w:tcBorders>
              <w:top w:val="nil"/>
              <w:left w:val="nil"/>
              <w:bottom w:val="nil"/>
              <w:right w:val="nil"/>
            </w:tcBorders>
          </w:tcPr>
          <w:p w14:paraId="12A64C47"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Credit Financial</w:t>
            </w:r>
          </w:p>
        </w:tc>
        <w:tc>
          <w:tcPr>
            <w:tcW w:w="1440" w:type="dxa"/>
            <w:tcBorders>
              <w:top w:val="nil"/>
              <w:left w:val="nil"/>
              <w:bottom w:val="nil"/>
              <w:right w:val="nil"/>
            </w:tcBorders>
          </w:tcPr>
          <w:p w14:paraId="10C8F6D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8B3698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-0.0773***</w:t>
            </w:r>
          </w:p>
        </w:tc>
        <w:tc>
          <w:tcPr>
            <w:tcW w:w="1584" w:type="dxa"/>
            <w:tcBorders>
              <w:top w:val="nil"/>
              <w:left w:val="nil"/>
              <w:bottom w:val="nil"/>
              <w:right w:val="nil"/>
            </w:tcBorders>
          </w:tcPr>
          <w:p w14:paraId="65E459C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-0.0688***</w:t>
            </w:r>
          </w:p>
        </w:tc>
        <w:tc>
          <w:tcPr>
            <w:tcW w:w="1584" w:type="dxa"/>
            <w:tcBorders>
              <w:top w:val="nil"/>
              <w:left w:val="nil"/>
              <w:bottom w:val="nil"/>
              <w:right w:val="nil"/>
            </w:tcBorders>
          </w:tcPr>
          <w:p w14:paraId="0455EDAF"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-0.0691***</w:t>
            </w:r>
          </w:p>
        </w:tc>
        <w:tc>
          <w:tcPr>
            <w:tcW w:w="1440" w:type="dxa"/>
            <w:tcBorders>
              <w:top w:val="nil"/>
              <w:left w:val="nil"/>
              <w:bottom w:val="nil"/>
              <w:right w:val="nil"/>
            </w:tcBorders>
          </w:tcPr>
          <w:p w14:paraId="6F8C0EB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B1E636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-0.0741***</w:t>
            </w:r>
          </w:p>
        </w:tc>
      </w:tr>
      <w:tr w:rsidR="005C0C30" w14:paraId="39627037" w14:textId="77777777" w:rsidTr="006823DE">
        <w:trPr>
          <w:jc w:val="center"/>
        </w:trPr>
        <w:tc>
          <w:tcPr>
            <w:tcW w:w="2811" w:type="dxa"/>
            <w:tcBorders>
              <w:top w:val="nil"/>
              <w:left w:val="nil"/>
              <w:bottom w:val="nil"/>
              <w:right w:val="nil"/>
            </w:tcBorders>
          </w:tcPr>
          <w:p w14:paraId="7FF49930"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65A5C4C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37A76A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(0.0219)</w:t>
            </w:r>
          </w:p>
        </w:tc>
        <w:tc>
          <w:tcPr>
            <w:tcW w:w="1584" w:type="dxa"/>
            <w:tcBorders>
              <w:top w:val="nil"/>
              <w:left w:val="nil"/>
              <w:bottom w:val="nil"/>
              <w:right w:val="nil"/>
            </w:tcBorders>
          </w:tcPr>
          <w:p w14:paraId="2C26001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(0.0222)</w:t>
            </w:r>
          </w:p>
        </w:tc>
        <w:tc>
          <w:tcPr>
            <w:tcW w:w="1584" w:type="dxa"/>
            <w:tcBorders>
              <w:top w:val="nil"/>
              <w:left w:val="nil"/>
              <w:bottom w:val="nil"/>
              <w:right w:val="nil"/>
            </w:tcBorders>
          </w:tcPr>
          <w:p w14:paraId="48DF3B8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(0.0219)</w:t>
            </w:r>
          </w:p>
        </w:tc>
        <w:tc>
          <w:tcPr>
            <w:tcW w:w="1440" w:type="dxa"/>
            <w:tcBorders>
              <w:top w:val="nil"/>
              <w:left w:val="nil"/>
              <w:bottom w:val="nil"/>
              <w:right w:val="nil"/>
            </w:tcBorders>
          </w:tcPr>
          <w:p w14:paraId="36FB0EC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87270E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(0.0215)</w:t>
            </w:r>
          </w:p>
        </w:tc>
      </w:tr>
      <w:tr w:rsidR="005C0C30" w14:paraId="34441C57" w14:textId="77777777" w:rsidTr="006823DE">
        <w:trPr>
          <w:jc w:val="center"/>
        </w:trPr>
        <w:tc>
          <w:tcPr>
            <w:tcW w:w="2811" w:type="dxa"/>
            <w:tcBorders>
              <w:top w:val="nil"/>
              <w:left w:val="nil"/>
              <w:bottom w:val="nil"/>
              <w:right w:val="nil"/>
            </w:tcBorders>
          </w:tcPr>
          <w:p w14:paraId="1077B218"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Log(Macro)</w:t>
            </w:r>
          </w:p>
        </w:tc>
        <w:tc>
          <w:tcPr>
            <w:tcW w:w="1440" w:type="dxa"/>
            <w:tcBorders>
              <w:top w:val="nil"/>
              <w:left w:val="nil"/>
              <w:bottom w:val="nil"/>
              <w:right w:val="nil"/>
            </w:tcBorders>
          </w:tcPr>
          <w:p w14:paraId="5AF7FA7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650867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A4357E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48FF64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-24.44*</w:t>
            </w:r>
          </w:p>
        </w:tc>
        <w:tc>
          <w:tcPr>
            <w:tcW w:w="1440" w:type="dxa"/>
            <w:tcBorders>
              <w:top w:val="nil"/>
              <w:left w:val="nil"/>
              <w:bottom w:val="nil"/>
              <w:right w:val="nil"/>
            </w:tcBorders>
          </w:tcPr>
          <w:p w14:paraId="31E81F4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10552B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6D26F232" w14:textId="77777777" w:rsidTr="006823DE">
        <w:trPr>
          <w:jc w:val="center"/>
        </w:trPr>
        <w:tc>
          <w:tcPr>
            <w:tcW w:w="2811" w:type="dxa"/>
            <w:tcBorders>
              <w:top w:val="nil"/>
              <w:left w:val="nil"/>
              <w:bottom w:val="nil"/>
              <w:right w:val="nil"/>
            </w:tcBorders>
          </w:tcPr>
          <w:p w14:paraId="33FFFCDD"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7E947A2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11F428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746E69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60A052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(12.40)</w:t>
            </w:r>
          </w:p>
        </w:tc>
        <w:tc>
          <w:tcPr>
            <w:tcW w:w="1440" w:type="dxa"/>
            <w:tcBorders>
              <w:top w:val="nil"/>
              <w:left w:val="nil"/>
              <w:bottom w:val="nil"/>
              <w:right w:val="nil"/>
            </w:tcBorders>
          </w:tcPr>
          <w:p w14:paraId="497392A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71CD544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57A8FE08" w14:textId="77777777" w:rsidTr="006823DE">
        <w:trPr>
          <w:jc w:val="center"/>
        </w:trPr>
        <w:tc>
          <w:tcPr>
            <w:tcW w:w="2811" w:type="dxa"/>
            <w:tcBorders>
              <w:top w:val="nil"/>
              <w:left w:val="nil"/>
              <w:bottom w:val="nil"/>
              <w:right w:val="nil"/>
            </w:tcBorders>
          </w:tcPr>
          <w:p w14:paraId="0A26503E"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 x Export</w:t>
            </w:r>
          </w:p>
        </w:tc>
        <w:tc>
          <w:tcPr>
            <w:tcW w:w="1440" w:type="dxa"/>
            <w:tcBorders>
              <w:top w:val="nil"/>
              <w:left w:val="nil"/>
              <w:bottom w:val="nil"/>
              <w:right w:val="nil"/>
            </w:tcBorders>
          </w:tcPr>
          <w:p w14:paraId="7AE1198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89D93C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03A3E0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56AC0D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3B744B8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1.703</w:t>
            </w:r>
          </w:p>
        </w:tc>
        <w:tc>
          <w:tcPr>
            <w:tcW w:w="1584" w:type="dxa"/>
            <w:tcBorders>
              <w:top w:val="nil"/>
              <w:left w:val="nil"/>
              <w:bottom w:val="nil"/>
              <w:right w:val="nil"/>
            </w:tcBorders>
          </w:tcPr>
          <w:p w14:paraId="77822A9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0.00792*</w:t>
            </w:r>
          </w:p>
        </w:tc>
      </w:tr>
      <w:tr w:rsidR="005C0C30" w14:paraId="5DC00CFF" w14:textId="77777777" w:rsidTr="006823DE">
        <w:trPr>
          <w:jc w:val="center"/>
        </w:trPr>
        <w:tc>
          <w:tcPr>
            <w:tcW w:w="2811" w:type="dxa"/>
            <w:tcBorders>
              <w:top w:val="nil"/>
              <w:left w:val="nil"/>
              <w:bottom w:val="nil"/>
              <w:right w:val="nil"/>
            </w:tcBorders>
          </w:tcPr>
          <w:p w14:paraId="092659A4"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1F49AF2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8D195C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4B6BE3F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5161B9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3C2CDF3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(1.610)</w:t>
            </w:r>
          </w:p>
        </w:tc>
        <w:tc>
          <w:tcPr>
            <w:tcW w:w="1584" w:type="dxa"/>
            <w:tcBorders>
              <w:top w:val="nil"/>
              <w:left w:val="nil"/>
              <w:bottom w:val="nil"/>
              <w:right w:val="nil"/>
            </w:tcBorders>
          </w:tcPr>
          <w:p w14:paraId="207C5B1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(0.00407)</w:t>
            </w:r>
          </w:p>
        </w:tc>
      </w:tr>
      <w:tr w:rsidR="005C0C30" w14:paraId="7679245B" w14:textId="77777777" w:rsidTr="006823DE">
        <w:trPr>
          <w:jc w:val="center"/>
        </w:trPr>
        <w:tc>
          <w:tcPr>
            <w:tcW w:w="2811" w:type="dxa"/>
            <w:tcBorders>
              <w:top w:val="nil"/>
              <w:left w:val="nil"/>
              <w:bottom w:val="nil"/>
              <w:right w:val="nil"/>
            </w:tcBorders>
          </w:tcPr>
          <w:p w14:paraId="2BBF8BF2"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Constant</w:t>
            </w:r>
          </w:p>
        </w:tc>
        <w:tc>
          <w:tcPr>
            <w:tcW w:w="1440" w:type="dxa"/>
            <w:tcBorders>
              <w:top w:val="nil"/>
              <w:left w:val="nil"/>
              <w:bottom w:val="nil"/>
              <w:right w:val="nil"/>
            </w:tcBorders>
          </w:tcPr>
          <w:p w14:paraId="6E689FAC"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1,030</w:t>
            </w:r>
          </w:p>
        </w:tc>
        <w:tc>
          <w:tcPr>
            <w:tcW w:w="1584" w:type="dxa"/>
            <w:tcBorders>
              <w:top w:val="nil"/>
              <w:left w:val="nil"/>
              <w:bottom w:val="nil"/>
              <w:right w:val="nil"/>
            </w:tcBorders>
          </w:tcPr>
          <w:p w14:paraId="3EC284B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10.51**</w:t>
            </w:r>
          </w:p>
        </w:tc>
        <w:tc>
          <w:tcPr>
            <w:tcW w:w="1584" w:type="dxa"/>
            <w:tcBorders>
              <w:top w:val="nil"/>
              <w:left w:val="nil"/>
              <w:bottom w:val="nil"/>
              <w:right w:val="nil"/>
            </w:tcBorders>
          </w:tcPr>
          <w:p w14:paraId="476B3F3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22.36***</w:t>
            </w:r>
          </w:p>
        </w:tc>
        <w:tc>
          <w:tcPr>
            <w:tcW w:w="1584" w:type="dxa"/>
            <w:tcBorders>
              <w:top w:val="nil"/>
              <w:left w:val="nil"/>
              <w:bottom w:val="nil"/>
              <w:right w:val="nil"/>
            </w:tcBorders>
          </w:tcPr>
          <w:p w14:paraId="78652B2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16.08***</w:t>
            </w:r>
          </w:p>
        </w:tc>
        <w:tc>
          <w:tcPr>
            <w:tcW w:w="1440" w:type="dxa"/>
            <w:tcBorders>
              <w:top w:val="nil"/>
              <w:left w:val="nil"/>
              <w:bottom w:val="nil"/>
              <w:right w:val="nil"/>
            </w:tcBorders>
          </w:tcPr>
          <w:p w14:paraId="5C35288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2,376</w:t>
            </w:r>
          </w:p>
        </w:tc>
        <w:tc>
          <w:tcPr>
            <w:tcW w:w="1584" w:type="dxa"/>
            <w:tcBorders>
              <w:top w:val="nil"/>
              <w:left w:val="nil"/>
              <w:bottom w:val="nil"/>
              <w:right w:val="nil"/>
            </w:tcBorders>
          </w:tcPr>
          <w:p w14:paraId="7E61514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16.67**</w:t>
            </w:r>
          </w:p>
        </w:tc>
      </w:tr>
      <w:tr w:rsidR="005C0C30" w14:paraId="565691D1" w14:textId="77777777" w:rsidTr="006823DE">
        <w:trPr>
          <w:jc w:val="center"/>
        </w:trPr>
        <w:tc>
          <w:tcPr>
            <w:tcW w:w="2811" w:type="dxa"/>
            <w:tcBorders>
              <w:top w:val="nil"/>
              <w:left w:val="nil"/>
              <w:bottom w:val="nil"/>
              <w:right w:val="nil"/>
            </w:tcBorders>
          </w:tcPr>
          <w:p w14:paraId="20749D30"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34BF041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(943.6)</w:t>
            </w:r>
          </w:p>
        </w:tc>
        <w:tc>
          <w:tcPr>
            <w:tcW w:w="1584" w:type="dxa"/>
            <w:tcBorders>
              <w:top w:val="nil"/>
              <w:left w:val="nil"/>
              <w:bottom w:val="nil"/>
              <w:right w:val="nil"/>
            </w:tcBorders>
          </w:tcPr>
          <w:p w14:paraId="1F0CD56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(5.149)</w:t>
            </w:r>
          </w:p>
        </w:tc>
        <w:tc>
          <w:tcPr>
            <w:tcW w:w="1584" w:type="dxa"/>
            <w:tcBorders>
              <w:top w:val="nil"/>
              <w:left w:val="nil"/>
              <w:bottom w:val="nil"/>
              <w:right w:val="nil"/>
            </w:tcBorders>
          </w:tcPr>
          <w:p w14:paraId="4A638B3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(8.049)</w:t>
            </w:r>
          </w:p>
        </w:tc>
        <w:tc>
          <w:tcPr>
            <w:tcW w:w="1584" w:type="dxa"/>
            <w:tcBorders>
              <w:top w:val="nil"/>
              <w:left w:val="nil"/>
              <w:bottom w:val="nil"/>
              <w:right w:val="nil"/>
            </w:tcBorders>
          </w:tcPr>
          <w:p w14:paraId="67E16D3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(5.674)</w:t>
            </w:r>
          </w:p>
        </w:tc>
        <w:tc>
          <w:tcPr>
            <w:tcW w:w="1440" w:type="dxa"/>
            <w:tcBorders>
              <w:top w:val="nil"/>
              <w:left w:val="nil"/>
              <w:bottom w:val="nil"/>
              <w:right w:val="nil"/>
            </w:tcBorders>
          </w:tcPr>
          <w:p w14:paraId="4E26B5F6"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(2,169)</w:t>
            </w:r>
          </w:p>
        </w:tc>
        <w:tc>
          <w:tcPr>
            <w:tcW w:w="1584" w:type="dxa"/>
            <w:tcBorders>
              <w:top w:val="nil"/>
              <w:left w:val="nil"/>
              <w:bottom w:val="nil"/>
              <w:right w:val="nil"/>
            </w:tcBorders>
          </w:tcPr>
          <w:p w14:paraId="3E1F6AF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(6.451)</w:t>
            </w:r>
          </w:p>
        </w:tc>
      </w:tr>
      <w:tr w:rsidR="005C0C30" w14:paraId="06EA1E69" w14:textId="77777777" w:rsidTr="006823DE">
        <w:trPr>
          <w:jc w:val="center"/>
        </w:trPr>
        <w:tc>
          <w:tcPr>
            <w:tcW w:w="2811" w:type="dxa"/>
            <w:tcBorders>
              <w:top w:val="nil"/>
              <w:left w:val="nil"/>
              <w:bottom w:val="nil"/>
              <w:right w:val="nil"/>
            </w:tcBorders>
          </w:tcPr>
          <w:p w14:paraId="5224D8D7"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p>
        </w:tc>
        <w:tc>
          <w:tcPr>
            <w:tcW w:w="1440" w:type="dxa"/>
            <w:tcBorders>
              <w:top w:val="nil"/>
              <w:left w:val="nil"/>
              <w:bottom w:val="nil"/>
              <w:right w:val="nil"/>
            </w:tcBorders>
          </w:tcPr>
          <w:p w14:paraId="6A9F88B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054DDCA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1716E7A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4C0FA15"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5A46D55D"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A74338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p>
        </w:tc>
      </w:tr>
      <w:tr w:rsidR="005C0C30" w14:paraId="2BC4EB78" w14:textId="77777777" w:rsidTr="006823DE">
        <w:trPr>
          <w:jc w:val="center"/>
        </w:trPr>
        <w:tc>
          <w:tcPr>
            <w:tcW w:w="2811" w:type="dxa"/>
            <w:tcBorders>
              <w:top w:val="nil"/>
              <w:left w:val="nil"/>
              <w:bottom w:val="nil"/>
              <w:right w:val="nil"/>
            </w:tcBorders>
          </w:tcPr>
          <w:p w14:paraId="5E9D5D7C"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Observations</w:t>
            </w:r>
          </w:p>
        </w:tc>
        <w:tc>
          <w:tcPr>
            <w:tcW w:w="1440" w:type="dxa"/>
            <w:tcBorders>
              <w:top w:val="nil"/>
              <w:left w:val="nil"/>
              <w:bottom w:val="nil"/>
              <w:right w:val="nil"/>
            </w:tcBorders>
          </w:tcPr>
          <w:p w14:paraId="561858DA"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856</w:t>
            </w:r>
          </w:p>
        </w:tc>
        <w:tc>
          <w:tcPr>
            <w:tcW w:w="1584" w:type="dxa"/>
            <w:tcBorders>
              <w:top w:val="nil"/>
              <w:left w:val="nil"/>
              <w:bottom w:val="nil"/>
              <w:right w:val="nil"/>
            </w:tcBorders>
          </w:tcPr>
          <w:p w14:paraId="7F15983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584" w:type="dxa"/>
            <w:tcBorders>
              <w:top w:val="nil"/>
              <w:left w:val="nil"/>
              <w:bottom w:val="nil"/>
              <w:right w:val="nil"/>
            </w:tcBorders>
          </w:tcPr>
          <w:p w14:paraId="7A7E04FE"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584" w:type="dxa"/>
            <w:tcBorders>
              <w:top w:val="nil"/>
              <w:left w:val="nil"/>
              <w:bottom w:val="nil"/>
              <w:right w:val="nil"/>
            </w:tcBorders>
          </w:tcPr>
          <w:p w14:paraId="4F92845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440" w:type="dxa"/>
            <w:tcBorders>
              <w:top w:val="nil"/>
              <w:left w:val="nil"/>
              <w:bottom w:val="nil"/>
              <w:right w:val="nil"/>
            </w:tcBorders>
          </w:tcPr>
          <w:p w14:paraId="42EB4E53"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825</w:t>
            </w:r>
          </w:p>
        </w:tc>
        <w:tc>
          <w:tcPr>
            <w:tcW w:w="1584" w:type="dxa"/>
            <w:tcBorders>
              <w:top w:val="nil"/>
              <w:left w:val="nil"/>
              <w:bottom w:val="nil"/>
              <w:right w:val="nil"/>
            </w:tcBorders>
          </w:tcPr>
          <w:p w14:paraId="5828AEC0"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r>
      <w:tr w:rsidR="005C0C30" w14:paraId="5D819D5B" w14:textId="77777777" w:rsidTr="006823DE">
        <w:trPr>
          <w:jc w:val="center"/>
        </w:trPr>
        <w:tc>
          <w:tcPr>
            <w:tcW w:w="2811" w:type="dxa"/>
            <w:tcBorders>
              <w:top w:val="nil"/>
              <w:left w:val="nil"/>
              <w:bottom w:val="nil"/>
              <w:right w:val="nil"/>
            </w:tcBorders>
          </w:tcPr>
          <w:p w14:paraId="3C8A2DC4"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Number of country</w:t>
            </w:r>
          </w:p>
        </w:tc>
        <w:tc>
          <w:tcPr>
            <w:tcW w:w="1440" w:type="dxa"/>
            <w:tcBorders>
              <w:top w:val="nil"/>
              <w:left w:val="nil"/>
              <w:bottom w:val="nil"/>
              <w:right w:val="nil"/>
            </w:tcBorders>
          </w:tcPr>
          <w:p w14:paraId="1C0A838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w:t>
            </w:r>
          </w:p>
        </w:tc>
        <w:tc>
          <w:tcPr>
            <w:tcW w:w="1584" w:type="dxa"/>
            <w:tcBorders>
              <w:top w:val="nil"/>
              <w:left w:val="nil"/>
              <w:bottom w:val="nil"/>
              <w:right w:val="nil"/>
            </w:tcBorders>
          </w:tcPr>
          <w:p w14:paraId="5A63DAC2"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43CC17B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07B6E67B"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440" w:type="dxa"/>
            <w:tcBorders>
              <w:top w:val="nil"/>
              <w:left w:val="nil"/>
              <w:bottom w:val="nil"/>
              <w:right w:val="nil"/>
            </w:tcBorders>
          </w:tcPr>
          <w:p w14:paraId="0EB4C119"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47608957"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r>
      <w:tr w:rsidR="005C0C30" w14:paraId="6AA30A0A" w14:textId="77777777" w:rsidTr="006823DE">
        <w:tblPrEx>
          <w:tblBorders>
            <w:bottom w:val="single" w:sz="6" w:space="0" w:color="auto"/>
          </w:tblBorders>
        </w:tblPrEx>
        <w:trPr>
          <w:jc w:val="center"/>
        </w:trPr>
        <w:tc>
          <w:tcPr>
            <w:tcW w:w="2811" w:type="dxa"/>
            <w:tcBorders>
              <w:top w:val="nil"/>
              <w:left w:val="nil"/>
              <w:bottom w:val="single" w:sz="6" w:space="0" w:color="auto"/>
              <w:right w:val="nil"/>
            </w:tcBorders>
          </w:tcPr>
          <w:p w14:paraId="507E823A" w14:textId="77777777" w:rsidR="005C0C30" w:rsidRDefault="005C0C30" w:rsidP="006823DE">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Adjusted R-squared</w:t>
            </w:r>
          </w:p>
        </w:tc>
        <w:tc>
          <w:tcPr>
            <w:tcW w:w="1440" w:type="dxa"/>
            <w:tcBorders>
              <w:top w:val="nil"/>
              <w:left w:val="nil"/>
              <w:bottom w:val="single" w:sz="6" w:space="0" w:color="auto"/>
              <w:right w:val="nil"/>
            </w:tcBorders>
          </w:tcPr>
          <w:p w14:paraId="2056C09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0.012</w:t>
            </w:r>
          </w:p>
        </w:tc>
        <w:tc>
          <w:tcPr>
            <w:tcW w:w="1584" w:type="dxa"/>
            <w:tcBorders>
              <w:top w:val="nil"/>
              <w:left w:val="nil"/>
              <w:bottom w:val="single" w:sz="6" w:space="0" w:color="auto"/>
              <w:right w:val="nil"/>
            </w:tcBorders>
          </w:tcPr>
          <w:p w14:paraId="3B2637D1"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0.039</w:t>
            </w:r>
          </w:p>
        </w:tc>
        <w:tc>
          <w:tcPr>
            <w:tcW w:w="1584" w:type="dxa"/>
            <w:tcBorders>
              <w:top w:val="nil"/>
              <w:left w:val="nil"/>
              <w:bottom w:val="single" w:sz="6" w:space="0" w:color="auto"/>
              <w:right w:val="nil"/>
            </w:tcBorders>
          </w:tcPr>
          <w:p w14:paraId="44382F28"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0.042</w:t>
            </w:r>
          </w:p>
        </w:tc>
        <w:tc>
          <w:tcPr>
            <w:tcW w:w="1584" w:type="dxa"/>
            <w:tcBorders>
              <w:top w:val="nil"/>
              <w:left w:val="nil"/>
              <w:bottom w:val="single" w:sz="6" w:space="0" w:color="auto"/>
              <w:right w:val="nil"/>
            </w:tcBorders>
          </w:tcPr>
          <w:p w14:paraId="3A75F06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0.043</w:t>
            </w:r>
          </w:p>
        </w:tc>
        <w:tc>
          <w:tcPr>
            <w:tcW w:w="1440" w:type="dxa"/>
            <w:tcBorders>
              <w:top w:val="nil"/>
              <w:left w:val="nil"/>
              <w:bottom w:val="single" w:sz="6" w:space="0" w:color="auto"/>
              <w:right w:val="nil"/>
            </w:tcBorders>
          </w:tcPr>
          <w:p w14:paraId="5994048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w:t>
            </w:r>
          </w:p>
        </w:tc>
        <w:tc>
          <w:tcPr>
            <w:tcW w:w="1584" w:type="dxa"/>
            <w:tcBorders>
              <w:top w:val="nil"/>
              <w:left w:val="nil"/>
              <w:bottom w:val="single" w:sz="6" w:space="0" w:color="auto"/>
              <w:right w:val="nil"/>
            </w:tcBorders>
          </w:tcPr>
          <w:p w14:paraId="1E7E3424" w14:textId="77777777" w:rsidR="005C0C30" w:rsidRDefault="005C0C30" w:rsidP="006823DE">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0.044</w:t>
            </w:r>
          </w:p>
        </w:tc>
      </w:tr>
    </w:tbl>
    <w:p w14:paraId="0BC50DFC" w14:textId="77777777" w:rsidR="005C0C30" w:rsidRDefault="005C0C30" w:rsidP="005C0C3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Robust standard errors in parentheses</w:t>
      </w:r>
    </w:p>
    <w:p w14:paraId="21B622B0" w14:textId="77777777" w:rsidR="005C0C30" w:rsidRDefault="005C0C30" w:rsidP="005C0C3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 p&lt;0.01, ** p&lt;0.05, * p&lt;0.1</w:t>
      </w:r>
    </w:p>
    <w:p w14:paraId="78418F65" w14:textId="77777777" w:rsidR="00CE0BD2" w:rsidRPr="00CE0BD2" w:rsidRDefault="00CE0BD2" w:rsidP="00CE0BD2"/>
    <w:p w14:paraId="06271D3E" w14:textId="77777777" w:rsidR="00CE0BD2" w:rsidRPr="00CE0BD2" w:rsidRDefault="00CE0BD2" w:rsidP="00395BFB">
      <w:pPr>
        <w:jc w:val="center"/>
      </w:pPr>
      <w:r w:rsidRPr="00CE0BD2">
        <w:rPr>
          <w:b/>
          <w:bCs/>
        </w:rPr>
        <w:t>Results</w:t>
      </w:r>
    </w:p>
    <w:p w14:paraId="7747AED5" w14:textId="5C7B0675" w:rsidR="00CE0BD2" w:rsidRPr="00CE0BD2" w:rsidRDefault="00CE0BD2" w:rsidP="000C3AF9">
      <w:pPr>
        <w:spacing w:line="480" w:lineRule="auto"/>
        <w:ind w:firstLine="720"/>
        <w:jc w:val="both"/>
      </w:pPr>
      <w:r w:rsidRPr="00CE0BD2">
        <w:t>The coefficient on the CPIA macroeconomic management rating i</w:t>
      </w:r>
      <w:r w:rsidR="0008425B">
        <w:t>n the final model is</w:t>
      </w:r>
      <w:r w:rsidRPr="00CE0BD2">
        <w:t xml:space="preserve"> −4.644 (p&lt;0.01), indicating that higher macroeconomic policy quality is significantly associated with lower inflation rates. Export volume alone has a small, marginally significant negative effect on inflation (p=0.055). Critically, the interaction term between CPIA macro rating and export volume is positive and marginally significant (p=0.055), implying that the deflationary impact of macroeconomic policy quality weakens as export volume increases.</w:t>
      </w:r>
    </w:p>
    <w:p w14:paraId="140B1406" w14:textId="52D4B0BC" w:rsidR="00CE0BD2" w:rsidRPr="00CE0BD2" w:rsidRDefault="00CE0BD2" w:rsidP="000C3AF9">
      <w:pPr>
        <w:spacing w:line="480" w:lineRule="auto"/>
        <w:ind w:firstLine="720"/>
        <w:jc w:val="both"/>
      </w:pPr>
      <w:r w:rsidRPr="00CE0BD2">
        <w:lastRenderedPageBreak/>
        <w:t xml:space="preserve">Domestic credit to the private sector </w:t>
      </w:r>
      <w:r w:rsidR="00FC3EB0">
        <w:t xml:space="preserve">is also shown to </w:t>
      </w:r>
      <w:r w:rsidRPr="00CE0BD2">
        <w:t>significantly reduce</w:t>
      </w:r>
      <w:r w:rsidR="00FC3EB0">
        <w:t xml:space="preserve"> </w:t>
      </w:r>
      <w:r w:rsidRPr="00CE0BD2">
        <w:t xml:space="preserve">inflation (p&lt;0.01), emphasizing the importance of stable financial sector conditions. CPIA average rating, although only marginally significant (p=0.068), proves essential; without controlling for this broader measure of social, economic, and institutional quality, the relationship between macroeconomic management and inflation loses statistical significance, indicating </w:t>
      </w:r>
      <w:r w:rsidR="001D6FFC">
        <w:t>positive</w:t>
      </w:r>
      <w:r w:rsidRPr="00CE0BD2">
        <w:t xml:space="preserve"> Omitted Variable Bias. Thus, a nation's broader commitment to debt management, social inclusion, and property rights is crucial for macroeconomic policy to effectively curb inflation.</w:t>
      </w:r>
    </w:p>
    <w:p w14:paraId="563D4505" w14:textId="3E618EEA" w:rsidR="009A745C" w:rsidRDefault="00395BFB" w:rsidP="009A745C">
      <w:pPr>
        <w:spacing w:line="480" w:lineRule="auto"/>
        <w:ind w:firstLine="720"/>
        <w:jc w:val="both"/>
      </w:pPr>
      <w:r w:rsidRPr="00395BFB">
        <w:t>Overall, better macroeconomic management is strongly associated with lower inflatio</w:t>
      </w:r>
      <w:r w:rsidR="001D6FFC">
        <w:t>n</w:t>
      </w:r>
      <w:r w:rsidRPr="00395BFB">
        <w:t xml:space="preserve">. However, this effect is moderated by export volumes: countries with larger export sectors experience a weaker inflation-reducing benefit from improvements in macroeconomic policy. Financial development, as proxied by domestic credit to the private sector, also plays a significant role in containing inflation. </w:t>
      </w:r>
      <w:r w:rsidR="001D6FFC">
        <w:t xml:space="preserve"> </w:t>
      </w:r>
      <w:r w:rsidRPr="00395BFB">
        <w:t xml:space="preserve">While broader institutional quality, captured by the CPIA Average Rating, must be controlled to accurately estimate the impact of macroeconomic management, its direct relationship with inflation is positive and marginally significant. </w:t>
      </w:r>
      <w:r w:rsidR="009A745C">
        <w:t>Importantly, despite its statistical significance, this model only captures around five percent of the total variance in inflation, showing that a nation’s rate of inflation is not solely or primarily controlled by its economic policy, even when controlling for broader institutional differences.</w:t>
      </w:r>
    </w:p>
    <w:p w14:paraId="49C4CD65" w14:textId="43C85219" w:rsidR="00CE0BD2" w:rsidRPr="00CE0BD2" w:rsidRDefault="00395BFB" w:rsidP="000C3AF9">
      <w:pPr>
        <w:jc w:val="center"/>
      </w:pPr>
      <w:r>
        <w:rPr>
          <w:b/>
          <w:bCs/>
        </w:rPr>
        <w:t xml:space="preserve">Limitations </w:t>
      </w:r>
      <w:r w:rsidR="00CE0BD2" w:rsidRPr="00CE0BD2">
        <w:rPr>
          <w:b/>
          <w:bCs/>
        </w:rPr>
        <w:t>and Future Research</w:t>
      </w:r>
    </w:p>
    <w:p w14:paraId="67420755" w14:textId="6A3D9990" w:rsidR="005D28F3" w:rsidRPr="00CE0BD2" w:rsidRDefault="00CE0BD2" w:rsidP="000C3AF9">
      <w:pPr>
        <w:spacing w:line="480" w:lineRule="auto"/>
        <w:ind w:firstLine="720"/>
        <w:jc w:val="both"/>
      </w:pPr>
      <w:r w:rsidRPr="00CE0BD2">
        <w:t xml:space="preserve">While the models explain some of the variation in inflation outcomes (Adjusted R-squared approximately 5%), a substantial portion remains unexplained. Future research </w:t>
      </w:r>
      <w:r w:rsidRPr="00CE0BD2">
        <w:lastRenderedPageBreak/>
        <w:t>could enhance explanatory power by incorporating additional variables such as fiscal deficits, political stability indices, and more granular trade shock measures</w:t>
      </w:r>
      <w:r w:rsidR="009A745C">
        <w:t>, or investigating other primary variables</w:t>
      </w:r>
      <w:r w:rsidRPr="00CE0BD2">
        <w:t>.</w:t>
      </w:r>
    </w:p>
    <w:p w14:paraId="43EE06F6" w14:textId="5BD4367F" w:rsidR="00CE0BD2" w:rsidRDefault="008E67D1" w:rsidP="000C3AF9">
      <w:pPr>
        <w:spacing w:line="480" w:lineRule="auto"/>
        <w:ind w:firstLine="720"/>
        <w:jc w:val="both"/>
      </w:pPr>
      <w:r>
        <w:t>Also, while the</w:t>
      </w:r>
      <w:r w:rsidR="00CE0BD2" w:rsidRPr="00CE0BD2">
        <w:t xml:space="preserve"> CPIA Average Rating serves as a useful control, it introduces some multicollinearity with the macroeconomic management index. Future studies could refine these </w:t>
      </w:r>
      <w:r w:rsidR="00395BFB">
        <w:t>hypotheses</w:t>
      </w:r>
      <w:r w:rsidR="00CE0BD2" w:rsidRPr="00CE0BD2">
        <w:t xml:space="preserve"> or apply instrumental variable techniques to address potential biases.</w:t>
      </w:r>
    </w:p>
    <w:p w14:paraId="5693D132" w14:textId="59F2C919" w:rsidR="005D28F3" w:rsidRDefault="005D28F3" w:rsidP="000C3AF9">
      <w:pPr>
        <w:spacing w:line="480" w:lineRule="auto"/>
        <w:ind w:firstLine="720"/>
        <w:jc w:val="both"/>
      </w:pPr>
      <w:r>
        <w:t>The results of major nation outliers, namely Zimbabwe, were accounted for in this model by using country-level fixed effects; however, it is possible that extreme outliers may have biased intra-cluster results. Future studies can choose to control for this by either omitting Zimbabwe from the model or using a Mean Absolute Error model instead of Ordinary Least Squares to increase the resistance to outliers.</w:t>
      </w:r>
    </w:p>
    <w:p w14:paraId="10F220E9" w14:textId="076F33DD" w:rsidR="0008425B" w:rsidRPr="005C0C30" w:rsidRDefault="008E67D1" w:rsidP="005C0C30">
      <w:pPr>
        <w:spacing w:line="480" w:lineRule="auto"/>
        <w:ind w:firstLine="720"/>
        <w:jc w:val="both"/>
      </w:pPr>
      <w:r>
        <w:t xml:space="preserve">Lastly, the positive correlation found between the CPIA Average rating and inflation as a primary independent variable is interesting but not strictly interpretable from the results of this study. Further studies should investigate the impacts of CPIA social management and justice indices on inflation as a primary independent variable to further clarify </w:t>
      </w:r>
      <w:r w:rsidR="009A745C">
        <w:t>their</w:t>
      </w:r>
      <w:r>
        <w:t xml:space="preserve"> true relationship with inflation.</w:t>
      </w:r>
    </w:p>
    <w:p w14:paraId="65BC09A7" w14:textId="33E53C2C" w:rsidR="00CE0BD2" w:rsidRPr="00CE0BD2" w:rsidRDefault="00CE0BD2" w:rsidP="00395BFB">
      <w:pPr>
        <w:jc w:val="center"/>
      </w:pPr>
      <w:r w:rsidRPr="00CE0BD2">
        <w:rPr>
          <w:b/>
          <w:bCs/>
        </w:rPr>
        <w:t>Conclusion</w:t>
      </w:r>
    </w:p>
    <w:p w14:paraId="79CB26DA" w14:textId="63E80EE0" w:rsidR="00CE0BD2" w:rsidRPr="00CE0BD2" w:rsidRDefault="00CE0BD2" w:rsidP="000C3AF9">
      <w:pPr>
        <w:spacing w:line="480" w:lineRule="auto"/>
        <w:ind w:firstLine="720"/>
        <w:jc w:val="both"/>
      </w:pPr>
      <w:r w:rsidRPr="00CE0BD2">
        <w:t xml:space="preserve">This study finds that the quality of a nation's macroeconomic policy exerts a statistically significant influence on inflation outcomes, but that </w:t>
      </w:r>
      <w:r w:rsidR="0008425B">
        <w:t>export activity levels condition this relationship</w:t>
      </w:r>
      <w:r w:rsidRPr="00CE0BD2">
        <w:t xml:space="preserve">. </w:t>
      </w:r>
      <w:r w:rsidR="008E67D1">
        <w:t>Specifically, a</w:t>
      </w:r>
      <w:r w:rsidR="008E67D1" w:rsidRPr="008E67D1">
        <w:t xml:space="preserve"> one-point increase in the CPIA Macroeconomic Management Rating </w:t>
      </w:r>
      <w:r w:rsidR="008E67D1">
        <w:t xml:space="preserve">is associated with a </w:t>
      </w:r>
      <w:r w:rsidR="008E67D1" w:rsidRPr="008E67D1">
        <w:t xml:space="preserve">4.644 percentage point </w:t>
      </w:r>
      <w:r w:rsidR="008E67D1">
        <w:t xml:space="preserve">decrease in inflation </w:t>
      </w:r>
      <w:r w:rsidR="008E67D1" w:rsidRPr="008E67D1">
        <w:t xml:space="preserve">when </w:t>
      </w:r>
      <w:r w:rsidR="008E67D1" w:rsidRPr="008E67D1">
        <w:lastRenderedPageBreak/>
        <w:t>the export index is 0.</w:t>
      </w:r>
      <w:r w:rsidR="008E67D1">
        <w:t xml:space="preserve"> </w:t>
      </w:r>
      <w:r w:rsidR="008E67D1" w:rsidRPr="008E67D1">
        <w:t>However</w:t>
      </w:r>
      <w:r w:rsidR="008E67D1">
        <w:t>, this inflation-reducing effect weakens by 0.00407 percentage points for each additional point in the export index</w:t>
      </w:r>
      <w:r w:rsidR="008E67D1" w:rsidRPr="008E67D1">
        <w:t>.</w:t>
      </w:r>
    </w:p>
    <w:p w14:paraId="1DF19319" w14:textId="3CAF92FE" w:rsidR="00CE0BD2" w:rsidRPr="008E67D1" w:rsidRDefault="00CE0BD2" w:rsidP="008E67D1">
      <w:pPr>
        <w:spacing w:line="480" w:lineRule="auto"/>
        <w:ind w:firstLine="720"/>
        <w:jc w:val="both"/>
      </w:pPr>
      <w:r w:rsidRPr="00CE0BD2">
        <w:t>Importantly, macroeconomic policy quality only emerges as a significant predictor of inflation once broader structural factors—including domestic financial sector stability, dedication to debt management, social inclusion, and property rights protections—are controlled for. Policymakers seeking to reduce inflation cannot rely solely on macroeconomic fine-tuning; rather, effective policy must be complemented by robust financial sectors, equitable social policies, and strong institutional frameworks.</w:t>
      </w:r>
      <w:r>
        <w:rPr>
          <w:b/>
          <w:bCs/>
        </w:rPr>
        <w:br w:type="page"/>
      </w:r>
    </w:p>
    <w:p w14:paraId="29F62ACB" w14:textId="1688ECD0" w:rsidR="00CE0BD2" w:rsidRPr="00CE0BD2" w:rsidRDefault="00CE0BD2" w:rsidP="00395BFB">
      <w:pPr>
        <w:jc w:val="center"/>
      </w:pPr>
      <w:r w:rsidRPr="00CE0BD2">
        <w:rPr>
          <w:b/>
          <w:bCs/>
        </w:rPr>
        <w:lastRenderedPageBreak/>
        <w:t>References</w:t>
      </w:r>
    </w:p>
    <w:p w14:paraId="580C6F1E" w14:textId="77777777" w:rsidR="00A52B96" w:rsidRPr="00A52B96" w:rsidRDefault="00A52B96" w:rsidP="00A52B96">
      <w:pPr>
        <w:ind w:left="720" w:hanging="720"/>
      </w:pPr>
      <w:r w:rsidRPr="00A52B96">
        <w:t xml:space="preserve">Cook, D., &amp; Choi, W. (2002, August 1). </w:t>
      </w:r>
      <w:r w:rsidRPr="00A52B96">
        <w:rPr>
          <w:i/>
          <w:iCs/>
        </w:rPr>
        <w:t>Liability dollarization and the bank balance sheet channel</w:t>
      </w:r>
      <w:r w:rsidRPr="00A52B96">
        <w:t xml:space="preserve">. IMF. https://www.imf.org/en/Publications/WP/Issues/2016/12/30/Liability-Dollarization-and-the-Bank-Balance-Sheet-Channel-15962 </w:t>
      </w:r>
    </w:p>
    <w:p w14:paraId="7E2F2C23" w14:textId="77777777" w:rsidR="007F218E" w:rsidRPr="007F218E" w:rsidRDefault="007F218E" w:rsidP="007F218E">
      <w:pPr>
        <w:ind w:left="720" w:hanging="720"/>
      </w:pPr>
      <w:r w:rsidRPr="007F218E">
        <w:t xml:space="preserve">Frankel, J., &amp; Orszag, P. R. (2001, November 2). Retrospective on american economic policy in the 1990s. </w:t>
      </w:r>
      <w:r w:rsidRPr="007F218E">
        <w:rPr>
          <w:i/>
          <w:iCs/>
        </w:rPr>
        <w:t>Brookings</w:t>
      </w:r>
      <w:r w:rsidRPr="007F218E">
        <w:t xml:space="preserve">. https://www.brookings.edu/articles/retrospective-on-american-economic-policy-in-the-1990s/ </w:t>
      </w:r>
    </w:p>
    <w:p w14:paraId="540A7AA3" w14:textId="4D52866C" w:rsidR="007F218E" w:rsidRPr="00CE0BD2" w:rsidRDefault="00CE0BD2" w:rsidP="007F218E">
      <w:pPr>
        <w:ind w:left="720" w:hanging="720"/>
      </w:pPr>
      <w:r w:rsidRPr="00CE0BD2">
        <w:t xml:space="preserve">Friedman, M. (1968). The Role of Monetary Policy. </w:t>
      </w:r>
      <w:r w:rsidRPr="00CE0BD2">
        <w:rPr>
          <w:i/>
          <w:iCs/>
        </w:rPr>
        <w:t>American Economic Review, 58</w:t>
      </w:r>
      <w:r w:rsidRPr="00CE0BD2">
        <w:t>(1), 1-17.</w:t>
      </w:r>
      <w:r w:rsidR="007F218E">
        <w:t xml:space="preserve"> </w:t>
      </w:r>
      <w:r w:rsidR="007F218E" w:rsidRPr="007F218E">
        <w:t>http://www.jstor.org/stable/1831652</w:t>
      </w:r>
    </w:p>
    <w:p w14:paraId="634DEAFF" w14:textId="5C63D851" w:rsidR="00CE0BD2" w:rsidRPr="00CE0BD2" w:rsidRDefault="00CE0BD2" w:rsidP="00082C23">
      <w:pPr>
        <w:ind w:left="720" w:hanging="720"/>
      </w:pPr>
      <w:r w:rsidRPr="00CE0BD2">
        <w:t xml:space="preserve">Ha, J., Kose, M. A., &amp; Ohnsorge, F. (2019). </w:t>
      </w:r>
      <w:r w:rsidRPr="00CE0BD2">
        <w:rPr>
          <w:i/>
          <w:iCs/>
        </w:rPr>
        <w:t>Inflation in Emerging and Developing Economies: Evolution, Drivers, and Policies</w:t>
      </w:r>
      <w:r w:rsidRPr="00CE0BD2">
        <w:t>. World Bank Publications.</w:t>
      </w:r>
      <w:r w:rsidR="007F218E">
        <w:t xml:space="preserve"> </w:t>
      </w:r>
      <w:r w:rsidR="007F218E" w:rsidRPr="007F218E">
        <w:t>https://openknowledge.worldbank.org/entities/publication/4259bb68-3c19-5dc5-b26a-b3000813974b</w:t>
      </w:r>
    </w:p>
    <w:p w14:paraId="59347B12" w14:textId="77777777" w:rsidR="007F218E" w:rsidRDefault="00CE0BD2" w:rsidP="007F218E">
      <w:pPr>
        <w:spacing w:line="240" w:lineRule="auto"/>
        <w:ind w:left="720" w:hanging="720"/>
        <w:rPr>
          <w:i/>
          <w:iCs/>
        </w:rPr>
      </w:pPr>
      <w:r w:rsidRPr="00CE0BD2">
        <w:t xml:space="preserve">Mishkin, F. S. (2007). Housing and the monetary transmission mechanism. </w:t>
      </w:r>
      <w:r w:rsidR="007F218E">
        <w:rPr>
          <w:i/>
          <w:iCs/>
        </w:rPr>
        <w:t xml:space="preserve">National Bureau of Economic Research. </w:t>
      </w:r>
    </w:p>
    <w:p w14:paraId="3F3D3265" w14:textId="3E799421" w:rsidR="00CE0BD2" w:rsidRPr="00CE0BD2" w:rsidRDefault="007F218E" w:rsidP="007F218E">
      <w:pPr>
        <w:spacing w:line="240" w:lineRule="auto"/>
        <w:ind w:left="720"/>
      </w:pPr>
      <w:r>
        <w:rPr>
          <w:i/>
          <w:iCs/>
        </w:rPr>
        <w:t>https://www.nber.org/papers/w13518</w:t>
      </w:r>
      <w:r w:rsidRPr="007F218E">
        <w:t>18</w:t>
      </w:r>
    </w:p>
    <w:p w14:paraId="42EE39F8" w14:textId="77777777" w:rsidR="007F218E" w:rsidRDefault="007F218E" w:rsidP="007F218E">
      <w:pPr>
        <w:ind w:left="720" w:hanging="720"/>
      </w:pPr>
      <w:r w:rsidRPr="007F218E">
        <w:t xml:space="preserve">Salahodjaev, R., &amp; Chepel, S. (2014). Institutional quality and inflation. </w:t>
      </w:r>
      <w:r w:rsidRPr="007F218E">
        <w:rPr>
          <w:i/>
          <w:iCs/>
        </w:rPr>
        <w:t>Modern Economy</w:t>
      </w:r>
      <w:r w:rsidRPr="007F218E">
        <w:t xml:space="preserve">, </w:t>
      </w:r>
      <w:r w:rsidRPr="007F218E">
        <w:rPr>
          <w:i/>
          <w:iCs/>
        </w:rPr>
        <w:t>5</w:t>
      </w:r>
      <w:r w:rsidRPr="007F218E">
        <w:t xml:space="preserve">(3), 219–223. </w:t>
      </w:r>
    </w:p>
    <w:p w14:paraId="4E7BDCF5" w14:textId="76129BC1" w:rsidR="007F218E" w:rsidRPr="007F218E" w:rsidRDefault="007F218E" w:rsidP="007F218E">
      <w:pPr>
        <w:ind w:left="720"/>
      </w:pPr>
      <w:r w:rsidRPr="007F218E">
        <w:t xml:space="preserve">https://doi.org/10.4236/me.2014.53023 </w:t>
      </w:r>
    </w:p>
    <w:p w14:paraId="610F5DBD" w14:textId="2100EA05" w:rsidR="00A46EFC" w:rsidRPr="00CE0BD2" w:rsidRDefault="00A46EFC" w:rsidP="00A46EFC">
      <w:pPr>
        <w:ind w:left="720" w:hanging="720"/>
      </w:pPr>
      <w:r w:rsidRPr="00A46EFC">
        <w:t xml:space="preserve">Nadeem, R. (2024, May 23). Public’s positive economic ratings slip; inflation still widely viewed as major problem. </w:t>
      </w:r>
      <w:r w:rsidRPr="00A46EFC">
        <w:rPr>
          <w:i/>
          <w:iCs/>
        </w:rPr>
        <w:t>Pew Research Center</w:t>
      </w:r>
      <w:r w:rsidRPr="00A46EFC">
        <w:t xml:space="preserve">. https://www.pewresearch.org/politics/2024/05/23/publics-positive-economic-ratings-slip-inflation-still-widely-viewed-as-major-problem </w:t>
      </w:r>
      <w:r>
        <w:t xml:space="preserve"> </w:t>
      </w:r>
    </w:p>
    <w:p w14:paraId="554B9225" w14:textId="77777777" w:rsidR="007F218E" w:rsidRPr="007F218E" w:rsidRDefault="007F218E" w:rsidP="007F218E">
      <w:pPr>
        <w:ind w:left="720" w:hanging="720"/>
      </w:pPr>
      <w:r w:rsidRPr="007F218E">
        <w:t xml:space="preserve">Phillips, A. W. (1958). The relation between unemployment and the rate of change of money wage rates in the United Kingdom, 1861-1957. </w:t>
      </w:r>
      <w:r w:rsidRPr="007F218E">
        <w:rPr>
          <w:i/>
          <w:iCs/>
        </w:rPr>
        <w:t>Economica</w:t>
      </w:r>
      <w:r w:rsidRPr="007F218E">
        <w:t xml:space="preserve">, </w:t>
      </w:r>
      <w:r w:rsidRPr="007F218E">
        <w:rPr>
          <w:i/>
          <w:iCs/>
        </w:rPr>
        <w:t>25</w:t>
      </w:r>
      <w:r w:rsidRPr="007F218E">
        <w:t xml:space="preserve">(100), 283. https://doi.org/10.2307/2550759 </w:t>
      </w:r>
    </w:p>
    <w:p w14:paraId="282BBC55" w14:textId="32471DB9" w:rsidR="007F218E" w:rsidRPr="007F218E" w:rsidRDefault="007F218E" w:rsidP="00A46EFC">
      <w:pPr>
        <w:ind w:left="720" w:hanging="720"/>
        <w:rPr>
          <w:color w:val="000000" w:themeColor="text1"/>
        </w:rPr>
      </w:pPr>
      <w:r w:rsidRPr="007F218E">
        <w:t>Straub, S. (2011). Infrastructure and Development: A Critical Appraisal of the Macro-level Literature. </w:t>
      </w:r>
      <w:r w:rsidRPr="007F218E">
        <w:rPr>
          <w:i/>
          <w:iCs/>
        </w:rPr>
        <w:t>The Journal of Development Studies</w:t>
      </w:r>
      <w:r w:rsidRPr="007F218E">
        <w:t>, </w:t>
      </w:r>
      <w:r w:rsidRPr="007F218E">
        <w:rPr>
          <w:i/>
          <w:iCs/>
        </w:rPr>
        <w:t>47</w:t>
      </w:r>
      <w:r w:rsidRPr="007F218E">
        <w:t xml:space="preserve">(5), 683–708. </w:t>
      </w:r>
      <w:hyperlink r:id="rId12" w:history="1">
        <w:r w:rsidRPr="007F218E">
          <w:rPr>
            <w:rStyle w:val="Hyperlink"/>
            <w:color w:val="000000" w:themeColor="text1"/>
            <w:u w:val="none"/>
          </w:rPr>
          <w:t>https://doi.org/10.1080/00220388.2010.509785</w:t>
        </w:r>
      </w:hyperlink>
    </w:p>
    <w:p w14:paraId="68F26CDC" w14:textId="4074A112" w:rsidR="000621F2" w:rsidRPr="007D5C62" w:rsidRDefault="00A46EFC" w:rsidP="007D5C62">
      <w:pPr>
        <w:ind w:left="720" w:hanging="720"/>
        <w:rPr>
          <w:rPrChange w:id="1" w:author="Joseph Russoniello" w:date="2025-04-30T17:34:00Z" w16du:dateUtc="2025-04-30T21:34:00Z">
            <w:rPr/>
          </w:rPrChange>
        </w:rPr>
      </w:pPr>
      <w:r w:rsidRPr="00A46EFC">
        <w:t xml:space="preserve">World Bank. (2025). </w:t>
      </w:r>
      <w:r w:rsidRPr="00A46EFC">
        <w:rPr>
          <w:i/>
          <w:iCs/>
        </w:rPr>
        <w:t>Country policy and institutional assessment</w:t>
      </w:r>
      <w:r w:rsidRPr="00A46EFC">
        <w:t xml:space="preserve">. DataBank. https://databank.worldbank.org/source/country-policy-and-institutional-assessment </w:t>
      </w:r>
    </w:p>
    <w:sectPr w:rsidR="000621F2" w:rsidRPr="007D5C62" w:rsidSect="000C3AF9">
      <w:headerReference w:type="default" r:id="rId13"/>
      <w:headerReference w:type="first" r:id="rId14"/>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seph Russoniello" w:date="2025-04-27T16:12:00Z" w:initials="JR">
    <w:p w14:paraId="2CD54EDC" w14:textId="77777777" w:rsidR="00FC3EB0" w:rsidRDefault="00FC3EB0" w:rsidP="00FC3EB0">
      <w:pPr>
        <w:pStyle w:val="CommentText"/>
      </w:pPr>
      <w:r>
        <w:rPr>
          <w:rStyle w:val="CommentReference"/>
        </w:rPr>
        <w:annotationRef/>
      </w:r>
      <w:r>
        <w:t>Add a table for this if there is room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54ED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9F315" w16cex:dateUtc="2025-04-27T20:12:00Z">
    <w16cex:extLst>
      <w16:ext w16:uri="{CE6994B0-6A32-4C9F-8C6B-6E91EDA988CE}">
        <cr:reactions xmlns:cr="http://schemas.microsoft.com/office/comments/2020/reactions">
          <cr:reaction reactionType="1">
            <cr:reactionInfo dateUtc="2025-04-30T20:49:16Z">
              <cr:user userId="S::jrussoniello@highwaywest.com::438fc456-b4ab-4b28-8ce2-933422a82221" userProvider="AD" userName="Joseph Russoniell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54EDC" w16cid:durableId="2109F3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230C1" w14:textId="77777777" w:rsidR="00BE33A6" w:rsidRDefault="00BE33A6" w:rsidP="005F4010">
      <w:pPr>
        <w:spacing w:after="0" w:line="240" w:lineRule="auto"/>
      </w:pPr>
      <w:r>
        <w:separator/>
      </w:r>
    </w:p>
  </w:endnote>
  <w:endnote w:type="continuationSeparator" w:id="0">
    <w:p w14:paraId="6F3A04DD" w14:textId="77777777" w:rsidR="00BE33A6" w:rsidRDefault="00BE33A6" w:rsidP="005F4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DECF1" w14:textId="77777777" w:rsidR="00BE33A6" w:rsidRDefault="00BE33A6" w:rsidP="005F4010">
      <w:pPr>
        <w:spacing w:after="0" w:line="240" w:lineRule="auto"/>
      </w:pPr>
      <w:r>
        <w:separator/>
      </w:r>
    </w:p>
  </w:footnote>
  <w:footnote w:type="continuationSeparator" w:id="0">
    <w:p w14:paraId="165CF0F0" w14:textId="77777777" w:rsidR="00BE33A6" w:rsidRDefault="00BE33A6" w:rsidP="005F40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704862124"/>
      <w:docPartObj>
        <w:docPartGallery w:val="Page Numbers (Top of Page)"/>
        <w:docPartUnique/>
      </w:docPartObj>
    </w:sdtPr>
    <w:sdtEndPr>
      <w:rPr>
        <w:noProof/>
      </w:rPr>
    </w:sdtEndPr>
    <w:sdtContent>
      <w:p w14:paraId="2D07C78A" w14:textId="6339D511" w:rsidR="005F4010" w:rsidRPr="000C3AF9" w:rsidRDefault="005F4010">
        <w:pPr>
          <w:pStyle w:val="Header"/>
          <w:jc w:val="right"/>
          <w:rPr>
            <w:color w:val="000000" w:themeColor="text1"/>
          </w:rPr>
        </w:pPr>
        <w:r w:rsidRPr="000C3AF9">
          <w:rPr>
            <w:color w:val="000000" w:themeColor="text1"/>
          </w:rPr>
          <w:t xml:space="preserve">THE NEXUS OF MACROECONOMIC POLICY QUALITY ON INFLATION                                           </w:t>
        </w:r>
        <w:r w:rsidRPr="000C3AF9">
          <w:rPr>
            <w:color w:val="000000" w:themeColor="text1"/>
          </w:rPr>
          <w:fldChar w:fldCharType="begin"/>
        </w:r>
        <w:r w:rsidRPr="000C3AF9">
          <w:rPr>
            <w:color w:val="000000" w:themeColor="text1"/>
          </w:rPr>
          <w:instrText xml:space="preserve"> PAGE   \* MERGEFORMAT </w:instrText>
        </w:r>
        <w:r w:rsidRPr="000C3AF9">
          <w:rPr>
            <w:color w:val="000000" w:themeColor="text1"/>
          </w:rPr>
          <w:fldChar w:fldCharType="separate"/>
        </w:r>
        <w:r w:rsidRPr="000C3AF9">
          <w:rPr>
            <w:noProof/>
            <w:color w:val="000000" w:themeColor="text1"/>
          </w:rPr>
          <w:t>2</w:t>
        </w:r>
        <w:r w:rsidRPr="000C3AF9">
          <w:rPr>
            <w:noProof/>
            <w:color w:val="000000" w:themeColor="text1"/>
          </w:rPr>
          <w:fldChar w:fldCharType="end"/>
        </w:r>
      </w:p>
    </w:sdtContent>
  </w:sdt>
  <w:p w14:paraId="72663EF2" w14:textId="77777777" w:rsidR="005F4010" w:rsidRPr="000C3AF9" w:rsidRDefault="005F4010">
    <w:pPr>
      <w:pStyle w:val="Header"/>
      <w:rPr>
        <w:color w:val="000000" w:themeColor="tex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C3A6" w14:textId="0E00D7D7" w:rsidR="005F4010" w:rsidRDefault="005F4010">
    <w:pPr>
      <w:pStyle w:val="Header"/>
    </w:pPr>
    <w:r>
      <w:t xml:space="preserve">   </w:t>
    </w:r>
    <w:r>
      <w:tab/>
    </w:r>
    <w:r>
      <w:tab/>
      <w:t xml:space="preserve">     1</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Russoniello">
    <w15:presenceInfo w15:providerId="AD" w15:userId="S::jrussoniello@highwaywest.com::438fc456-b4ab-4b28-8ce2-933422a822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BD2"/>
    <w:rsid w:val="00033486"/>
    <w:rsid w:val="0004585A"/>
    <w:rsid w:val="000621F2"/>
    <w:rsid w:val="00082C23"/>
    <w:rsid w:val="0008425B"/>
    <w:rsid w:val="000C3AF9"/>
    <w:rsid w:val="00126CA5"/>
    <w:rsid w:val="00185A05"/>
    <w:rsid w:val="001D6FFC"/>
    <w:rsid w:val="001E5F15"/>
    <w:rsid w:val="00232DEA"/>
    <w:rsid w:val="00241D80"/>
    <w:rsid w:val="0028680C"/>
    <w:rsid w:val="002B0E80"/>
    <w:rsid w:val="00395BFB"/>
    <w:rsid w:val="00487B01"/>
    <w:rsid w:val="004E7577"/>
    <w:rsid w:val="005C0C30"/>
    <w:rsid w:val="005D28F3"/>
    <w:rsid w:val="005F4010"/>
    <w:rsid w:val="006C509E"/>
    <w:rsid w:val="0070184E"/>
    <w:rsid w:val="00750EF0"/>
    <w:rsid w:val="007D5C62"/>
    <w:rsid w:val="007F218E"/>
    <w:rsid w:val="00832DE5"/>
    <w:rsid w:val="008360D0"/>
    <w:rsid w:val="008E67D1"/>
    <w:rsid w:val="00960C0B"/>
    <w:rsid w:val="009A300E"/>
    <w:rsid w:val="009A745C"/>
    <w:rsid w:val="00A03AA9"/>
    <w:rsid w:val="00A076E6"/>
    <w:rsid w:val="00A46EFC"/>
    <w:rsid w:val="00A52B96"/>
    <w:rsid w:val="00B07AD9"/>
    <w:rsid w:val="00B17402"/>
    <w:rsid w:val="00B17AEF"/>
    <w:rsid w:val="00B33DFD"/>
    <w:rsid w:val="00B33E12"/>
    <w:rsid w:val="00B409E8"/>
    <w:rsid w:val="00B4312C"/>
    <w:rsid w:val="00B7440A"/>
    <w:rsid w:val="00BE33A6"/>
    <w:rsid w:val="00C653D9"/>
    <w:rsid w:val="00CA3CC0"/>
    <w:rsid w:val="00CE0BD2"/>
    <w:rsid w:val="00E66FED"/>
    <w:rsid w:val="00E72252"/>
    <w:rsid w:val="00F26CA6"/>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E82E8A"/>
  <w15:chartTrackingRefBased/>
  <w15:docId w15:val="{624C0C0A-2ED9-401E-80FF-554C56EF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0B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0B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0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0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0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0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B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0B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0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0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0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0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BD2"/>
    <w:rPr>
      <w:rFonts w:eastAsiaTheme="majorEastAsia" w:cstheme="majorBidi"/>
      <w:color w:val="272727" w:themeColor="text1" w:themeTint="D8"/>
    </w:rPr>
  </w:style>
  <w:style w:type="paragraph" w:styleId="Title">
    <w:name w:val="Title"/>
    <w:basedOn w:val="Normal"/>
    <w:next w:val="Normal"/>
    <w:link w:val="TitleChar"/>
    <w:uiPriority w:val="10"/>
    <w:qFormat/>
    <w:rsid w:val="00CE0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BD2"/>
    <w:pPr>
      <w:spacing w:before="160"/>
      <w:jc w:val="center"/>
    </w:pPr>
    <w:rPr>
      <w:i/>
      <w:iCs/>
      <w:color w:val="404040" w:themeColor="text1" w:themeTint="BF"/>
    </w:rPr>
  </w:style>
  <w:style w:type="character" w:customStyle="1" w:styleId="QuoteChar">
    <w:name w:val="Quote Char"/>
    <w:basedOn w:val="DefaultParagraphFont"/>
    <w:link w:val="Quote"/>
    <w:uiPriority w:val="29"/>
    <w:rsid w:val="00CE0BD2"/>
    <w:rPr>
      <w:i/>
      <w:iCs/>
      <w:color w:val="404040" w:themeColor="text1" w:themeTint="BF"/>
    </w:rPr>
  </w:style>
  <w:style w:type="paragraph" w:styleId="ListParagraph">
    <w:name w:val="List Paragraph"/>
    <w:basedOn w:val="Normal"/>
    <w:uiPriority w:val="34"/>
    <w:qFormat/>
    <w:rsid w:val="00CE0BD2"/>
    <w:pPr>
      <w:ind w:left="720"/>
      <w:contextualSpacing/>
    </w:pPr>
  </w:style>
  <w:style w:type="character" w:styleId="IntenseEmphasis">
    <w:name w:val="Intense Emphasis"/>
    <w:basedOn w:val="DefaultParagraphFont"/>
    <w:uiPriority w:val="21"/>
    <w:qFormat/>
    <w:rsid w:val="00CE0BD2"/>
    <w:rPr>
      <w:i/>
      <w:iCs/>
      <w:color w:val="0F4761" w:themeColor="accent1" w:themeShade="BF"/>
    </w:rPr>
  </w:style>
  <w:style w:type="paragraph" w:styleId="IntenseQuote">
    <w:name w:val="Intense Quote"/>
    <w:basedOn w:val="Normal"/>
    <w:next w:val="Normal"/>
    <w:link w:val="IntenseQuoteChar"/>
    <w:uiPriority w:val="30"/>
    <w:qFormat/>
    <w:rsid w:val="00CE0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0BD2"/>
    <w:rPr>
      <w:i/>
      <w:iCs/>
      <w:color w:val="0F4761" w:themeColor="accent1" w:themeShade="BF"/>
    </w:rPr>
  </w:style>
  <w:style w:type="character" w:styleId="IntenseReference">
    <w:name w:val="Intense Reference"/>
    <w:basedOn w:val="DefaultParagraphFont"/>
    <w:uiPriority w:val="32"/>
    <w:qFormat/>
    <w:rsid w:val="00CE0BD2"/>
    <w:rPr>
      <w:b/>
      <w:bCs/>
      <w:smallCaps/>
      <w:color w:val="0F4761" w:themeColor="accent1" w:themeShade="BF"/>
      <w:spacing w:val="5"/>
    </w:rPr>
  </w:style>
  <w:style w:type="paragraph" w:styleId="Revision">
    <w:name w:val="Revision"/>
    <w:hidden/>
    <w:uiPriority w:val="99"/>
    <w:semiHidden/>
    <w:rsid w:val="00CE0BD2"/>
    <w:pPr>
      <w:spacing w:after="0" w:line="240" w:lineRule="auto"/>
    </w:pPr>
  </w:style>
  <w:style w:type="character" w:styleId="PlaceholderText">
    <w:name w:val="Placeholder Text"/>
    <w:basedOn w:val="DefaultParagraphFont"/>
    <w:uiPriority w:val="99"/>
    <w:semiHidden/>
    <w:rsid w:val="00CE0BD2"/>
    <w:rPr>
      <w:color w:val="666666"/>
    </w:rPr>
  </w:style>
  <w:style w:type="character" w:styleId="CommentReference">
    <w:name w:val="annotation reference"/>
    <w:basedOn w:val="DefaultParagraphFont"/>
    <w:uiPriority w:val="99"/>
    <w:semiHidden/>
    <w:unhideWhenUsed/>
    <w:rsid w:val="00FC3EB0"/>
    <w:rPr>
      <w:sz w:val="16"/>
      <w:szCs w:val="16"/>
    </w:rPr>
  </w:style>
  <w:style w:type="paragraph" w:styleId="CommentText">
    <w:name w:val="annotation text"/>
    <w:basedOn w:val="Normal"/>
    <w:link w:val="CommentTextChar"/>
    <w:uiPriority w:val="99"/>
    <w:unhideWhenUsed/>
    <w:rsid w:val="00FC3EB0"/>
    <w:pPr>
      <w:spacing w:line="240" w:lineRule="auto"/>
    </w:pPr>
    <w:rPr>
      <w:sz w:val="20"/>
      <w:szCs w:val="20"/>
    </w:rPr>
  </w:style>
  <w:style w:type="character" w:customStyle="1" w:styleId="CommentTextChar">
    <w:name w:val="Comment Text Char"/>
    <w:basedOn w:val="DefaultParagraphFont"/>
    <w:link w:val="CommentText"/>
    <w:uiPriority w:val="99"/>
    <w:rsid w:val="00FC3EB0"/>
    <w:rPr>
      <w:sz w:val="20"/>
      <w:szCs w:val="20"/>
    </w:rPr>
  </w:style>
  <w:style w:type="paragraph" w:styleId="CommentSubject">
    <w:name w:val="annotation subject"/>
    <w:basedOn w:val="CommentText"/>
    <w:next w:val="CommentText"/>
    <w:link w:val="CommentSubjectChar"/>
    <w:uiPriority w:val="99"/>
    <w:semiHidden/>
    <w:unhideWhenUsed/>
    <w:rsid w:val="00FC3EB0"/>
    <w:rPr>
      <w:b/>
      <w:bCs/>
    </w:rPr>
  </w:style>
  <w:style w:type="character" w:customStyle="1" w:styleId="CommentSubjectChar">
    <w:name w:val="Comment Subject Char"/>
    <w:basedOn w:val="CommentTextChar"/>
    <w:link w:val="CommentSubject"/>
    <w:uiPriority w:val="99"/>
    <w:semiHidden/>
    <w:rsid w:val="00FC3EB0"/>
    <w:rPr>
      <w:b/>
      <w:bCs/>
      <w:sz w:val="20"/>
      <w:szCs w:val="20"/>
    </w:rPr>
  </w:style>
  <w:style w:type="paragraph" w:styleId="Header">
    <w:name w:val="header"/>
    <w:basedOn w:val="Normal"/>
    <w:link w:val="HeaderChar"/>
    <w:uiPriority w:val="99"/>
    <w:unhideWhenUsed/>
    <w:rsid w:val="005F40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4010"/>
  </w:style>
  <w:style w:type="paragraph" w:styleId="Footer">
    <w:name w:val="footer"/>
    <w:basedOn w:val="Normal"/>
    <w:link w:val="FooterChar"/>
    <w:uiPriority w:val="99"/>
    <w:unhideWhenUsed/>
    <w:rsid w:val="005F40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4010"/>
  </w:style>
  <w:style w:type="paragraph" w:styleId="Caption">
    <w:name w:val="caption"/>
    <w:basedOn w:val="Normal"/>
    <w:next w:val="Normal"/>
    <w:uiPriority w:val="35"/>
    <w:unhideWhenUsed/>
    <w:qFormat/>
    <w:rsid w:val="008E67D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52B96"/>
    <w:rPr>
      <w:color w:val="467886" w:themeColor="hyperlink"/>
      <w:u w:val="single"/>
    </w:rPr>
  </w:style>
  <w:style w:type="character" w:styleId="UnresolvedMention">
    <w:name w:val="Unresolved Mention"/>
    <w:basedOn w:val="DefaultParagraphFont"/>
    <w:uiPriority w:val="99"/>
    <w:semiHidden/>
    <w:unhideWhenUsed/>
    <w:rsid w:val="00A52B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41015">
      <w:bodyDiv w:val="1"/>
      <w:marLeft w:val="0"/>
      <w:marRight w:val="0"/>
      <w:marTop w:val="0"/>
      <w:marBottom w:val="0"/>
      <w:divBdr>
        <w:top w:val="none" w:sz="0" w:space="0" w:color="auto"/>
        <w:left w:val="none" w:sz="0" w:space="0" w:color="auto"/>
        <w:bottom w:val="none" w:sz="0" w:space="0" w:color="auto"/>
        <w:right w:val="none" w:sz="0" w:space="0" w:color="auto"/>
      </w:divBdr>
    </w:div>
    <w:div w:id="110707812">
      <w:bodyDiv w:val="1"/>
      <w:marLeft w:val="0"/>
      <w:marRight w:val="0"/>
      <w:marTop w:val="0"/>
      <w:marBottom w:val="0"/>
      <w:divBdr>
        <w:top w:val="none" w:sz="0" w:space="0" w:color="auto"/>
        <w:left w:val="none" w:sz="0" w:space="0" w:color="auto"/>
        <w:bottom w:val="none" w:sz="0" w:space="0" w:color="auto"/>
        <w:right w:val="none" w:sz="0" w:space="0" w:color="auto"/>
      </w:divBdr>
    </w:div>
    <w:div w:id="111898150">
      <w:bodyDiv w:val="1"/>
      <w:marLeft w:val="0"/>
      <w:marRight w:val="0"/>
      <w:marTop w:val="0"/>
      <w:marBottom w:val="0"/>
      <w:divBdr>
        <w:top w:val="none" w:sz="0" w:space="0" w:color="auto"/>
        <w:left w:val="none" w:sz="0" w:space="0" w:color="auto"/>
        <w:bottom w:val="none" w:sz="0" w:space="0" w:color="auto"/>
        <w:right w:val="none" w:sz="0" w:space="0" w:color="auto"/>
      </w:divBdr>
    </w:div>
    <w:div w:id="207692137">
      <w:bodyDiv w:val="1"/>
      <w:marLeft w:val="0"/>
      <w:marRight w:val="0"/>
      <w:marTop w:val="0"/>
      <w:marBottom w:val="0"/>
      <w:divBdr>
        <w:top w:val="none" w:sz="0" w:space="0" w:color="auto"/>
        <w:left w:val="none" w:sz="0" w:space="0" w:color="auto"/>
        <w:bottom w:val="none" w:sz="0" w:space="0" w:color="auto"/>
        <w:right w:val="none" w:sz="0" w:space="0" w:color="auto"/>
      </w:divBdr>
    </w:div>
    <w:div w:id="280042606">
      <w:bodyDiv w:val="1"/>
      <w:marLeft w:val="0"/>
      <w:marRight w:val="0"/>
      <w:marTop w:val="0"/>
      <w:marBottom w:val="0"/>
      <w:divBdr>
        <w:top w:val="none" w:sz="0" w:space="0" w:color="auto"/>
        <w:left w:val="none" w:sz="0" w:space="0" w:color="auto"/>
        <w:bottom w:val="none" w:sz="0" w:space="0" w:color="auto"/>
        <w:right w:val="none" w:sz="0" w:space="0" w:color="auto"/>
      </w:divBdr>
    </w:div>
    <w:div w:id="374044404">
      <w:bodyDiv w:val="1"/>
      <w:marLeft w:val="0"/>
      <w:marRight w:val="0"/>
      <w:marTop w:val="0"/>
      <w:marBottom w:val="0"/>
      <w:divBdr>
        <w:top w:val="none" w:sz="0" w:space="0" w:color="auto"/>
        <w:left w:val="none" w:sz="0" w:space="0" w:color="auto"/>
        <w:bottom w:val="none" w:sz="0" w:space="0" w:color="auto"/>
        <w:right w:val="none" w:sz="0" w:space="0" w:color="auto"/>
      </w:divBdr>
    </w:div>
    <w:div w:id="699741524">
      <w:bodyDiv w:val="1"/>
      <w:marLeft w:val="0"/>
      <w:marRight w:val="0"/>
      <w:marTop w:val="0"/>
      <w:marBottom w:val="0"/>
      <w:divBdr>
        <w:top w:val="none" w:sz="0" w:space="0" w:color="auto"/>
        <w:left w:val="none" w:sz="0" w:space="0" w:color="auto"/>
        <w:bottom w:val="none" w:sz="0" w:space="0" w:color="auto"/>
        <w:right w:val="none" w:sz="0" w:space="0" w:color="auto"/>
      </w:divBdr>
    </w:div>
    <w:div w:id="753938465">
      <w:bodyDiv w:val="1"/>
      <w:marLeft w:val="0"/>
      <w:marRight w:val="0"/>
      <w:marTop w:val="0"/>
      <w:marBottom w:val="0"/>
      <w:divBdr>
        <w:top w:val="none" w:sz="0" w:space="0" w:color="auto"/>
        <w:left w:val="none" w:sz="0" w:space="0" w:color="auto"/>
        <w:bottom w:val="none" w:sz="0" w:space="0" w:color="auto"/>
        <w:right w:val="none" w:sz="0" w:space="0" w:color="auto"/>
      </w:divBdr>
    </w:div>
    <w:div w:id="837503446">
      <w:bodyDiv w:val="1"/>
      <w:marLeft w:val="0"/>
      <w:marRight w:val="0"/>
      <w:marTop w:val="0"/>
      <w:marBottom w:val="0"/>
      <w:divBdr>
        <w:top w:val="none" w:sz="0" w:space="0" w:color="auto"/>
        <w:left w:val="none" w:sz="0" w:space="0" w:color="auto"/>
        <w:bottom w:val="none" w:sz="0" w:space="0" w:color="auto"/>
        <w:right w:val="none" w:sz="0" w:space="0" w:color="auto"/>
      </w:divBdr>
    </w:div>
    <w:div w:id="963582335">
      <w:bodyDiv w:val="1"/>
      <w:marLeft w:val="0"/>
      <w:marRight w:val="0"/>
      <w:marTop w:val="0"/>
      <w:marBottom w:val="0"/>
      <w:divBdr>
        <w:top w:val="none" w:sz="0" w:space="0" w:color="auto"/>
        <w:left w:val="none" w:sz="0" w:space="0" w:color="auto"/>
        <w:bottom w:val="none" w:sz="0" w:space="0" w:color="auto"/>
        <w:right w:val="none" w:sz="0" w:space="0" w:color="auto"/>
      </w:divBdr>
    </w:div>
    <w:div w:id="1118833558">
      <w:bodyDiv w:val="1"/>
      <w:marLeft w:val="0"/>
      <w:marRight w:val="0"/>
      <w:marTop w:val="0"/>
      <w:marBottom w:val="0"/>
      <w:divBdr>
        <w:top w:val="none" w:sz="0" w:space="0" w:color="auto"/>
        <w:left w:val="none" w:sz="0" w:space="0" w:color="auto"/>
        <w:bottom w:val="none" w:sz="0" w:space="0" w:color="auto"/>
        <w:right w:val="none" w:sz="0" w:space="0" w:color="auto"/>
      </w:divBdr>
    </w:div>
    <w:div w:id="1193689047">
      <w:bodyDiv w:val="1"/>
      <w:marLeft w:val="0"/>
      <w:marRight w:val="0"/>
      <w:marTop w:val="0"/>
      <w:marBottom w:val="0"/>
      <w:divBdr>
        <w:top w:val="none" w:sz="0" w:space="0" w:color="auto"/>
        <w:left w:val="none" w:sz="0" w:space="0" w:color="auto"/>
        <w:bottom w:val="none" w:sz="0" w:space="0" w:color="auto"/>
        <w:right w:val="none" w:sz="0" w:space="0" w:color="auto"/>
      </w:divBdr>
    </w:div>
    <w:div w:id="1255243267">
      <w:bodyDiv w:val="1"/>
      <w:marLeft w:val="0"/>
      <w:marRight w:val="0"/>
      <w:marTop w:val="0"/>
      <w:marBottom w:val="0"/>
      <w:divBdr>
        <w:top w:val="none" w:sz="0" w:space="0" w:color="auto"/>
        <w:left w:val="none" w:sz="0" w:space="0" w:color="auto"/>
        <w:bottom w:val="none" w:sz="0" w:space="0" w:color="auto"/>
        <w:right w:val="none" w:sz="0" w:space="0" w:color="auto"/>
      </w:divBdr>
    </w:div>
    <w:div w:id="1267346207">
      <w:bodyDiv w:val="1"/>
      <w:marLeft w:val="0"/>
      <w:marRight w:val="0"/>
      <w:marTop w:val="0"/>
      <w:marBottom w:val="0"/>
      <w:divBdr>
        <w:top w:val="none" w:sz="0" w:space="0" w:color="auto"/>
        <w:left w:val="none" w:sz="0" w:space="0" w:color="auto"/>
        <w:bottom w:val="none" w:sz="0" w:space="0" w:color="auto"/>
        <w:right w:val="none" w:sz="0" w:space="0" w:color="auto"/>
      </w:divBdr>
    </w:div>
    <w:div w:id="1301493134">
      <w:bodyDiv w:val="1"/>
      <w:marLeft w:val="0"/>
      <w:marRight w:val="0"/>
      <w:marTop w:val="0"/>
      <w:marBottom w:val="0"/>
      <w:divBdr>
        <w:top w:val="none" w:sz="0" w:space="0" w:color="auto"/>
        <w:left w:val="none" w:sz="0" w:space="0" w:color="auto"/>
        <w:bottom w:val="none" w:sz="0" w:space="0" w:color="auto"/>
        <w:right w:val="none" w:sz="0" w:space="0" w:color="auto"/>
      </w:divBdr>
    </w:div>
    <w:div w:id="1345132869">
      <w:bodyDiv w:val="1"/>
      <w:marLeft w:val="0"/>
      <w:marRight w:val="0"/>
      <w:marTop w:val="0"/>
      <w:marBottom w:val="0"/>
      <w:divBdr>
        <w:top w:val="none" w:sz="0" w:space="0" w:color="auto"/>
        <w:left w:val="none" w:sz="0" w:space="0" w:color="auto"/>
        <w:bottom w:val="none" w:sz="0" w:space="0" w:color="auto"/>
        <w:right w:val="none" w:sz="0" w:space="0" w:color="auto"/>
      </w:divBdr>
    </w:div>
    <w:div w:id="1410542663">
      <w:bodyDiv w:val="1"/>
      <w:marLeft w:val="0"/>
      <w:marRight w:val="0"/>
      <w:marTop w:val="0"/>
      <w:marBottom w:val="0"/>
      <w:divBdr>
        <w:top w:val="none" w:sz="0" w:space="0" w:color="auto"/>
        <w:left w:val="none" w:sz="0" w:space="0" w:color="auto"/>
        <w:bottom w:val="none" w:sz="0" w:space="0" w:color="auto"/>
        <w:right w:val="none" w:sz="0" w:space="0" w:color="auto"/>
      </w:divBdr>
    </w:div>
    <w:div w:id="1454791327">
      <w:bodyDiv w:val="1"/>
      <w:marLeft w:val="0"/>
      <w:marRight w:val="0"/>
      <w:marTop w:val="0"/>
      <w:marBottom w:val="0"/>
      <w:divBdr>
        <w:top w:val="none" w:sz="0" w:space="0" w:color="auto"/>
        <w:left w:val="none" w:sz="0" w:space="0" w:color="auto"/>
        <w:bottom w:val="none" w:sz="0" w:space="0" w:color="auto"/>
        <w:right w:val="none" w:sz="0" w:space="0" w:color="auto"/>
      </w:divBdr>
    </w:div>
    <w:div w:id="1711109363">
      <w:bodyDiv w:val="1"/>
      <w:marLeft w:val="0"/>
      <w:marRight w:val="0"/>
      <w:marTop w:val="0"/>
      <w:marBottom w:val="0"/>
      <w:divBdr>
        <w:top w:val="none" w:sz="0" w:space="0" w:color="auto"/>
        <w:left w:val="none" w:sz="0" w:space="0" w:color="auto"/>
        <w:bottom w:val="none" w:sz="0" w:space="0" w:color="auto"/>
        <w:right w:val="none" w:sz="0" w:space="0" w:color="auto"/>
      </w:divBdr>
    </w:div>
    <w:div w:id="1743066490">
      <w:bodyDiv w:val="1"/>
      <w:marLeft w:val="0"/>
      <w:marRight w:val="0"/>
      <w:marTop w:val="0"/>
      <w:marBottom w:val="0"/>
      <w:divBdr>
        <w:top w:val="none" w:sz="0" w:space="0" w:color="auto"/>
        <w:left w:val="none" w:sz="0" w:space="0" w:color="auto"/>
        <w:bottom w:val="none" w:sz="0" w:space="0" w:color="auto"/>
        <w:right w:val="none" w:sz="0" w:space="0" w:color="auto"/>
      </w:divBdr>
    </w:div>
    <w:div w:id="1805349010">
      <w:bodyDiv w:val="1"/>
      <w:marLeft w:val="0"/>
      <w:marRight w:val="0"/>
      <w:marTop w:val="0"/>
      <w:marBottom w:val="0"/>
      <w:divBdr>
        <w:top w:val="none" w:sz="0" w:space="0" w:color="auto"/>
        <w:left w:val="none" w:sz="0" w:space="0" w:color="auto"/>
        <w:bottom w:val="none" w:sz="0" w:space="0" w:color="auto"/>
        <w:right w:val="none" w:sz="0" w:space="0" w:color="auto"/>
      </w:divBdr>
    </w:div>
    <w:div w:id="1924295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80/00220388.2010.509785"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8ECE9-4E70-4E92-8A16-8F5B83A28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1335</TotalTime>
  <Pages>15</Pages>
  <Words>2457</Words>
  <Characters>17620</Characters>
  <Application>Microsoft Office Word</Application>
  <DocSecurity>0</DocSecurity>
  <Lines>503</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Russoniello</dc:creator>
  <cp:keywords/>
  <dc:description/>
  <cp:lastModifiedBy>Joseph Russoniello</cp:lastModifiedBy>
  <cp:revision>17</cp:revision>
  <dcterms:created xsi:type="dcterms:W3CDTF">2025-04-27T19:29:00Z</dcterms:created>
  <dcterms:modified xsi:type="dcterms:W3CDTF">2025-04-30T21:42:00Z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e6433cd7-ad6e-495a-b267-4d6af0fb5990</vt:lpwstr>
  </property>
</Properties>
</file>