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中信银行作业帮活动配置操作手册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</w:rPr>
      </w:pPr>
    </w:p>
    <w:p>
      <w:pPr>
        <w:pStyle w:val="6"/>
        <w:tabs>
          <w:tab w:val="right" w:leader="dot" w:pos="8306"/>
        </w:tabs>
        <w:rPr>
          <w:rFonts w:hint="eastAsia" w:ascii="黑体" w:hAnsi="黑体" w:eastAsia="黑体" w:cs="黑体"/>
          <w:color w:val="auto"/>
          <w:sz w:val="32"/>
          <w:szCs w:val="32"/>
        </w:rPr>
      </w:pPr>
    </w:p>
    <w:p>
      <w:pPr>
        <w:pStyle w:val="5"/>
        <w:tabs>
          <w:tab w:val="right" w:leader="dot" w:pos="8306"/>
        </w:tabs>
        <w:rPr>
          <w:rFonts w:hint="eastAsia" w:ascii="黑体" w:hAnsi="黑体" w:eastAsia="黑体" w:cs="黑体"/>
          <w:color w:val="auto"/>
          <w:szCs w:val="32"/>
        </w:rPr>
      </w:pPr>
      <w:r>
        <w:rPr>
          <w:rFonts w:hint="eastAsia" w:ascii="黑体" w:hAnsi="黑体" w:eastAsia="黑体" w:cs="黑体"/>
          <w:color w:val="auto"/>
          <w:sz w:val="32"/>
          <w:szCs w:val="32"/>
        </w:rPr>
        <w:fldChar w:fldCharType="begin"/>
      </w:r>
      <w:r>
        <w:rPr>
          <w:rFonts w:hint="eastAsia" w:ascii="黑体" w:hAnsi="黑体" w:eastAsia="黑体" w:cs="黑体"/>
          <w:color w:val="auto"/>
          <w:sz w:val="32"/>
          <w:szCs w:val="32"/>
        </w:rPr>
        <w:instrText xml:space="preserve">TOC \o "1-3" \h \u </w:instrText>
      </w:r>
      <w:r>
        <w:rPr>
          <w:rFonts w:hint="eastAsia" w:ascii="黑体" w:hAnsi="黑体" w:eastAsia="黑体" w:cs="黑体"/>
          <w:color w:val="auto"/>
          <w:sz w:val="32"/>
          <w:szCs w:val="32"/>
        </w:rPr>
        <w:fldChar w:fldCharType="separate"/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color w:val="auto"/>
          <w:szCs w:val="32"/>
        </w:rPr>
        <w:fldChar w:fldCharType="end"/>
      </w:r>
    </w:p>
    <w:sdt>
      <w:sdtPr>
        <w:rPr>
          <w:rFonts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id w:val="14746890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28"/>
              <w:szCs w:val="28"/>
            </w:rPr>
          </w:pPr>
          <w:r>
            <w:rPr>
              <w:rFonts w:ascii="宋体" w:hAnsi="宋体" w:eastAsia="宋体"/>
              <w:b/>
              <w:bCs/>
              <w:sz w:val="28"/>
              <w:szCs w:val="28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_Toc7868 </w:instrText>
          </w:r>
          <w:r>
            <w:fldChar w:fldCharType="separate"/>
          </w:r>
          <w:r>
            <w:rPr>
              <w:rFonts w:hint="eastAsia"/>
              <w:bCs/>
              <w:szCs w:val="30"/>
              <w:lang w:val="en-US" w:eastAsia="zh-CN"/>
            </w:rPr>
            <w:t xml:space="preserve">一、 </w:t>
          </w:r>
          <w:r>
            <w:rPr>
              <w:rFonts w:hint="eastAsia"/>
              <w:bCs/>
              <w:szCs w:val="30"/>
              <w:lang w:val="en-US" w:eastAsia="zh-CN"/>
            </w:rPr>
            <w:t>其它管理</w:t>
          </w:r>
          <w:r>
            <w:tab/>
          </w:r>
          <w:r>
            <w:fldChar w:fldCharType="begin"/>
          </w:r>
          <w:r>
            <w:instrText xml:space="preserve"> PAGEREF _Toc7868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_Toc20812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（一）会员管理</w:t>
          </w:r>
          <w:r>
            <w:tab/>
          </w:r>
          <w:r>
            <w:fldChar w:fldCharType="begin"/>
          </w:r>
          <w:r>
            <w:instrText xml:space="preserve"> PAGEREF _Toc20812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_Toc14801 </w:instrText>
          </w:r>
          <w:r>
            <w:fldChar w:fldCharType="separate"/>
          </w:r>
          <w:r>
            <w:rPr>
              <w:rFonts w:hint="eastAsia"/>
              <w:bCs/>
              <w:szCs w:val="30"/>
              <w:lang w:val="en-US" w:eastAsia="zh-CN"/>
            </w:rPr>
            <w:t>二、 产品模块管理</w:t>
          </w:r>
          <w:r>
            <w:tab/>
          </w:r>
          <w:r>
            <w:fldChar w:fldCharType="begin"/>
          </w:r>
          <w:r>
            <w:instrText xml:space="preserve"> PAGEREF _Toc14801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_Toc19733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（一）产品模块管理</w:t>
          </w:r>
          <w:r>
            <w:tab/>
          </w:r>
          <w:r>
            <w:fldChar w:fldCharType="begin"/>
          </w:r>
          <w:r>
            <w:instrText xml:space="preserve"> PAGEREF _Toc19733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_Toc1155 </w:instrText>
          </w:r>
          <w:r>
            <w:fldChar w:fldCharType="separate"/>
          </w:r>
          <w:r>
            <w:rPr>
              <w:rFonts w:hint="eastAsia"/>
              <w:bCs/>
              <w:szCs w:val="30"/>
              <w:lang w:val="en-US" w:eastAsia="zh-CN"/>
            </w:rPr>
            <w:t>三、 产品及价格管理</w:t>
          </w:r>
          <w:r>
            <w:tab/>
          </w:r>
          <w:r>
            <w:fldChar w:fldCharType="begin"/>
          </w:r>
          <w:r>
            <w:instrText xml:space="preserve"> PAGEREF _Toc1155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_Toc17275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（一）产品管理</w:t>
          </w:r>
          <w:r>
            <w:tab/>
          </w:r>
          <w:r>
            <w:fldChar w:fldCharType="begin"/>
          </w:r>
          <w:r>
            <w:instrText xml:space="preserve"> PAGEREF _Toc17275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_Toc27640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（二）代理账户产品价格管理</w:t>
          </w:r>
          <w:r>
            <w:tab/>
          </w:r>
          <w:r>
            <w:fldChar w:fldCharType="begin"/>
          </w:r>
          <w:r>
            <w:instrText xml:space="preserve"> PAGEREF _Toc27640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_Toc17088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（三）代理账户产品结算价格管理</w:t>
          </w:r>
          <w:r>
            <w:tab/>
          </w:r>
          <w:r>
            <w:fldChar w:fldCharType="begin"/>
          </w:r>
          <w:r>
            <w:instrText xml:space="preserve"> PAGEREF _Toc17088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_Toc3161 </w:instrText>
          </w:r>
          <w:r>
            <w:fldChar w:fldCharType="separate"/>
          </w:r>
          <w:r>
            <w:rPr>
              <w:rFonts w:hint="eastAsia"/>
              <w:bCs/>
              <w:szCs w:val="30"/>
              <w:lang w:val="en-US" w:eastAsia="zh-CN"/>
            </w:rPr>
            <w:t>四、 活动优惠券管理</w:t>
          </w:r>
          <w:r>
            <w:tab/>
          </w:r>
          <w:r>
            <w:fldChar w:fldCharType="begin"/>
          </w:r>
          <w:r>
            <w:instrText xml:space="preserve"> PAGEREF _Toc3161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_Toc18863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（一）优惠券管理</w:t>
          </w:r>
          <w:r>
            <w:tab/>
          </w:r>
          <w:r>
            <w:fldChar w:fldCharType="begin"/>
          </w:r>
          <w:r>
            <w:instrText xml:space="preserve"> PAGEREF _Toc18863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jc w:val="both"/>
            <w:rPr>
              <w:rFonts w:hint="eastAsia"/>
              <w:b/>
              <w:bCs/>
              <w:sz w:val="36"/>
              <w:szCs w:val="36"/>
              <w:lang w:val="en-US" w:eastAsia="zh-CN"/>
            </w:rPr>
          </w:pPr>
          <w:r>
            <w:fldChar w:fldCharType="end"/>
          </w:r>
        </w:p>
      </w:sdtContent>
    </w:sdt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bookmarkStart w:id="19" w:name="_GoBack"/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0" w:name="_Toc30540"/>
      <w:bookmarkStart w:id="1" w:name="_Toc7868"/>
      <w:r>
        <w:rPr>
          <w:rFonts w:hint="eastAsia"/>
          <w:b/>
          <w:bCs/>
          <w:sz w:val="30"/>
          <w:szCs w:val="30"/>
          <w:lang w:val="en-US" w:eastAsia="zh-CN"/>
        </w:rPr>
        <w:t>其它管理</w:t>
      </w:r>
      <w:bookmarkEnd w:id="0"/>
      <w:bookmarkEnd w:id="1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2" w:name="_Toc20812"/>
      <w:r>
        <w:rPr>
          <w:rFonts w:hint="eastAsia"/>
          <w:b/>
          <w:bCs/>
          <w:sz w:val="24"/>
          <w:szCs w:val="24"/>
          <w:lang w:val="en-US" w:eastAsia="zh-CN"/>
        </w:rPr>
        <w:t>（一）会员管理</w:t>
      </w:r>
      <w:bookmarkEnd w:id="2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1.1.1点击新增，新建会员信息</w:t>
      </w:r>
    </w:p>
    <w:p>
      <w:pPr>
        <w:jc w:val="both"/>
      </w:pPr>
      <w:r>
        <w:drawing>
          <wp:inline distT="0" distB="0" distL="114300" distR="114300">
            <wp:extent cx="5258435" cy="2559685"/>
            <wp:effectExtent l="0" t="0" r="1841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3" w:name="_Toc28882"/>
      <w:bookmarkStart w:id="4" w:name="_Toc26218"/>
      <w:bookmarkStart w:id="5" w:name="_Toc14801"/>
      <w:r>
        <w:rPr>
          <w:rFonts w:hint="eastAsia"/>
          <w:b/>
          <w:bCs/>
          <w:sz w:val="30"/>
          <w:szCs w:val="30"/>
          <w:lang w:val="en-US" w:eastAsia="zh-CN"/>
        </w:rPr>
        <w:t>产品模块管理</w:t>
      </w:r>
      <w:bookmarkEnd w:id="3"/>
      <w:bookmarkEnd w:id="4"/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6" w:name="_Toc12646"/>
      <w:bookmarkStart w:id="7" w:name="_Toc19733"/>
      <w:r>
        <w:rPr>
          <w:rFonts w:hint="eastAsia"/>
          <w:b/>
          <w:bCs/>
          <w:sz w:val="24"/>
          <w:szCs w:val="24"/>
          <w:lang w:val="en-US" w:eastAsia="zh-CN"/>
        </w:rPr>
        <w:t>（一）产品模块</w:t>
      </w:r>
      <w:bookmarkEnd w:id="6"/>
      <w:r>
        <w:rPr>
          <w:rFonts w:hint="eastAsia"/>
          <w:b/>
          <w:bCs/>
          <w:sz w:val="24"/>
          <w:szCs w:val="24"/>
          <w:lang w:val="en-US" w:eastAsia="zh-CN"/>
        </w:rPr>
        <w:t>管理</w:t>
      </w:r>
      <w:bookmarkEnd w:id="7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2.1.1点击新增，新增产品模块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770" cy="257683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2.1.2新增完模块，选中所增模块，点击显示产品模块。如图：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0" distR="0">
            <wp:extent cx="5274310" cy="2992120"/>
            <wp:effectExtent l="0" t="0" r="254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2.1.3给产品模块配置展示渠道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2518410"/>
            <wp:effectExtent l="0" t="0" r="1016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8" w:name="_Toc16013"/>
      <w:bookmarkStart w:id="9" w:name="_Toc1155"/>
      <w:r>
        <w:rPr>
          <w:rFonts w:hint="eastAsia"/>
          <w:b/>
          <w:bCs/>
          <w:sz w:val="30"/>
          <w:szCs w:val="30"/>
          <w:lang w:val="en-US" w:eastAsia="zh-CN"/>
        </w:rPr>
        <w:t>产品及价格管理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10" w:name="_Toc7635"/>
      <w:bookmarkStart w:id="11" w:name="_Toc17275"/>
      <w:r>
        <w:rPr>
          <w:rFonts w:hint="eastAsia"/>
          <w:b/>
          <w:bCs/>
          <w:sz w:val="24"/>
          <w:szCs w:val="24"/>
          <w:lang w:val="en-US" w:eastAsia="zh-CN"/>
        </w:rPr>
        <w:t>（一）产品</w:t>
      </w:r>
      <w:bookmarkEnd w:id="10"/>
      <w:r>
        <w:rPr>
          <w:rFonts w:hint="eastAsia"/>
          <w:b/>
          <w:bCs/>
          <w:sz w:val="24"/>
          <w:szCs w:val="24"/>
          <w:lang w:val="en-US" w:eastAsia="zh-CN"/>
        </w:rPr>
        <w:t>管理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3.1.1点击新增，新增产品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24936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注意：供货产品编码是填写通钱视频会员系统对应产品的产品编码，如图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0" distR="0">
            <wp:extent cx="5274310" cy="1892300"/>
            <wp:effectExtent l="0" t="0" r="254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/>
          <w:lang w:val="en-US" w:eastAsia="zh-CN"/>
        </w:rPr>
        <w:t>3.1.2新增完产品后，选中新增的产品，点击启用产品。如下图：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0" distR="0">
            <wp:extent cx="5274310" cy="27222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12" w:name="_Toc7530"/>
      <w:bookmarkStart w:id="13" w:name="_Toc27640"/>
      <w:r>
        <w:rPr>
          <w:rFonts w:hint="eastAsia"/>
          <w:b/>
          <w:bCs/>
          <w:sz w:val="24"/>
          <w:szCs w:val="24"/>
          <w:lang w:val="en-US" w:eastAsia="zh-CN"/>
        </w:rPr>
        <w:t>（二）代理账户产品价格管理</w:t>
      </w:r>
      <w:bookmarkEnd w:id="12"/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/>
          <w:lang w:val="en-US" w:eastAsia="zh-CN"/>
        </w:rPr>
        <w:t>3.2.1选中需要配置的产品，依次点击配货、调价、启用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0" distR="0">
            <wp:extent cx="5274310" cy="2249170"/>
            <wp:effectExtent l="0" t="0" r="25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3.2.2配货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6690" cy="249110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3.2.3调价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05075"/>
            <wp:effectExtent l="0" t="0" r="508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3.2.4启用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74595"/>
            <wp:effectExtent l="0" t="0" r="825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14" w:name="_Toc11996"/>
      <w:bookmarkStart w:id="15" w:name="_Toc17088"/>
      <w:r>
        <w:rPr>
          <w:rFonts w:hint="eastAsia"/>
          <w:b/>
          <w:bCs/>
          <w:sz w:val="24"/>
          <w:szCs w:val="24"/>
          <w:lang w:val="en-US" w:eastAsia="zh-CN"/>
        </w:rPr>
        <w:t>（三）代理账户产品结算价格管理</w:t>
      </w:r>
      <w:bookmarkEnd w:id="14"/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3.3.1产品及价格管理-代理账户产品结算价格管理-调价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58435" cy="2491105"/>
            <wp:effectExtent l="0" t="0" r="1841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30"/>
          <w:szCs w:val="30"/>
          <w:lang w:val="en-US" w:eastAsia="zh-CN"/>
        </w:rPr>
      </w:pPr>
      <w:bookmarkStart w:id="16" w:name="_Toc4383"/>
      <w:bookmarkStart w:id="17" w:name="_Toc3161"/>
      <w:r>
        <w:rPr>
          <w:rFonts w:hint="eastAsia"/>
          <w:b/>
          <w:bCs/>
          <w:sz w:val="30"/>
          <w:szCs w:val="30"/>
          <w:lang w:val="en-US" w:eastAsia="zh-CN"/>
        </w:rPr>
        <w:t>活动优惠券管理</w:t>
      </w:r>
      <w:bookmarkEnd w:id="16"/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18" w:name="_Toc18863"/>
      <w:r>
        <w:rPr>
          <w:rFonts w:hint="eastAsia"/>
          <w:b/>
          <w:bCs/>
          <w:sz w:val="24"/>
          <w:szCs w:val="24"/>
          <w:lang w:val="en-US" w:eastAsia="zh-CN"/>
        </w:rPr>
        <w:t>（一）优惠券管理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4.1.1点击新增，新增优惠券，规则如下图。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58435" cy="24993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4.1.2新增后，点击生成优惠券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474595"/>
            <wp:effectExtent l="0" t="0" r="1270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4.1.3查看优惠券明细，可得到优惠券兑换码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drawing>
          <wp:inline distT="0" distB="0" distL="114300" distR="114300">
            <wp:extent cx="5266690" cy="2499360"/>
            <wp:effectExtent l="0" t="0" r="10160" b="152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487930"/>
            <wp:effectExtent l="0" t="0" r="1524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339B3F"/>
    <w:multiLevelType w:val="singleLevel"/>
    <w:tmpl w:val="8F339B3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D53DA8"/>
    <w:rsid w:val="55AC4603"/>
    <w:rsid w:val="59D53DA8"/>
    <w:rsid w:val="67EE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name="toc 1"/>
    <w:lsdException w:qFormat="1" w:uiPriority="39" w:name="toc 2"/>
    <w:lsdException w:uiPriority="39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uiPriority w:val="39"/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styleId="10">
    <w:name w:val="Strong"/>
    <w:basedOn w:val="9"/>
    <w:qFormat/>
    <w:uiPriority w:val="0"/>
    <w:rPr>
      <w:b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sz w:val="30"/>
    </w:r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1180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2021-04-28T05:46:00Z</dcterms:created>
  <dc:creator>Admin</dc:creator>
  <cp:lastModifiedBy>Admin</cp:lastModifiedBy>
  <dcterms:modified xsi:type="dcterms:W3CDTF">2021-04-29T07:46:16Z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070B1C83D24C41699E947BAC1069C723</vt:lpwstr>
  </property>
</Properties>
</file>