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鼎惠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AppKey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AppSecre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t联系供应商提供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充值结果类型:查询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执行器dll: KCWN.MultiBussiness.SupplierExecutor.DH</w:t>
      </w:r>
    </w:p>
    <w:p>
      <w:pPr>
        <w:jc w:val="left"/>
      </w:pPr>
      <w:r>
        <w:drawing>
          <wp:inline distT="0" distB="0" distL="114300" distR="114300">
            <wp:extent cx="5274310" cy="3876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扩展属性：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t>CallBackUrl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lang w:val="en-US" w:eastAsia="zh-CN"/>
        </w:rPr>
        <w:t xml:space="preserve"> 填1    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t>通知接收地址</w:t>
      </w:r>
    </w:p>
    <w:p>
      <w:pPr>
        <w:jc w:val="left"/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t>JavaCommonUrl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instrText xml:space="preserve"> HYPERLINK "http://192.168.0.125:17874"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http://192.168.0.125:17874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加密地址</w:t>
      </w:r>
    </w:p>
    <w:p>
      <w:pPr>
        <w:jc w:val="left"/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MerchantPrivateKey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 xml:space="preserve">    联系供应商提供                  </w:t>
      </w: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</w:rPr>
        <w:t>RSA私人钥匙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RSAPublicKey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联系供应商提供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 xml:space="preserve">                 平台公钥验证签名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SubmitAndQueryUrl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instrText xml:space="preserve"> HYPERLINK "https://api.dearvvip.cn/mini_shop/api2/common/"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https://api.dearvvip.cn/mini_shop/api2/common/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 xml:space="preserve">   提单和查单接口地址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34734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537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2021-07-02T08:52:10Z</dcterms:created>
  <dc:creator>Admin</dc:creator>
  <cp:lastModifiedBy>Admin</cp:lastModifiedBy>
  <dcterms:modified xsi:type="dcterms:W3CDTF">2021-07-02T09:01:14Z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37F51CAD749D4B3D877D0F6469625847</vt:lpwstr>
  </property>
</Properties>
</file>