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湖北银联操作手册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配置产品模块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1.新增产品模块，子产品模块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56530" cy="210058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rPr>
          <w:rFonts w:hint="eastAsia"/>
          <w:lang w:val="en-US" w:eastAsia="zh-CN"/>
        </w:rPr>
        <w:t>给产品配置显示渠道到湖北银联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52603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955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配置广告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1.新增广告区块，并配置到显示渠道湖北银联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5482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378075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</w:pPr>
      <w:r>
        <w:rPr>
          <w:rFonts w:hint="eastAsia"/>
          <w:lang w:val="en-US" w:eastAsia="zh-CN"/>
        </w:rPr>
        <w:t>新增广告位，广告位链接格式：</w:t>
      </w:r>
      <w:r>
        <w:rPr>
          <w:rFonts w:hint="eastAsia"/>
          <w:b/>
          <w:bCs/>
          <w:lang w:val="en-US" w:eastAsia="zh-CN"/>
        </w:rPr>
        <w:t>/pages/commoditydetails/commoditydetails?code=加上所添加品牌的模块编码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310130"/>
            <wp:effectExtent l="0" t="0" r="698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配置到显示渠道湖北银联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287270"/>
            <wp:effectExtent l="0" t="0" r="25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4.展示效果</w:t>
      </w:r>
    </w:p>
    <w:p>
      <w:pPr>
        <w:numPr>
          <w:ilvl w:val="0"/>
          <w:numId w:val="0"/>
        </w:numPr>
        <w:ind w:left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526665" cy="445325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</w:pPr>
      <w:r>
        <w:rPr>
          <w:rFonts w:hint="eastAsia"/>
          <w:b/>
          <w:bCs/>
          <w:sz w:val="28"/>
          <w:szCs w:val="28"/>
          <w:lang w:val="en-US" w:eastAsia="zh-CN"/>
        </w:rPr>
        <w:t>配置代理商--产品及价格</w:t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1.新增产品，供应商产品编码来自</w:t>
      </w:r>
      <w:r>
        <w:rPr>
          <w:rFonts w:hint="eastAsia"/>
          <w:b/>
          <w:bCs/>
          <w:lang w:val="en-US" w:eastAsia="zh-CN"/>
        </w:rPr>
        <w:t>老视频会员系统的产品编码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22955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5420" cy="2855595"/>
            <wp:effectExtent l="0" t="0" r="1143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2.在代理账户产品价格管理---给代理商配产品</w:t>
      </w:r>
    </w:p>
    <w:p>
      <w:pPr>
        <w:jc w:val="both"/>
      </w:pPr>
      <w:r>
        <w:drawing>
          <wp:inline distT="0" distB="0" distL="114300" distR="114300">
            <wp:extent cx="5270500" cy="284099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3.启用产品关系</w:t>
      </w:r>
    </w:p>
    <w:p>
      <w:pPr>
        <w:jc w:val="both"/>
      </w:pPr>
      <w:r>
        <w:drawing>
          <wp:inline distT="0" distB="0" distL="114300" distR="114300">
            <wp:extent cx="5265420" cy="735965"/>
            <wp:effectExtent l="0" t="0" r="1143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4.调整代理商产品的价格，即</w:t>
      </w:r>
      <w:r>
        <w:rPr>
          <w:rFonts w:hint="eastAsia"/>
          <w:b/>
          <w:bCs/>
          <w:lang w:val="en-US" w:eastAsia="zh-CN"/>
        </w:rPr>
        <w:t>最终展示在湖北银联页面的价格</w:t>
      </w:r>
    </w:p>
    <w:p>
      <w:pPr>
        <w:jc w:val="both"/>
      </w:pPr>
      <w:r>
        <w:drawing>
          <wp:inline distT="0" distB="0" distL="114300" distR="114300">
            <wp:extent cx="5257800" cy="2539365"/>
            <wp:effectExtent l="0" t="0" r="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Fonts w:hint="eastAsia"/>
          <w:lang w:val="en-US" w:eastAsia="zh-CN"/>
        </w:rPr>
        <w:t>5.在代理账户产品结算价格管理--调价</w:t>
      </w:r>
    </w:p>
    <w:p>
      <w:pPr>
        <w:jc w:val="both"/>
      </w:pPr>
      <w:r>
        <w:drawing>
          <wp:inline distT="0" distB="0" distL="114300" distR="114300">
            <wp:extent cx="5272405" cy="2763520"/>
            <wp:effectExtent l="0" t="0" r="44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numPr>
          <w:ilvl w:val="0"/>
          <w:numId w:val="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最终展示效果</w:t>
      </w:r>
    </w:p>
    <w:p>
      <w:pPr>
        <w:jc w:val="both"/>
        <w:rPr>
          <w:rFonts w:hint="default" w:eastAsiaTheme="minor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677160" cy="4799965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352133"/>
    <w:multiLevelType w:val="singleLevel"/>
    <w:tmpl w:val="80352133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2FBC939"/>
    <w:multiLevelType w:val="singleLevel"/>
    <w:tmpl w:val="12FBC93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2C8CBF1E"/>
    <w:multiLevelType w:val="singleLevel"/>
    <w:tmpl w:val="2C8CBF1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2FD918B"/>
    <w:multiLevelType w:val="singleLevel"/>
    <w:tmpl w:val="52FD91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2D1009"/>
    <w:rsid w:val="32543E23"/>
    <w:rsid w:val="562D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2021-02-04T01:46:00Z</dcterms:created>
  <dc:creator>澧</dc:creator>
  <cp:lastModifiedBy>澧</cp:lastModifiedBy>
  <dcterms:modified xsi:type="dcterms:W3CDTF">2021-04-01T02:46:12Z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72273D5652234E06BBE3D7499991B361</vt:lpwstr>
  </property>
</Properties>
</file>