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黑体" w:hAnsi="黑体" w:eastAsia="黑体" w:cs="黑体"/>
          <w:color w:val="auto"/>
          <w:sz w:val="32"/>
          <w:szCs w:val="32"/>
        </w:rPr>
      </w:pPr>
      <w:r>
        <w:rPr>
          <w:rFonts w:hint="eastAsia" w:ascii="黑体" w:hAnsi="黑体" w:eastAsia="黑体" w:cs="黑体"/>
          <w:color w:val="auto"/>
          <w:sz w:val="32"/>
          <w:szCs w:val="32"/>
        </w:rPr>
        <w:t>缤纷优选商城产品上架及配置流程</w:t>
      </w:r>
    </w:p>
    <w:sdt>
      <w:sdtPr>
        <w:rPr>
          <w:rFonts w:hint="eastAsia" w:ascii="黑体" w:hAnsi="黑体" w:eastAsia="黑体" w:cs="黑体"/>
          <w:kern w:val="2"/>
          <w:sz w:val="32"/>
          <w:szCs w:val="32"/>
          <w:lang w:val="en-US" w:eastAsia="zh-CN" w:bidi="ar-SA"/>
        </w:rPr>
        <w:id w:val="147467326"/>
        <w15:color w:val="DBDBDB"/>
        <w:docPartObj>
          <w:docPartGallery w:val="Table of Contents"/>
          <w:docPartUnique/>
        </w:docPartObj>
      </w:sdtPr>
      <w:sdtEndPr>
        <w:rPr>
          <w:rFonts w:hint="eastAsia" w:ascii="微软雅黑" w:hAnsi="微软雅黑" w:eastAsia="微软雅黑" w:cs="微软雅黑"/>
          <w:color w:val="auto"/>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kern w:val="2"/>
              <w:sz w:val="32"/>
              <w:szCs w:val="32"/>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p>
        <w:p>
          <w:pPr>
            <w:pStyle w:val="7"/>
            <w:tabs>
              <w:tab w:val="right" w:leader="dot" w:pos="8306"/>
            </w:tabs>
          </w:pPr>
          <w:r>
            <w:rPr>
              <w:rFonts w:hint="eastAsia" w:ascii="黑体" w:hAnsi="黑体" w:eastAsia="黑体" w:cs="黑体"/>
              <w:color w:val="auto"/>
              <w:sz w:val="32"/>
              <w:szCs w:val="32"/>
            </w:rPr>
            <w:fldChar w:fldCharType="begin"/>
          </w:r>
          <w:r>
            <w:rPr>
              <w:rFonts w:hint="eastAsia" w:ascii="黑体" w:hAnsi="黑体" w:eastAsia="黑体" w:cs="黑体"/>
              <w:color w:val="auto"/>
              <w:sz w:val="32"/>
              <w:szCs w:val="32"/>
            </w:rPr>
            <w:instrText xml:space="preserve">TOC \o "1-3" \h \u </w:instrText>
          </w:r>
          <w:r>
            <w:rPr>
              <w:rFonts w:hint="eastAsia" w:ascii="黑体" w:hAnsi="黑体" w:eastAsia="黑体" w:cs="黑体"/>
              <w:color w:val="auto"/>
              <w:sz w:val="32"/>
              <w:szCs w:val="32"/>
            </w:rPr>
            <w:fldChar w:fldCharType="separate"/>
          </w: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_Toc28882 </w:instrText>
          </w:r>
          <w:r>
            <w:rPr>
              <w:rFonts w:hint="eastAsia" w:ascii="黑体" w:hAnsi="黑体" w:eastAsia="黑体" w:cs="黑体"/>
              <w:szCs w:val="32"/>
            </w:rPr>
            <w:fldChar w:fldCharType="separate"/>
          </w:r>
          <w:r>
            <w:rPr>
              <w:rFonts w:hint="eastAsia"/>
              <w:lang w:val="en-US" w:eastAsia="zh-CN"/>
            </w:rPr>
            <w:t>一、产品配置（</w:t>
          </w:r>
          <w:r>
            <w:rPr>
              <w:rFonts w:hint="eastAsia"/>
            </w:rPr>
            <w:t>产品模块</w:t>
          </w:r>
          <w:r>
            <w:rPr>
              <w:rFonts w:hint="eastAsia"/>
              <w:lang w:val="en-US" w:eastAsia="zh-CN"/>
            </w:rPr>
            <w:t>+新增产品+产品配置）</w:t>
          </w:r>
          <w:r>
            <w:tab/>
          </w:r>
          <w:r>
            <w:fldChar w:fldCharType="begin"/>
          </w:r>
          <w:r>
            <w:instrText xml:space="preserve"> PAGEREF _Toc28882 </w:instrText>
          </w:r>
          <w:r>
            <w:fldChar w:fldCharType="separate"/>
          </w:r>
          <w:r>
            <w:t>2</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_Toc12646 </w:instrText>
          </w:r>
          <w:r>
            <w:rPr>
              <w:rFonts w:hint="eastAsia" w:ascii="黑体" w:hAnsi="黑体" w:eastAsia="黑体" w:cs="黑体"/>
              <w:szCs w:val="32"/>
            </w:rPr>
            <w:fldChar w:fldCharType="separate"/>
          </w:r>
          <w:r>
            <w:rPr>
              <w:rFonts w:hint="eastAsia"/>
              <w:lang w:val="en-US" w:eastAsia="zh-CN"/>
            </w:rPr>
            <w:t>1、</w:t>
          </w:r>
          <w:r>
            <w:rPr>
              <w:rFonts w:hint="eastAsia"/>
            </w:rPr>
            <w:t>产品模块</w:t>
          </w:r>
          <w:r>
            <w:tab/>
          </w:r>
          <w:r>
            <w:fldChar w:fldCharType="begin"/>
          </w:r>
          <w:r>
            <w:instrText xml:space="preserve"> PAGEREF _Toc12646 </w:instrText>
          </w:r>
          <w:r>
            <w:fldChar w:fldCharType="separate"/>
          </w:r>
          <w:r>
            <w:t>2</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_Toc7635 </w:instrText>
          </w:r>
          <w:r>
            <w:rPr>
              <w:rFonts w:hint="eastAsia" w:ascii="黑体" w:hAnsi="黑体" w:eastAsia="黑体" w:cs="黑体"/>
              <w:szCs w:val="32"/>
            </w:rPr>
            <w:fldChar w:fldCharType="separate"/>
          </w:r>
          <w:r>
            <w:rPr>
              <w:rFonts w:hint="eastAsia"/>
              <w:lang w:val="en-US" w:eastAsia="zh-CN"/>
            </w:rPr>
            <w:t>2、</w:t>
          </w:r>
          <w:r>
            <w:rPr>
              <w:rFonts w:hint="eastAsia"/>
            </w:rPr>
            <w:t>新增产品</w:t>
          </w:r>
          <w:r>
            <w:tab/>
          </w:r>
          <w:r>
            <w:fldChar w:fldCharType="begin"/>
          </w:r>
          <w:r>
            <w:instrText xml:space="preserve"> PAGEREF _Toc7635 </w:instrText>
          </w:r>
          <w:r>
            <w:fldChar w:fldCharType="separate"/>
          </w:r>
          <w:r>
            <w:t>4</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_Toc32250 </w:instrText>
          </w:r>
          <w:r>
            <w:rPr>
              <w:rFonts w:hint="eastAsia" w:ascii="黑体" w:hAnsi="黑体" w:eastAsia="黑体" w:cs="黑体"/>
              <w:szCs w:val="32"/>
            </w:rPr>
            <w:fldChar w:fldCharType="separate"/>
          </w:r>
          <w:r>
            <w:rPr>
              <w:rFonts w:hint="eastAsia"/>
              <w:lang w:val="en-US" w:eastAsia="zh-CN"/>
            </w:rPr>
            <w:t>3、产品配置</w:t>
          </w:r>
          <w:r>
            <w:tab/>
          </w:r>
          <w:r>
            <w:fldChar w:fldCharType="begin"/>
          </w:r>
          <w:r>
            <w:instrText xml:space="preserve"> PAGEREF _Toc32250 </w:instrText>
          </w:r>
          <w:r>
            <w:fldChar w:fldCharType="separate"/>
          </w:r>
          <w:r>
            <w:t>6</w:t>
          </w:r>
          <w:r>
            <w:fldChar w:fldCharType="end"/>
          </w:r>
          <w:r>
            <w:rPr>
              <w:rFonts w:hint="eastAsia" w:ascii="黑体" w:hAnsi="黑体" w:eastAsia="黑体" w:cs="黑体"/>
              <w:color w:val="auto"/>
              <w:szCs w:val="32"/>
            </w:rPr>
            <w:fldChar w:fldCharType="end"/>
          </w:r>
        </w:p>
        <w:p>
          <w:pPr>
            <w:pStyle w:val="5"/>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_Toc7530 </w:instrText>
          </w:r>
          <w:r>
            <w:rPr>
              <w:rFonts w:hint="eastAsia" w:ascii="黑体" w:hAnsi="黑体" w:eastAsia="黑体" w:cs="黑体"/>
              <w:szCs w:val="32"/>
            </w:rPr>
            <w:fldChar w:fldCharType="separate"/>
          </w:r>
          <w:r>
            <w:rPr>
              <w:rFonts w:hint="eastAsia"/>
              <w:lang w:val="en-US" w:eastAsia="zh-CN"/>
            </w:rPr>
            <w:t>(1)</w:t>
          </w:r>
          <w:r>
            <w:rPr>
              <w:rFonts w:hint="eastAsia"/>
            </w:rPr>
            <w:t>代理账户产品价格管理</w:t>
          </w:r>
          <w:r>
            <w:tab/>
          </w:r>
          <w:r>
            <w:fldChar w:fldCharType="begin"/>
          </w:r>
          <w:r>
            <w:instrText xml:space="preserve"> PAGEREF _Toc7530 </w:instrText>
          </w:r>
          <w:r>
            <w:fldChar w:fldCharType="separate"/>
          </w:r>
          <w:r>
            <w:t>6</w:t>
          </w:r>
          <w:r>
            <w:fldChar w:fldCharType="end"/>
          </w:r>
          <w:r>
            <w:rPr>
              <w:rFonts w:hint="eastAsia" w:ascii="黑体" w:hAnsi="黑体" w:eastAsia="黑体" w:cs="黑体"/>
              <w:color w:val="auto"/>
              <w:szCs w:val="32"/>
            </w:rPr>
            <w:fldChar w:fldCharType="end"/>
          </w:r>
        </w:p>
        <w:p>
          <w:pPr>
            <w:pStyle w:val="5"/>
            <w:tabs>
              <w:tab w:val="right" w:leader="dot" w:pos="8306"/>
            </w:tabs>
            <w:rPr>
              <w:rFonts w:hint="eastAsia" w:ascii="黑体" w:hAnsi="黑体" w:eastAsia="黑体" w:cs="黑体"/>
              <w:color w:val="auto"/>
              <w:szCs w:val="32"/>
            </w:rPr>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_Toc11996 </w:instrText>
          </w:r>
          <w:r>
            <w:rPr>
              <w:rFonts w:hint="eastAsia" w:ascii="黑体" w:hAnsi="黑体" w:eastAsia="黑体" w:cs="黑体"/>
              <w:szCs w:val="32"/>
            </w:rPr>
            <w:fldChar w:fldCharType="separate"/>
          </w:r>
          <w:r>
            <w:rPr>
              <w:rFonts w:hint="eastAsia"/>
              <w:lang w:val="en-US" w:eastAsia="zh-CN"/>
            </w:rPr>
            <w:t>(2)</w:t>
          </w:r>
          <w:r>
            <w:rPr>
              <w:rFonts w:hint="eastAsia"/>
            </w:rPr>
            <w:t>代理账户产品结算价格管理</w:t>
          </w:r>
          <w:r>
            <w:tab/>
          </w:r>
          <w:r>
            <w:fldChar w:fldCharType="begin"/>
          </w:r>
          <w:r>
            <w:instrText xml:space="preserve"> PAGEREF _Toc11996 </w:instrText>
          </w:r>
          <w:r>
            <w:fldChar w:fldCharType="separate"/>
          </w:r>
          <w:r>
            <w:t>8</w:t>
          </w:r>
          <w:r>
            <w:fldChar w:fldCharType="end"/>
          </w:r>
          <w:r>
            <w:rPr>
              <w:rFonts w:hint="eastAsia" w:ascii="黑体" w:hAnsi="黑体" w:eastAsia="黑体" w:cs="黑体"/>
              <w:color w:val="auto"/>
              <w:szCs w:val="32"/>
            </w:rPr>
            <w:fldChar w:fldCharType="end"/>
          </w:r>
        </w:p>
        <w:p>
          <w:bookmarkStart w:id="11" w:name="_GoBack"/>
          <w:bookmarkEnd w:id="11"/>
        </w:p>
        <w:p>
          <w:pPr>
            <w:pStyle w:val="7"/>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_Toc23797 </w:instrText>
          </w:r>
          <w:r>
            <w:rPr>
              <w:rFonts w:hint="eastAsia" w:ascii="黑体" w:hAnsi="黑体" w:eastAsia="黑体" w:cs="黑体"/>
              <w:szCs w:val="32"/>
            </w:rPr>
            <w:fldChar w:fldCharType="separate"/>
          </w:r>
          <w:r>
            <w:rPr>
              <w:rFonts w:hint="eastAsia"/>
              <w:lang w:val="en-US" w:eastAsia="zh-CN"/>
            </w:rPr>
            <w:t>二、</w:t>
          </w:r>
          <w:r>
            <w:rPr>
              <w:rFonts w:hint="eastAsia"/>
            </w:rPr>
            <w:t>广告位区块和广告位的配置方法</w:t>
          </w:r>
          <w:r>
            <w:tab/>
          </w:r>
          <w:r>
            <w:fldChar w:fldCharType="begin"/>
          </w:r>
          <w:r>
            <w:instrText xml:space="preserve"> PAGEREF _Toc23797 </w:instrText>
          </w:r>
          <w:r>
            <w:fldChar w:fldCharType="separate"/>
          </w:r>
          <w:r>
            <w:t>12</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_Toc22094 </w:instrText>
          </w:r>
          <w:r>
            <w:rPr>
              <w:rFonts w:hint="eastAsia" w:ascii="黑体" w:hAnsi="黑体" w:eastAsia="黑体" w:cs="黑体"/>
              <w:szCs w:val="32"/>
            </w:rPr>
            <w:fldChar w:fldCharType="separate"/>
          </w:r>
          <w:r>
            <w:rPr>
              <w:rFonts w:hint="eastAsia"/>
              <w:lang w:val="en-US" w:eastAsia="zh-CN"/>
            </w:rPr>
            <w:t>1、</w:t>
          </w:r>
          <w:r>
            <w:rPr>
              <w:rFonts w:hint="eastAsia"/>
            </w:rPr>
            <w:t>广告位区块管理</w:t>
          </w:r>
          <w:r>
            <w:rPr>
              <w:rFonts w:hint="eastAsia"/>
              <w:lang w:val="en-US" w:eastAsia="zh-CN"/>
            </w:rPr>
            <w:t>----</w:t>
          </w:r>
          <w:r>
            <w:rPr>
              <w:rFonts w:hint="eastAsia"/>
            </w:rPr>
            <w:t>新增子区块</w:t>
          </w:r>
          <w:r>
            <w:tab/>
          </w:r>
          <w:r>
            <w:fldChar w:fldCharType="begin"/>
          </w:r>
          <w:r>
            <w:instrText xml:space="preserve"> PAGEREF _Toc22094 </w:instrText>
          </w:r>
          <w:r>
            <w:fldChar w:fldCharType="separate"/>
          </w:r>
          <w:r>
            <w:t>12</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_Toc7809 </w:instrText>
          </w:r>
          <w:r>
            <w:rPr>
              <w:rFonts w:hint="eastAsia" w:ascii="黑体" w:hAnsi="黑体" w:eastAsia="黑体" w:cs="黑体"/>
              <w:szCs w:val="32"/>
            </w:rPr>
            <w:fldChar w:fldCharType="separate"/>
          </w:r>
          <w:r>
            <w:rPr>
              <w:rFonts w:hint="eastAsia"/>
              <w:lang w:val="en-US" w:eastAsia="zh-CN"/>
            </w:rPr>
            <w:t>2、</w:t>
          </w:r>
          <w:r>
            <w:rPr>
              <w:rFonts w:hint="eastAsia"/>
            </w:rPr>
            <w:t>广告位管理</w:t>
          </w:r>
          <w:r>
            <w:tab/>
          </w:r>
          <w:r>
            <w:fldChar w:fldCharType="begin"/>
          </w:r>
          <w:r>
            <w:instrText xml:space="preserve"> PAGEREF _Toc7809 </w:instrText>
          </w:r>
          <w:r>
            <w:fldChar w:fldCharType="separate"/>
          </w:r>
          <w:r>
            <w:t>12</w:t>
          </w:r>
          <w:r>
            <w:fldChar w:fldCharType="end"/>
          </w:r>
          <w:r>
            <w:rPr>
              <w:rFonts w:hint="eastAsia" w:ascii="黑体" w:hAnsi="黑体" w:eastAsia="黑体" w:cs="黑体"/>
              <w:color w:val="auto"/>
              <w:szCs w:val="32"/>
            </w:rPr>
            <w:fldChar w:fldCharType="end"/>
          </w:r>
        </w:p>
        <w:p>
          <w:pPr>
            <w:pStyle w:val="8"/>
            <w:tabs>
              <w:tab w:val="right" w:leader="dot" w:pos="8306"/>
            </w:tabs>
          </w:pPr>
          <w:r>
            <w:rPr>
              <w:rFonts w:hint="eastAsia" w:ascii="黑体" w:hAnsi="黑体" w:eastAsia="黑体" w:cs="黑体"/>
              <w:color w:val="auto"/>
              <w:szCs w:val="32"/>
            </w:rPr>
            <w:fldChar w:fldCharType="begin"/>
          </w:r>
          <w:r>
            <w:rPr>
              <w:rFonts w:hint="eastAsia" w:ascii="黑体" w:hAnsi="黑体" w:eastAsia="黑体" w:cs="黑体"/>
              <w:szCs w:val="32"/>
            </w:rPr>
            <w:instrText xml:space="preserve"> HYPERLINK \l _Toc11166 </w:instrText>
          </w:r>
          <w:r>
            <w:rPr>
              <w:rFonts w:hint="eastAsia" w:ascii="黑体" w:hAnsi="黑体" w:eastAsia="黑体" w:cs="黑体"/>
              <w:szCs w:val="32"/>
            </w:rPr>
            <w:fldChar w:fldCharType="separate"/>
          </w:r>
          <w:r>
            <w:rPr>
              <w:rFonts w:hint="eastAsia"/>
              <w:lang w:val="en-US" w:eastAsia="zh-CN"/>
            </w:rPr>
            <w:t>3</w:t>
          </w:r>
          <w:r>
            <w:rPr>
              <w:rFonts w:hint="eastAsia"/>
            </w:rPr>
            <w:t>、广告位配置显示渠道</w:t>
          </w:r>
          <w:r>
            <w:tab/>
          </w:r>
          <w:r>
            <w:fldChar w:fldCharType="begin"/>
          </w:r>
          <w:r>
            <w:instrText xml:space="preserve"> PAGEREF _Toc11166 </w:instrText>
          </w:r>
          <w:r>
            <w:fldChar w:fldCharType="separate"/>
          </w:r>
          <w:r>
            <w:t>14</w:t>
          </w:r>
          <w:r>
            <w:fldChar w:fldCharType="end"/>
          </w:r>
          <w:r>
            <w:rPr>
              <w:rFonts w:hint="eastAsia" w:ascii="黑体" w:hAnsi="黑体" w:eastAsia="黑体" w:cs="黑体"/>
              <w:color w:val="auto"/>
              <w:szCs w:val="32"/>
            </w:rPr>
            <w:fldChar w:fldCharType="end"/>
          </w:r>
        </w:p>
        <w:p>
          <w:pPr>
            <w:bidi w:val="0"/>
            <w:jc w:val="left"/>
            <w:rPr>
              <w:rFonts w:hint="eastAsia" w:ascii="微软雅黑" w:hAnsi="微软雅黑" w:eastAsia="微软雅黑" w:cs="微软雅黑"/>
              <w:color w:val="C00000"/>
            </w:rPr>
          </w:pPr>
          <w:r>
            <w:rPr>
              <w:rFonts w:hint="eastAsia" w:ascii="黑体" w:hAnsi="黑体" w:eastAsia="黑体" w:cs="黑体"/>
              <w:color w:val="auto"/>
              <w:szCs w:val="32"/>
            </w:rPr>
            <w:fldChar w:fldCharType="end"/>
          </w:r>
        </w:p>
      </w:sdtContent>
    </w:sdt>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r>
        <w:rPr>
          <w:rFonts w:hint="eastAsia" w:ascii="微软雅黑" w:hAnsi="微软雅黑" w:eastAsia="微软雅黑" w:cs="微软雅黑"/>
          <w:color w:val="C00000"/>
        </w:rPr>
        <w:t>如何让产品显示在缤纷优选商城，用户正常购买？</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r>
        <w:rPr>
          <w:rFonts w:hint="eastAsia" w:ascii="微软雅黑" w:hAnsi="微软雅黑" w:eastAsia="微软雅黑" w:cs="微软雅黑"/>
          <w:color w:val="C00000"/>
        </w:rPr>
        <w:t>缤纷优选商城在哪里？</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r>
        <w:rPr>
          <w:rFonts w:hint="eastAsia" w:ascii="微软雅黑" w:hAnsi="微软雅黑" w:eastAsia="微软雅黑" w:cs="微软雅黑"/>
          <w:color w:val="C00000"/>
        </w:rPr>
        <w:t>微信关注 “BF缤纷优选 ” 点击“商城”进入缤纷优选商城</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C00000"/>
        </w:rPr>
      </w:pPr>
      <w:r>
        <w:rPr>
          <w:rFonts w:hint="eastAsia" w:ascii="微软雅黑" w:hAnsi="微软雅黑" w:eastAsia="微软雅黑" w:cs="微软雅黑"/>
          <w:color w:val="C00000"/>
        </w:rPr>
        <w:t>缤纷优选管理系统在哪里？</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微软雅黑" w:hAnsi="微软雅黑" w:eastAsia="微软雅黑" w:cs="微软雅黑"/>
          <w:color w:val="auto"/>
        </w:rPr>
      </w:pPr>
      <w:r>
        <w:rPr>
          <w:rFonts w:hint="eastAsia" w:ascii="微软雅黑" w:hAnsi="微软雅黑" w:eastAsia="微软雅黑" w:cs="微软雅黑"/>
          <w:color w:val="C00000"/>
        </w:rPr>
        <w:t>登录咔吧网-点击缤纷优选管理系统</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4857750" cy="2095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57750" cy="2095500"/>
                    </a:xfrm>
                    <a:prstGeom prst="rect">
                      <a:avLst/>
                    </a:prstGeom>
                  </pic:spPr>
                </pic:pic>
              </a:graphicData>
            </a:graphic>
          </wp:inline>
        </w:drawing>
      </w:r>
    </w:p>
    <w:p>
      <w:pPr>
        <w:pStyle w:val="2"/>
        <w:bidi w:val="0"/>
        <w:rPr>
          <w:rFonts w:hint="eastAsia" w:ascii="微软雅黑" w:hAnsi="微软雅黑" w:eastAsia="微软雅黑" w:cs="微软雅黑"/>
          <w:color w:val="auto"/>
          <w:lang w:val="en-US" w:eastAsia="zh-CN"/>
        </w:rPr>
      </w:pPr>
      <w:bookmarkStart w:id="0" w:name="_Toc28882"/>
      <w:r>
        <w:rPr>
          <w:rFonts w:hint="eastAsia"/>
          <w:lang w:val="en-US" w:eastAsia="zh-CN"/>
        </w:rPr>
        <w:t>一、产品配置（</w:t>
      </w:r>
      <w:r>
        <w:rPr>
          <w:rFonts w:hint="eastAsia"/>
        </w:rPr>
        <w:t>产品模块</w:t>
      </w:r>
      <w:r>
        <w:rPr>
          <w:rFonts w:hint="eastAsia"/>
          <w:lang w:val="en-US" w:eastAsia="zh-CN"/>
        </w:rPr>
        <w:t>+新增产品+产品配置）</w:t>
      </w:r>
      <w:bookmarkEnd w:id="0"/>
    </w:p>
    <w:p>
      <w:pPr>
        <w:pStyle w:val="3"/>
        <w:bidi w:val="0"/>
        <w:rPr>
          <w:rStyle w:val="13"/>
          <w:rFonts w:hint="eastAsia"/>
          <w:lang w:val="en-US" w:eastAsia="zh-CN"/>
        </w:rPr>
      </w:pPr>
      <w:bookmarkStart w:id="1" w:name="_Toc12646"/>
      <w:r>
        <w:rPr>
          <w:rFonts w:hint="eastAsia"/>
          <w:lang w:val="en-US" w:eastAsia="zh-CN"/>
        </w:rPr>
        <w:t>1、</w:t>
      </w:r>
      <w:r>
        <w:rPr>
          <w:rFonts w:hint="eastAsia"/>
        </w:rPr>
        <w:t>产品模块</w:t>
      </w:r>
      <w:bookmarkEnd w:id="1"/>
    </w:p>
    <w:p>
      <w:pPr>
        <w:bidi w:val="0"/>
        <w:rPr>
          <w:rFonts w:hint="eastAsia"/>
        </w:rPr>
      </w:pPr>
      <w:r>
        <w:rPr>
          <w:rFonts w:hint="eastAsia"/>
          <w:color w:val="C00000"/>
        </w:rPr>
        <w:t>先确定是否有上架产品的所属产品模块</w:t>
      </w:r>
      <w:r>
        <w:rPr>
          <w:rFonts w:hint="eastAsia"/>
        </w:rPr>
        <w:t>（按照下图方式查询）</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4991100" cy="42037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00452" cy="4212186"/>
                    </a:xfrm>
                    <a:prstGeom prst="rect">
                      <a:avLst/>
                    </a:prstGeom>
                  </pic:spPr>
                </pic:pic>
              </a:graphicData>
            </a:graphic>
          </wp:inline>
        </w:drawing>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如模块里没有要建产品的品牌，则点击新增产品模块，新增产品模块</w:t>
      </w:r>
      <w:r>
        <w:rPr>
          <w:rFonts w:hint="eastAsia" w:ascii="微软雅黑" w:hAnsi="微软雅黑" w:eastAsia="微软雅黑" w:cs="微软雅黑"/>
          <w:color w:val="auto"/>
        </w:rPr>
        <w:t>（如下图）：父级模块就是新增产品放在哪个分类下面，根据产品属性选择，图片地址处上传</w:t>
      </w:r>
      <w:r>
        <w:rPr>
          <w:rFonts w:hint="eastAsia" w:ascii="微软雅黑" w:hAnsi="微软雅黑" w:eastAsia="微软雅黑" w:cs="微软雅黑"/>
          <w:color w:val="C00000"/>
        </w:rPr>
        <w:t>品牌logo图片，需提前准备</w:t>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11836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1183667"/>
                    </a:xfrm>
                    <a:prstGeom prst="rect">
                      <a:avLst/>
                    </a:prstGeom>
                  </pic:spPr>
                </pic:pic>
              </a:graphicData>
            </a:graphic>
          </wp:inline>
        </w:drawing>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新增完模块，选中所增模块，点击</w:t>
      </w:r>
      <w:r>
        <w:rPr>
          <w:rFonts w:hint="eastAsia" w:ascii="微软雅黑" w:hAnsi="微软雅黑" w:eastAsia="微软雅黑" w:cs="微软雅黑"/>
          <w:color w:val="C00000"/>
        </w:rPr>
        <w:t>显示产品模块</w:t>
      </w:r>
      <w:r>
        <w:rPr>
          <w:rFonts w:hint="eastAsia" w:ascii="微软雅黑" w:hAnsi="微软雅黑" w:eastAsia="微软雅黑" w:cs="微软雅黑"/>
          <w:color w:val="auto"/>
        </w:rPr>
        <w:t>。如图：</w:t>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299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4310" cy="2992438"/>
                    </a:xfrm>
                    <a:prstGeom prst="rect">
                      <a:avLst/>
                    </a:prstGeom>
                  </pic:spPr>
                </pic:pic>
              </a:graphicData>
            </a:graphic>
          </wp:inline>
        </w:drawing>
      </w:r>
    </w:p>
    <w:p>
      <w:pPr>
        <w:bidi w:val="0"/>
        <w:jc w:val="left"/>
        <w:rPr>
          <w:rFonts w:hint="eastAsia" w:ascii="微软雅黑" w:hAnsi="微软雅黑" w:eastAsia="微软雅黑" w:cs="微软雅黑"/>
          <w:color w:val="C00000"/>
        </w:rPr>
      </w:pPr>
      <w:r>
        <w:rPr>
          <w:rFonts w:hint="eastAsia" w:ascii="微软雅黑" w:hAnsi="微软雅黑" w:eastAsia="微软雅黑" w:cs="微软雅黑"/>
          <w:color w:val="C00000"/>
        </w:rPr>
        <w:t>只有显示了产品模块，新增的品牌才能显示在商城首页。</w:t>
      </w:r>
    </w:p>
    <w:p>
      <w:pPr>
        <w:bidi w:val="0"/>
        <w:jc w:val="left"/>
        <w:rPr>
          <w:rFonts w:hint="eastAsia" w:ascii="微软雅黑" w:hAnsi="微软雅黑" w:eastAsia="微软雅黑" w:cs="微软雅黑"/>
          <w:color w:val="C00000"/>
        </w:rPr>
      </w:pPr>
    </w:p>
    <w:p>
      <w:pPr>
        <w:pStyle w:val="3"/>
        <w:bidi w:val="0"/>
        <w:rPr>
          <w:rFonts w:hint="eastAsia" w:ascii="微软雅黑" w:hAnsi="微软雅黑" w:eastAsia="微软雅黑" w:cs="微软雅黑"/>
          <w:color w:val="auto"/>
        </w:rPr>
      </w:pPr>
      <w:bookmarkStart w:id="2" w:name="_Toc7635"/>
      <w:r>
        <w:rPr>
          <w:rFonts w:hint="eastAsia"/>
          <w:lang w:val="en-US" w:eastAsia="zh-CN"/>
        </w:rPr>
        <w:t>2、</w:t>
      </w:r>
      <w:r>
        <w:rPr>
          <w:rFonts w:hint="eastAsia"/>
        </w:rPr>
        <w:t>新增产品</w:t>
      </w:r>
      <w:bookmarkEnd w:id="2"/>
    </w:p>
    <w:p>
      <w:pPr>
        <w:bidi w:val="0"/>
        <w:jc w:val="left"/>
        <w:rPr>
          <w:rFonts w:hint="default" w:ascii="微软雅黑" w:hAnsi="微软雅黑" w:eastAsia="微软雅黑" w:cs="微软雅黑"/>
          <w:color w:val="auto"/>
          <w:lang w:val="en-US" w:eastAsia="zh-CN"/>
        </w:rPr>
      </w:pPr>
      <w:r>
        <w:rPr>
          <w:rFonts w:hint="eastAsia" w:ascii="微软雅黑" w:hAnsi="微软雅黑" w:eastAsia="微软雅黑" w:cs="微软雅黑"/>
          <w:color w:val="auto"/>
        </w:rPr>
        <w:t>1.新增产品-产品</w:t>
      </w:r>
      <w:r>
        <w:rPr>
          <w:rFonts w:hint="eastAsia" w:ascii="微软雅黑" w:hAnsi="微软雅黑" w:eastAsia="微软雅黑" w:cs="微软雅黑"/>
          <w:color w:val="auto"/>
          <w:lang w:val="en-US" w:eastAsia="zh-CN"/>
        </w:rPr>
        <w:t>启用-</w:t>
      </w:r>
      <w:r>
        <w:rPr>
          <w:rFonts w:hint="eastAsia" w:ascii="微软雅黑" w:hAnsi="微软雅黑" w:eastAsia="微软雅黑" w:cs="微软雅黑"/>
          <w:color w:val="auto"/>
        </w:rPr>
        <w:t>产品及价格管理</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833110" cy="4362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834865" cy="4363317"/>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新增产品填写规则，看下图举例：</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140960" cy="2162175"/>
            <wp:effectExtent l="0" t="0" r="2540" b="0"/>
            <wp:docPr id="6" name="图片 6" descr="C:\Users\ADMINI~1\AppData\Local\Temp\1581934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581934135(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44109" cy="2163498"/>
                    </a:xfrm>
                    <a:prstGeom prst="rect">
                      <a:avLst/>
                    </a:prstGeom>
                    <a:noFill/>
                    <a:ln>
                      <a:noFill/>
                    </a:ln>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上图中：</w:t>
      </w:r>
    </w:p>
    <w:p>
      <w:pPr>
        <w:bidi w:val="0"/>
        <w:jc w:val="left"/>
        <w:rPr>
          <w:rFonts w:hint="eastAsia" w:ascii="微软雅黑" w:hAnsi="微软雅黑" w:eastAsia="微软雅黑" w:cs="微软雅黑"/>
          <w:color w:val="C00000"/>
        </w:rPr>
      </w:pPr>
      <w:r>
        <w:rPr>
          <w:rFonts w:hint="eastAsia" w:ascii="微软雅黑" w:hAnsi="微软雅黑" w:eastAsia="微软雅黑" w:cs="微软雅黑"/>
          <w:color w:val="C00000"/>
        </w:rPr>
        <w:t>产品名称、短名称、模块、面值均按实际情况填写即可；</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单元、好评、超时时间均按图示填写；</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供货产品编码是填写通钱视频会员系统对应产品的产品编码，</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（注意要填写对应业务类型的产品编码。即在缤纷商城上直充产品，填的供货产品编码就应该是通钱视频会员系统对应的直充产品编码。）具体的查询方法如下图：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18923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1892403"/>
                    </a:xfrm>
                    <a:prstGeom prst="rect">
                      <a:avLst/>
                    </a:prstGeom>
                  </pic:spPr>
                </pic:pic>
              </a:graphicData>
            </a:graphic>
          </wp:inline>
        </w:drawing>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产品图片和封面图片分别是logo和封面图片</w:t>
      </w:r>
      <w:r>
        <w:rPr>
          <w:rFonts w:hint="eastAsia" w:ascii="微软雅黑" w:hAnsi="微软雅黑" w:eastAsia="微软雅黑" w:cs="微软雅黑"/>
          <w:color w:val="auto"/>
        </w:rPr>
        <w:t>。见下面两个图：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2393950" cy="43434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397923" cy="4349485"/>
                    </a:xfrm>
                    <a:prstGeom prst="rect">
                      <a:avLst/>
                    </a:prstGeom>
                  </pic:spPr>
                </pic:pic>
              </a:graphicData>
            </a:graphic>
          </wp:inline>
        </w:drawing>
      </w:r>
      <w:r>
        <w:rPr>
          <w:rFonts w:hint="eastAsia" w:ascii="微软雅黑" w:hAnsi="微软雅黑" w:eastAsia="微软雅黑" w:cs="微软雅黑"/>
          <w:color w:val="auto"/>
        </w:rPr>
        <w:drawing>
          <wp:inline distT="0" distB="0" distL="0" distR="0">
            <wp:extent cx="2284730" cy="406717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286382" cy="4070075"/>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2.新增完产品后，选中新增的产品，点击</w:t>
      </w:r>
      <w:r>
        <w:rPr>
          <w:rFonts w:hint="eastAsia" w:ascii="微软雅黑" w:hAnsi="微软雅黑" w:eastAsia="微软雅黑" w:cs="微软雅黑"/>
          <w:color w:val="C00000"/>
        </w:rPr>
        <w:t>启用产品</w:t>
      </w:r>
      <w:r>
        <w:rPr>
          <w:rFonts w:hint="eastAsia" w:ascii="微软雅黑" w:hAnsi="微软雅黑" w:eastAsia="微软雅黑" w:cs="微软雅黑"/>
          <w:color w:val="auto"/>
        </w:rPr>
        <w:t>。如下图：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27222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74310" cy="2722618"/>
                    </a:xfrm>
                    <a:prstGeom prst="rect">
                      <a:avLst/>
                    </a:prstGeom>
                  </pic:spPr>
                </pic:pic>
              </a:graphicData>
            </a:graphic>
          </wp:inline>
        </w:drawing>
      </w:r>
    </w:p>
    <w:p>
      <w:pPr>
        <w:pStyle w:val="3"/>
        <w:bidi w:val="0"/>
        <w:rPr>
          <w:rFonts w:hint="eastAsia"/>
          <w:lang w:val="en-US" w:eastAsia="zh-CN"/>
        </w:rPr>
      </w:pPr>
      <w:bookmarkStart w:id="3" w:name="_Toc32250"/>
      <w:r>
        <w:rPr>
          <w:rFonts w:hint="eastAsia"/>
          <w:lang w:val="en-US" w:eastAsia="zh-CN"/>
        </w:rPr>
        <w:t>3、产品配置</w:t>
      </w:r>
      <w:bookmarkEnd w:id="3"/>
    </w:p>
    <w:p>
      <w:pPr>
        <w:bidi w:val="0"/>
        <w:rPr>
          <w:rFonts w:hint="eastAsia" w:ascii="黑体" w:hAnsi="黑体" w:eastAsia="黑体" w:cs="黑体"/>
          <w:color w:val="C00000"/>
          <w:sz w:val="24"/>
          <w:szCs w:val="24"/>
          <w:lang w:val="en-US" w:eastAsia="zh-CN"/>
        </w:rPr>
      </w:pPr>
      <w:bookmarkStart w:id="4" w:name="_Toc27696"/>
      <w:r>
        <w:rPr>
          <w:rFonts w:hint="eastAsia" w:ascii="黑体" w:hAnsi="黑体" w:eastAsia="黑体" w:cs="黑体"/>
          <w:color w:val="C00000"/>
          <w:sz w:val="24"/>
          <w:szCs w:val="24"/>
          <w:lang w:val="en-US" w:eastAsia="zh-CN"/>
        </w:rPr>
        <w:t>新增产品后需要把产品配置到缤纷优选商城，同时进行配货、调价、启用。</w:t>
      </w:r>
      <w:bookmarkEnd w:id="4"/>
    </w:p>
    <w:p>
      <w:pPr>
        <w:pStyle w:val="4"/>
        <w:bidi w:val="0"/>
        <w:rPr>
          <w:rFonts w:hint="eastAsia" w:ascii="黑体" w:hAnsi="黑体" w:eastAsia="黑体" w:cs="黑体"/>
          <w:lang w:val="en-US" w:eastAsia="zh-CN"/>
        </w:rPr>
      </w:pPr>
      <w:bookmarkStart w:id="5" w:name="_Toc7530"/>
      <w:r>
        <w:rPr>
          <w:rFonts w:hint="eastAsia"/>
          <w:lang w:val="en-US" w:eastAsia="zh-CN"/>
        </w:rPr>
        <w:t>(1)</w:t>
      </w:r>
      <w:r>
        <w:rPr>
          <w:rFonts w:hint="eastAsia"/>
        </w:rPr>
        <w:t>代理账户产品价格管理</w:t>
      </w:r>
      <w:bookmarkEnd w:id="5"/>
    </w:p>
    <w:p>
      <w:pPr>
        <w:bidi w:val="0"/>
        <w:rPr>
          <w:rFonts w:hint="eastAsia" w:ascii="黑体" w:hAnsi="黑体" w:eastAsia="黑体" w:cs="黑体"/>
        </w:rPr>
      </w:pPr>
      <w:r>
        <w:rPr>
          <w:rFonts w:hint="eastAsia" w:ascii="黑体" w:hAnsi="黑体" w:eastAsia="黑体" w:cs="黑体"/>
        </w:rPr>
        <w:t>产品及价格管理-代理账户产品价格管理-选中需要配置的产品，依次点击配货、调价、启用</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22491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249518"/>
                    </a:xfrm>
                    <a:prstGeom prst="rect">
                      <a:avLst/>
                    </a:prstGeom>
                  </pic:spPr>
                </pic:pic>
              </a:graphicData>
            </a:graphic>
          </wp:inline>
        </w:drawing>
      </w:r>
    </w:p>
    <w:p>
      <w:pPr>
        <w:bidi w:val="0"/>
        <w:jc w:val="left"/>
        <w:rPr>
          <w:rFonts w:hint="eastAsia" w:ascii="微软雅黑" w:hAnsi="微软雅黑" w:eastAsia="微软雅黑" w:cs="微软雅黑"/>
          <w:color w:val="C00000"/>
        </w:rPr>
      </w:pPr>
      <w:r>
        <w:rPr>
          <w:rFonts w:hint="eastAsia" w:ascii="微软雅黑" w:hAnsi="微软雅黑" w:eastAsia="微软雅黑" w:cs="微软雅黑"/>
          <w:color w:val="C00000"/>
        </w:rPr>
        <w:t>点开配货</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095875" cy="39357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093422" cy="3933844"/>
                    </a:xfrm>
                    <a:prstGeom prst="rect">
                      <a:avLst/>
                    </a:prstGeom>
                  </pic:spPr>
                </pic:pic>
              </a:graphicData>
            </a:graphic>
          </wp:inline>
        </w:drawing>
      </w:r>
    </w:p>
    <w:p>
      <w:pPr>
        <w:bidi w:val="0"/>
        <w:jc w:val="left"/>
        <w:rPr>
          <w:rFonts w:hint="eastAsia" w:ascii="微软雅黑" w:hAnsi="微软雅黑" w:eastAsia="微软雅黑" w:cs="微软雅黑"/>
          <w:color w:val="C00000"/>
        </w:rPr>
      </w:pPr>
      <w:r>
        <w:rPr>
          <w:rFonts w:hint="eastAsia" w:ascii="微软雅黑" w:hAnsi="微软雅黑" w:eastAsia="微软雅黑" w:cs="微软雅黑"/>
          <w:color w:val="C00000"/>
        </w:rPr>
        <w:t>点开调价</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41592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4159624"/>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启用</w:t>
      </w:r>
      <w:r>
        <w:rPr>
          <w:rFonts w:hint="eastAsia" w:ascii="微软雅黑" w:hAnsi="微软雅黑" w:eastAsia="微软雅黑" w:cs="微软雅黑"/>
          <w:color w:val="auto"/>
        </w:rPr>
        <w:t>，上架产品是禁用状态，选中产品，点击启用，状态就变为启用。</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10439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1044484"/>
                    </a:xfrm>
                    <a:prstGeom prst="rect">
                      <a:avLst/>
                    </a:prstGeom>
                  </pic:spPr>
                </pic:pic>
              </a:graphicData>
            </a:graphic>
          </wp:inline>
        </w:drawing>
      </w:r>
    </w:p>
    <w:p>
      <w:pPr>
        <w:pStyle w:val="4"/>
        <w:bidi w:val="0"/>
        <w:rPr>
          <w:rFonts w:hint="eastAsia" w:ascii="微软雅黑" w:hAnsi="微软雅黑" w:eastAsia="微软雅黑" w:cs="微软雅黑"/>
          <w:color w:val="C00000"/>
          <w:lang w:val="en-US" w:eastAsia="zh-CN"/>
        </w:rPr>
      </w:pPr>
      <w:bookmarkStart w:id="6" w:name="_Toc11996"/>
      <w:r>
        <w:rPr>
          <w:rFonts w:hint="eastAsia"/>
          <w:lang w:val="en-US" w:eastAsia="zh-CN"/>
        </w:rPr>
        <w:t>(2)</w:t>
      </w:r>
      <w:r>
        <w:rPr>
          <w:rFonts w:hint="eastAsia"/>
        </w:rPr>
        <w:t>代理账户产品结算价格管理</w:t>
      </w:r>
      <w:bookmarkEnd w:id="6"/>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产品及价格管理-代理账户产品结算价格管理-调价</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280479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805029"/>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点开调价后如下图：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4429125" cy="347916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4429528" cy="3480050"/>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完成以上步骤，新增的品牌会出现在缤纷商城的分类里面，点击商城左上角选择对应的模块，商城首页就会出现对应的模块的产品，如图：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3416300" cy="66389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3416792" cy="6638925"/>
                    </a:xfrm>
                    <a:prstGeom prst="rect">
                      <a:avLst/>
                    </a:prstGeom>
                  </pic:spPr>
                </pic:pic>
              </a:graphicData>
            </a:graphic>
          </wp:inline>
        </w:drawing>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这时，只有选择左上角的分类才可以找到新增的产品。但是我们才打开缤纷商城首页，就能看到很多产品，如何把产品添加到首页呢？</w:t>
      </w:r>
      <w:r>
        <w:rPr>
          <w:rFonts w:hint="eastAsia" w:ascii="微软雅黑" w:hAnsi="微软雅黑" w:eastAsia="微软雅黑" w:cs="微软雅黑"/>
          <w:color w:val="auto"/>
        </w:rPr>
        <w:t>如下图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3152775" cy="64985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3153778" cy="6501187"/>
                    </a:xfrm>
                    <a:prstGeom prst="rect">
                      <a:avLst/>
                    </a:prstGeom>
                  </pic:spPr>
                </pic:pic>
              </a:graphicData>
            </a:graphic>
          </wp:inline>
        </w:drawing>
      </w:r>
    </w:p>
    <w:p>
      <w:pPr>
        <w:bidi w:val="0"/>
        <w:jc w:val="left"/>
        <w:rPr>
          <w:rFonts w:hint="eastAsia" w:ascii="微软雅黑" w:hAnsi="微软雅黑" w:eastAsia="微软雅黑" w:cs="微软雅黑"/>
          <w:color w:val="auto"/>
        </w:rPr>
      </w:pPr>
    </w:p>
    <w:p>
      <w:pPr>
        <w:pStyle w:val="2"/>
        <w:bidi w:val="0"/>
        <w:rPr>
          <w:rFonts w:hint="eastAsia" w:ascii="微软雅黑" w:hAnsi="微软雅黑" w:eastAsia="微软雅黑" w:cs="微软雅黑"/>
          <w:color w:val="C00000"/>
        </w:rPr>
      </w:pPr>
      <w:bookmarkStart w:id="7" w:name="_Toc23797"/>
      <w:r>
        <w:rPr>
          <w:rFonts w:hint="eastAsia"/>
          <w:color w:val="C00000"/>
          <w:lang w:val="en-US" w:eastAsia="zh-CN"/>
        </w:rPr>
        <w:t>二、</w:t>
      </w:r>
      <w:r>
        <w:rPr>
          <w:rFonts w:hint="eastAsia"/>
          <w:color w:val="C00000"/>
        </w:rPr>
        <w:t>广告位区块和广告位的配置方法</w:t>
      </w:r>
      <w:bookmarkEnd w:id="7"/>
    </w:p>
    <w:p>
      <w:pPr>
        <w:pStyle w:val="3"/>
        <w:bidi w:val="0"/>
        <w:rPr>
          <w:rFonts w:hint="eastAsia" w:ascii="微软雅黑" w:hAnsi="微软雅黑" w:eastAsia="微软雅黑" w:cs="微软雅黑"/>
          <w:color w:val="auto"/>
        </w:rPr>
      </w:pPr>
      <w:bookmarkStart w:id="8" w:name="_Toc22094"/>
      <w:r>
        <w:rPr>
          <w:rFonts w:hint="eastAsia"/>
          <w:lang w:val="en-US" w:eastAsia="zh-CN"/>
        </w:rPr>
        <w:t>1、</w:t>
      </w:r>
      <w:r>
        <w:rPr>
          <w:rFonts w:hint="eastAsia"/>
        </w:rPr>
        <w:t>广告位区块管理</w:t>
      </w:r>
      <w:r>
        <w:rPr>
          <w:rFonts w:hint="eastAsia"/>
          <w:lang w:val="en-US" w:eastAsia="zh-CN"/>
        </w:rPr>
        <w:t>----</w:t>
      </w:r>
      <w:r>
        <w:rPr>
          <w:rFonts w:hint="eastAsia"/>
        </w:rPr>
        <w:t>新增子区块</w:t>
      </w:r>
      <w:bookmarkEnd w:id="8"/>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3009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010142"/>
                    </a:xfrm>
                    <a:prstGeom prst="rect">
                      <a:avLst/>
                    </a:prstGeom>
                  </pic:spPr>
                </pic:pic>
              </a:graphicData>
            </a:graphic>
          </wp:inline>
        </w:drawing>
      </w:r>
    </w:p>
    <w:p>
      <w:pPr>
        <w:pStyle w:val="3"/>
        <w:bidi w:val="0"/>
        <w:rPr>
          <w:rFonts w:hint="eastAsia" w:ascii="微软雅黑" w:hAnsi="微软雅黑" w:eastAsia="微软雅黑" w:cs="微软雅黑"/>
          <w:color w:val="auto"/>
        </w:rPr>
      </w:pPr>
      <w:bookmarkStart w:id="9" w:name="_Toc7809"/>
      <w:r>
        <w:rPr>
          <w:rFonts w:hint="eastAsia"/>
          <w:lang w:val="en-US" w:eastAsia="zh-CN"/>
        </w:rPr>
        <w:t>2、</w:t>
      </w:r>
      <w:r>
        <w:rPr>
          <w:rFonts w:hint="eastAsia"/>
        </w:rPr>
        <w:t>广告位管理</w:t>
      </w:r>
      <w:bookmarkEnd w:id="9"/>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1、广告位及投放管理-广告位管理-添加</w:t>
      </w:r>
    </w:p>
    <w:p>
      <w:pPr>
        <w:bidi w:val="0"/>
        <w:jc w:val="left"/>
        <w:rPr>
          <w:rFonts w:hint="eastAsia" w:ascii="微软雅黑" w:hAnsi="微软雅黑" w:eastAsia="微软雅黑" w:cs="微软雅黑"/>
          <w:color w:val="C00000"/>
        </w:rPr>
      </w:pPr>
      <w:r>
        <w:rPr>
          <w:rFonts w:hint="eastAsia" w:ascii="微软雅黑" w:hAnsi="微软雅黑" w:eastAsia="微软雅黑" w:cs="微软雅黑"/>
          <w:color w:val="C00000"/>
        </w:rPr>
        <w:t>其中广告位区块选择你把商品要放入的区块</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广告位名称就是品牌名称</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34093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09377"/>
                    </a:xfrm>
                    <a:prstGeom prst="rect">
                      <a:avLst/>
                    </a:prstGeom>
                  </pic:spPr>
                </pic:pic>
              </a:graphicData>
            </a:graphic>
          </wp:inline>
        </w:drawing>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C00000"/>
        </w:rPr>
        <w:t>广告位链接是固定链接/pages/commoditydetails/commoditydetails?code=加上所添加品牌的模块编码</w:t>
      </w:r>
      <w:r>
        <w:rPr>
          <w:rFonts w:hint="eastAsia" w:ascii="微软雅黑" w:hAnsi="微软雅黑" w:eastAsia="微软雅黑" w:cs="微软雅黑"/>
          <w:color w:val="auto"/>
        </w:rPr>
        <w:t>。如美团外卖的模块编码见下图：</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5274310" cy="36664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stretch>
                      <a:fillRect/>
                    </a:stretch>
                  </pic:blipFill>
                  <pic:spPr>
                    <a:xfrm>
                      <a:off x="0" y="0"/>
                      <a:ext cx="5274310" cy="3666988"/>
                    </a:xfrm>
                    <a:prstGeom prst="rect">
                      <a:avLst/>
                    </a:prstGeom>
                  </pic:spPr>
                </pic:pic>
              </a:graphicData>
            </a:graphic>
          </wp:inline>
        </w:drawing>
      </w:r>
      <w:r>
        <w:rPr>
          <w:rFonts w:hint="eastAsia" w:ascii="微软雅黑" w:hAnsi="微软雅黑" w:eastAsia="微软雅黑" w:cs="微软雅黑"/>
          <w:color w:val="auto"/>
        </w:rPr>
        <w:t>美团外卖的广告位链接就是</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/pages/commoditydetails/commoditydetails?code=PT.014.007</w:t>
      </w:r>
    </w:p>
    <w:p>
      <w:pPr>
        <w:pStyle w:val="3"/>
        <w:bidi w:val="0"/>
        <w:rPr>
          <w:rFonts w:hint="eastAsia" w:ascii="微软雅黑" w:hAnsi="微软雅黑" w:eastAsia="微软雅黑" w:cs="微软雅黑"/>
          <w:color w:val="auto"/>
        </w:rPr>
      </w:pPr>
      <w:bookmarkStart w:id="10" w:name="_Toc11166"/>
      <w:r>
        <w:rPr>
          <w:rFonts w:hint="eastAsia"/>
          <w:lang w:val="en-US" w:eastAsia="zh-CN"/>
        </w:rPr>
        <w:t>3</w:t>
      </w:r>
      <w:r>
        <w:rPr>
          <w:rFonts w:hint="eastAsia"/>
        </w:rPr>
        <w:t>、广告位配置显示渠道</w:t>
      </w:r>
      <w:bookmarkEnd w:id="10"/>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drawing>
          <wp:inline distT="0" distB="0" distL="0" distR="0">
            <wp:extent cx="6155690" cy="3905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5"/>
                    <a:stretch>
                      <a:fillRect/>
                    </a:stretch>
                  </pic:blipFill>
                  <pic:spPr>
                    <a:xfrm>
                      <a:off x="0" y="0"/>
                      <a:ext cx="6160878" cy="3908305"/>
                    </a:xfrm>
                    <a:prstGeom prst="rect">
                      <a:avLst/>
                    </a:prstGeom>
                  </pic:spPr>
                </pic:pic>
              </a:graphicData>
            </a:graphic>
          </wp:inline>
        </w:drawing>
      </w: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通过以上步骤，新增的品牌就可以出现在缤纷优选商城左上角的分类区和首页的广告区。前端用户可以看到并购买。</w:t>
      </w:r>
    </w:p>
    <w:p>
      <w:pPr>
        <w:bidi w:val="0"/>
        <w:jc w:val="left"/>
        <w:rPr>
          <w:rFonts w:hint="eastAsia" w:ascii="微软雅黑" w:hAnsi="微软雅黑" w:eastAsia="微软雅黑" w:cs="微软雅黑"/>
          <w:color w:val="auto"/>
        </w:rPr>
      </w:pPr>
      <w:r>
        <w:rPr>
          <w:rFonts w:hint="eastAsia" w:ascii="微软雅黑" w:hAnsi="微软雅黑" w:eastAsia="微软雅黑" w:cs="微软雅黑"/>
          <w:color w:val="auto"/>
        </w:rPr>
        <w:t>如有疑问可以咨询技术部。</w:t>
      </w:r>
    </w:p>
    <w:p>
      <w:pPr>
        <w:bidi w:val="0"/>
        <w:jc w:val="left"/>
        <w:rPr>
          <w:rFonts w:hint="eastAsia" w:ascii="微软雅黑" w:hAnsi="微软雅黑" w:eastAsia="微软雅黑" w:cs="微软雅黑"/>
          <w:color w:val="auto"/>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09F9"/>
    <w:rsid w:val="000115D8"/>
    <w:rsid w:val="00116FEE"/>
    <w:rsid w:val="00272AEE"/>
    <w:rsid w:val="003D6889"/>
    <w:rsid w:val="003F5A92"/>
    <w:rsid w:val="004039F5"/>
    <w:rsid w:val="00404B69"/>
    <w:rsid w:val="0043186E"/>
    <w:rsid w:val="004C54A4"/>
    <w:rsid w:val="00524086"/>
    <w:rsid w:val="00587478"/>
    <w:rsid w:val="00596954"/>
    <w:rsid w:val="005F46FE"/>
    <w:rsid w:val="006B052A"/>
    <w:rsid w:val="007624C4"/>
    <w:rsid w:val="007A55C5"/>
    <w:rsid w:val="008037A0"/>
    <w:rsid w:val="008B73B0"/>
    <w:rsid w:val="00943313"/>
    <w:rsid w:val="009509F9"/>
    <w:rsid w:val="00984ED1"/>
    <w:rsid w:val="009F43AF"/>
    <w:rsid w:val="00A54483"/>
    <w:rsid w:val="00B223E2"/>
    <w:rsid w:val="00B97EC4"/>
    <w:rsid w:val="00C365D6"/>
    <w:rsid w:val="00D27B67"/>
    <w:rsid w:val="00D373CA"/>
    <w:rsid w:val="00E43CB1"/>
    <w:rsid w:val="00F43AC1"/>
    <w:rsid w:val="012A0355"/>
    <w:rsid w:val="02047459"/>
    <w:rsid w:val="035D1B5F"/>
    <w:rsid w:val="05B60EB2"/>
    <w:rsid w:val="06326D99"/>
    <w:rsid w:val="06441235"/>
    <w:rsid w:val="06445B3A"/>
    <w:rsid w:val="06817752"/>
    <w:rsid w:val="07702CB3"/>
    <w:rsid w:val="07DB6D1E"/>
    <w:rsid w:val="080550EB"/>
    <w:rsid w:val="084B5FEA"/>
    <w:rsid w:val="08E079DE"/>
    <w:rsid w:val="092C0D3E"/>
    <w:rsid w:val="09C67B09"/>
    <w:rsid w:val="09E4559D"/>
    <w:rsid w:val="0A617674"/>
    <w:rsid w:val="0B781E20"/>
    <w:rsid w:val="0BBB76F1"/>
    <w:rsid w:val="0C33006E"/>
    <w:rsid w:val="0DAB5D5C"/>
    <w:rsid w:val="0DDB0D30"/>
    <w:rsid w:val="0E223CCC"/>
    <w:rsid w:val="0E667D76"/>
    <w:rsid w:val="0E6B26F6"/>
    <w:rsid w:val="0EFB15C1"/>
    <w:rsid w:val="0F3E28F3"/>
    <w:rsid w:val="0F837F2E"/>
    <w:rsid w:val="0FBE29ED"/>
    <w:rsid w:val="0FEA6C74"/>
    <w:rsid w:val="100D0E40"/>
    <w:rsid w:val="1038257D"/>
    <w:rsid w:val="10E0610E"/>
    <w:rsid w:val="117F7567"/>
    <w:rsid w:val="11DE22D0"/>
    <w:rsid w:val="11F0023A"/>
    <w:rsid w:val="12116B94"/>
    <w:rsid w:val="127258A7"/>
    <w:rsid w:val="138B7B27"/>
    <w:rsid w:val="13B25524"/>
    <w:rsid w:val="141A7DDC"/>
    <w:rsid w:val="143A3DFD"/>
    <w:rsid w:val="14CA2B71"/>
    <w:rsid w:val="15A341CA"/>
    <w:rsid w:val="16285211"/>
    <w:rsid w:val="162D29C7"/>
    <w:rsid w:val="169533B5"/>
    <w:rsid w:val="16AE3AC8"/>
    <w:rsid w:val="16C476CC"/>
    <w:rsid w:val="16F120E8"/>
    <w:rsid w:val="17951C34"/>
    <w:rsid w:val="17AB5A8D"/>
    <w:rsid w:val="17C515CE"/>
    <w:rsid w:val="17FB36F4"/>
    <w:rsid w:val="183356A4"/>
    <w:rsid w:val="18BA04DA"/>
    <w:rsid w:val="18E20CD5"/>
    <w:rsid w:val="19543FE5"/>
    <w:rsid w:val="1A1D568A"/>
    <w:rsid w:val="1A6C2EDC"/>
    <w:rsid w:val="1ACE01E8"/>
    <w:rsid w:val="1B83587B"/>
    <w:rsid w:val="1BAC1E3B"/>
    <w:rsid w:val="1CBF79CD"/>
    <w:rsid w:val="1CE73EE1"/>
    <w:rsid w:val="1D212A92"/>
    <w:rsid w:val="1D2E7A0D"/>
    <w:rsid w:val="1D89323B"/>
    <w:rsid w:val="1F2749A3"/>
    <w:rsid w:val="1F8150BB"/>
    <w:rsid w:val="1FEC65E7"/>
    <w:rsid w:val="20C645B9"/>
    <w:rsid w:val="20E23E1F"/>
    <w:rsid w:val="219003F6"/>
    <w:rsid w:val="21E42EFC"/>
    <w:rsid w:val="220333D0"/>
    <w:rsid w:val="22736A96"/>
    <w:rsid w:val="22BF761C"/>
    <w:rsid w:val="22F764BD"/>
    <w:rsid w:val="232A08C6"/>
    <w:rsid w:val="24436503"/>
    <w:rsid w:val="24AD6640"/>
    <w:rsid w:val="24C9071F"/>
    <w:rsid w:val="24CD0DEF"/>
    <w:rsid w:val="24F3354E"/>
    <w:rsid w:val="24FB4ABF"/>
    <w:rsid w:val="25124CD5"/>
    <w:rsid w:val="25456299"/>
    <w:rsid w:val="25D9453A"/>
    <w:rsid w:val="2636547E"/>
    <w:rsid w:val="2660769A"/>
    <w:rsid w:val="266A02F8"/>
    <w:rsid w:val="267B2F0A"/>
    <w:rsid w:val="26884C8D"/>
    <w:rsid w:val="26E77689"/>
    <w:rsid w:val="2721048D"/>
    <w:rsid w:val="2749036D"/>
    <w:rsid w:val="27643DE7"/>
    <w:rsid w:val="276E5DF3"/>
    <w:rsid w:val="27CF01C1"/>
    <w:rsid w:val="28BC49BB"/>
    <w:rsid w:val="28C37058"/>
    <w:rsid w:val="28C946F4"/>
    <w:rsid w:val="29201A44"/>
    <w:rsid w:val="29802BD4"/>
    <w:rsid w:val="29AC20D1"/>
    <w:rsid w:val="29AE4662"/>
    <w:rsid w:val="29C40796"/>
    <w:rsid w:val="29DD6DD4"/>
    <w:rsid w:val="2A0C6C84"/>
    <w:rsid w:val="2AA4622C"/>
    <w:rsid w:val="2ACD5398"/>
    <w:rsid w:val="2B992247"/>
    <w:rsid w:val="2C1E06CD"/>
    <w:rsid w:val="2C913A91"/>
    <w:rsid w:val="2DEF68F6"/>
    <w:rsid w:val="2E0548C0"/>
    <w:rsid w:val="2E441750"/>
    <w:rsid w:val="2FB31A26"/>
    <w:rsid w:val="30475F71"/>
    <w:rsid w:val="30976DD2"/>
    <w:rsid w:val="30C648A5"/>
    <w:rsid w:val="31130BD3"/>
    <w:rsid w:val="31CD4D90"/>
    <w:rsid w:val="321E2513"/>
    <w:rsid w:val="325D50C7"/>
    <w:rsid w:val="32784ECC"/>
    <w:rsid w:val="33AA6994"/>
    <w:rsid w:val="34ED5F66"/>
    <w:rsid w:val="34F2332E"/>
    <w:rsid w:val="34F32047"/>
    <w:rsid w:val="351E1A0C"/>
    <w:rsid w:val="352A4241"/>
    <w:rsid w:val="35940F94"/>
    <w:rsid w:val="35AB7DE0"/>
    <w:rsid w:val="35C65D87"/>
    <w:rsid w:val="361623B9"/>
    <w:rsid w:val="364A7F91"/>
    <w:rsid w:val="367859B5"/>
    <w:rsid w:val="371E67CE"/>
    <w:rsid w:val="376D12B6"/>
    <w:rsid w:val="394533FD"/>
    <w:rsid w:val="39B55E59"/>
    <w:rsid w:val="3AC62DAA"/>
    <w:rsid w:val="3AE470F5"/>
    <w:rsid w:val="3B43263A"/>
    <w:rsid w:val="3B88177F"/>
    <w:rsid w:val="3BC84AA4"/>
    <w:rsid w:val="3BE804A7"/>
    <w:rsid w:val="3BFE74AB"/>
    <w:rsid w:val="3C341A46"/>
    <w:rsid w:val="3E3203BD"/>
    <w:rsid w:val="3E726754"/>
    <w:rsid w:val="3EBB373D"/>
    <w:rsid w:val="3EF572EE"/>
    <w:rsid w:val="3FC86411"/>
    <w:rsid w:val="401C509F"/>
    <w:rsid w:val="405C5B5B"/>
    <w:rsid w:val="40BC582B"/>
    <w:rsid w:val="40F67EAF"/>
    <w:rsid w:val="413B0EA4"/>
    <w:rsid w:val="418A2993"/>
    <w:rsid w:val="41F4452A"/>
    <w:rsid w:val="420B4325"/>
    <w:rsid w:val="424B34A0"/>
    <w:rsid w:val="4297539A"/>
    <w:rsid w:val="432811FF"/>
    <w:rsid w:val="43695650"/>
    <w:rsid w:val="443146DD"/>
    <w:rsid w:val="443476AD"/>
    <w:rsid w:val="44495347"/>
    <w:rsid w:val="4455495E"/>
    <w:rsid w:val="445D1810"/>
    <w:rsid w:val="448C510B"/>
    <w:rsid w:val="44A95F28"/>
    <w:rsid w:val="454D7C12"/>
    <w:rsid w:val="45564E59"/>
    <w:rsid w:val="45B543CB"/>
    <w:rsid w:val="46972DF2"/>
    <w:rsid w:val="46C45DD2"/>
    <w:rsid w:val="46EF62EA"/>
    <w:rsid w:val="47241687"/>
    <w:rsid w:val="48044F93"/>
    <w:rsid w:val="48046435"/>
    <w:rsid w:val="48E47D33"/>
    <w:rsid w:val="49270F57"/>
    <w:rsid w:val="49F94B6F"/>
    <w:rsid w:val="4A371DDD"/>
    <w:rsid w:val="4A7E0EC7"/>
    <w:rsid w:val="4B663A1C"/>
    <w:rsid w:val="4B703919"/>
    <w:rsid w:val="4BFE612C"/>
    <w:rsid w:val="4C4014B9"/>
    <w:rsid w:val="4C617FB8"/>
    <w:rsid w:val="4C7332F7"/>
    <w:rsid w:val="4CCE1339"/>
    <w:rsid w:val="4CD07759"/>
    <w:rsid w:val="4CD32C9A"/>
    <w:rsid w:val="4D19367B"/>
    <w:rsid w:val="4E07476F"/>
    <w:rsid w:val="4F1C2A26"/>
    <w:rsid w:val="4F245E72"/>
    <w:rsid w:val="4FB10D51"/>
    <w:rsid w:val="508049BD"/>
    <w:rsid w:val="509F3898"/>
    <w:rsid w:val="50A122D4"/>
    <w:rsid w:val="511067FD"/>
    <w:rsid w:val="515C0F1E"/>
    <w:rsid w:val="516A7215"/>
    <w:rsid w:val="51EA0CDE"/>
    <w:rsid w:val="523C675D"/>
    <w:rsid w:val="52A5342F"/>
    <w:rsid w:val="537B4F76"/>
    <w:rsid w:val="53966458"/>
    <w:rsid w:val="53EC0BFA"/>
    <w:rsid w:val="544128B0"/>
    <w:rsid w:val="54B654A8"/>
    <w:rsid w:val="54E803F2"/>
    <w:rsid w:val="550149DC"/>
    <w:rsid w:val="55032B8F"/>
    <w:rsid w:val="558E16A2"/>
    <w:rsid w:val="55B1692E"/>
    <w:rsid w:val="563D4DB9"/>
    <w:rsid w:val="5655455A"/>
    <w:rsid w:val="56B032C5"/>
    <w:rsid w:val="56D30CB2"/>
    <w:rsid w:val="59316EA8"/>
    <w:rsid w:val="599F2789"/>
    <w:rsid w:val="5AD7465E"/>
    <w:rsid w:val="5B244EC3"/>
    <w:rsid w:val="5B424FB2"/>
    <w:rsid w:val="5B5900B2"/>
    <w:rsid w:val="5BAC037E"/>
    <w:rsid w:val="5BB91035"/>
    <w:rsid w:val="5CBB792B"/>
    <w:rsid w:val="5CC44B5B"/>
    <w:rsid w:val="5D1B2E4E"/>
    <w:rsid w:val="5F1B4A90"/>
    <w:rsid w:val="5F38031C"/>
    <w:rsid w:val="5F4530CA"/>
    <w:rsid w:val="60A7642C"/>
    <w:rsid w:val="61A17367"/>
    <w:rsid w:val="61CE539D"/>
    <w:rsid w:val="622D6250"/>
    <w:rsid w:val="62AA13BD"/>
    <w:rsid w:val="62C92701"/>
    <w:rsid w:val="632D04FA"/>
    <w:rsid w:val="632F681F"/>
    <w:rsid w:val="633C256C"/>
    <w:rsid w:val="638E235B"/>
    <w:rsid w:val="63BF2B30"/>
    <w:rsid w:val="63C74E38"/>
    <w:rsid w:val="63DD63F5"/>
    <w:rsid w:val="63E21EDC"/>
    <w:rsid w:val="64052E7E"/>
    <w:rsid w:val="640667A9"/>
    <w:rsid w:val="64C901EC"/>
    <w:rsid w:val="66297ECA"/>
    <w:rsid w:val="669F3B78"/>
    <w:rsid w:val="694975A6"/>
    <w:rsid w:val="698A1825"/>
    <w:rsid w:val="6A3D2994"/>
    <w:rsid w:val="6A5249C2"/>
    <w:rsid w:val="6A725C83"/>
    <w:rsid w:val="6A92390B"/>
    <w:rsid w:val="6AAD076C"/>
    <w:rsid w:val="6AB95A6C"/>
    <w:rsid w:val="6BE54E41"/>
    <w:rsid w:val="6C4014CE"/>
    <w:rsid w:val="6CC52CFE"/>
    <w:rsid w:val="6E2B5ADE"/>
    <w:rsid w:val="6E4E6350"/>
    <w:rsid w:val="6E6D373F"/>
    <w:rsid w:val="6ED01B72"/>
    <w:rsid w:val="6EF42948"/>
    <w:rsid w:val="6EF71F15"/>
    <w:rsid w:val="6F8E582C"/>
    <w:rsid w:val="70812FC2"/>
    <w:rsid w:val="709B5E93"/>
    <w:rsid w:val="70EE7EC8"/>
    <w:rsid w:val="70F562EE"/>
    <w:rsid w:val="710A7E60"/>
    <w:rsid w:val="71925DD7"/>
    <w:rsid w:val="72EA294B"/>
    <w:rsid w:val="73764B9E"/>
    <w:rsid w:val="739C6A93"/>
    <w:rsid w:val="74674344"/>
    <w:rsid w:val="749C640A"/>
    <w:rsid w:val="74CE08BE"/>
    <w:rsid w:val="760C4FD2"/>
    <w:rsid w:val="76471E6F"/>
    <w:rsid w:val="76644867"/>
    <w:rsid w:val="769D276C"/>
    <w:rsid w:val="7719579B"/>
    <w:rsid w:val="77965321"/>
    <w:rsid w:val="77C03152"/>
    <w:rsid w:val="7806608F"/>
    <w:rsid w:val="78B144AC"/>
    <w:rsid w:val="792C4F51"/>
    <w:rsid w:val="79890F57"/>
    <w:rsid w:val="7A580564"/>
    <w:rsid w:val="7A6358F0"/>
    <w:rsid w:val="7AF2227A"/>
    <w:rsid w:val="7C2D04B0"/>
    <w:rsid w:val="7C7C7AA9"/>
    <w:rsid w:val="7E1D79EE"/>
    <w:rsid w:val="7E3D0007"/>
    <w:rsid w:val="7E715E2D"/>
    <w:rsid w:val="7E753A8C"/>
    <w:rsid w:val="7ED22564"/>
    <w:rsid w:val="7F4D4AC5"/>
    <w:rsid w:val="7FE65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32"/>
    </w:rPr>
  </w:style>
  <w:style w:type="paragraph" w:styleId="3">
    <w:name w:val="heading 2"/>
    <w:basedOn w:val="1"/>
    <w:next w:val="1"/>
    <w:link w:val="13"/>
    <w:unhideWhenUsed/>
    <w:qFormat/>
    <w:uiPriority w:val="9"/>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rFonts w:asciiTheme="minorAscii" w:hAnsiTheme="minorAscii"/>
      <w:b/>
      <w:sz w:val="28"/>
    </w:rPr>
  </w:style>
  <w:style w:type="character" w:default="1" w:styleId="10">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Balloon Text"/>
    <w:basedOn w:val="1"/>
    <w:link w:val="12"/>
    <w:semiHidden/>
    <w:unhideWhenUsed/>
    <w:uiPriority w:val="99"/>
    <w:rPr>
      <w:sz w:val="18"/>
      <w:szCs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11">
    <w:name w:val="List Paragraph"/>
    <w:basedOn w:val="1"/>
    <w:qFormat/>
    <w:uiPriority w:val="34"/>
    <w:pPr>
      <w:ind w:firstLine="420" w:firstLineChars="200"/>
    </w:pPr>
  </w:style>
  <w:style w:type="character" w:customStyle="1" w:styleId="12">
    <w:name w:val="批注框文本 Char"/>
    <w:basedOn w:val="10"/>
    <w:link w:val="6"/>
    <w:semiHidden/>
    <w:uiPriority w:val="99"/>
    <w:rPr>
      <w:sz w:val="18"/>
      <w:szCs w:val="18"/>
    </w:rPr>
  </w:style>
  <w:style w:type="character" w:customStyle="1" w:styleId="13">
    <w:name w:val="标题 2 Char"/>
    <w:link w:val="3"/>
    <w:uiPriority w:val="0"/>
    <w:rPr>
      <w:rFonts w:ascii="Arial" w:hAnsi="Arial" w:eastAsia="黑体"/>
      <w:sz w:val="30"/>
    </w:rPr>
  </w:style>
  <w:style w:type="paragraph" w:customStyle="1" w:styleId="14">
    <w:name w:val="WPSOffice手动目录 1"/>
    <w:uiPriority w:val="0"/>
    <w:pPr>
      <w:ind w:leftChars="0"/>
    </w:pPr>
    <w:rPr>
      <w:rFonts w:asciiTheme="minorHAnsi" w:hAnsiTheme="minorHAnsi" w:eastAsiaTheme="minorEastAsia" w:cstheme="minorBidi"/>
      <w:sz w:val="20"/>
      <w:szCs w:val="20"/>
    </w:rPr>
  </w:style>
  <w:style w:type="paragraph" w:customStyle="1" w:styleId="15">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Users</Company>
  <Pages>12</Pages>
  <Words>177</Words>
  <Characters>1015</Characters>
  <Lines>8</Lines>
  <Paragraphs>2</Paragraphs>
  <TotalTime>0</TotalTime>
  <ScaleCrop>false</ScaleCrop>
  <LinksUpToDate>false</LinksUpToDate>
  <CharactersWithSpaces>1190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2020-02-17T08:55:00Z</dcterms:created>
  <dc:creator>Windows 用户</dc:creator>
  <cp:lastModifiedBy>lcd</cp:lastModifiedBy>
  <dcterms:modified xsi:type="dcterms:W3CDTF">2020-04-22T07:57:22Z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