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386317">
      <w:pPr>
        <w:rPr>
          <w:rFonts w:hint="default"/>
          <w:highlight w:val="none"/>
          <w:lang w:val="en-US" w:eastAsia="zh-CN"/>
        </w:rPr>
      </w:pPr>
      <w:r>
        <w:rPr>
          <w:rFonts w:hint="eastAsia"/>
          <w:b/>
          <w:bCs/>
          <w:sz w:val="24"/>
          <w:szCs w:val="24"/>
          <w:highlight w:val="none"/>
          <w:lang w:val="en-US" w:eastAsia="zh-CN"/>
        </w:rPr>
        <w:t xml:space="preserve">·开头 </w:t>
      </w:r>
      <w:r>
        <w:rPr>
          <w:rFonts w:hint="eastAsia"/>
          <w:b w:val="0"/>
          <w:bCs w:val="0"/>
          <w:sz w:val="21"/>
          <w:szCs w:val="21"/>
          <w:highlight w:val="none"/>
          <w:lang w:val="en-US" w:eastAsia="zh-CN"/>
        </w:rPr>
        <w:t>可以用</w:t>
      </w:r>
      <w:r>
        <w:rPr>
          <w:rFonts w:hint="eastAsia"/>
          <w:highlight w:val="none"/>
          <w:lang w:val="en-US" w:eastAsia="zh-CN"/>
        </w:rPr>
        <w:t>《分裂》（影片讲了一名患有DID的男性Kevin绑架了三名少女，并在她们试图逃脱的过程中逐渐暴露出其体内不同人格之间的冲突与秘密的故事）或其他与</w:t>
      </w:r>
      <w:r>
        <w:rPr>
          <w:rFonts w:hint="default"/>
          <w:highlight w:val="none"/>
          <w:lang w:val="en-US" w:eastAsia="zh-CN"/>
        </w:rPr>
        <w:t>DID</w:t>
      </w:r>
      <w:r>
        <w:rPr>
          <w:rFonts w:hint="eastAsia"/>
          <w:highlight w:val="none"/>
          <w:lang w:val="en-US" w:eastAsia="zh-CN"/>
        </w:rPr>
        <w:t>有关影视作品导入</w:t>
      </w:r>
      <w:r>
        <w:rPr>
          <w:rFonts w:hint="eastAsia"/>
          <w:color w:val="0000FF"/>
          <w:highlight w:val="none"/>
          <w:lang w:val="en-US" w:eastAsia="zh-CN"/>
        </w:rPr>
        <w:t>（ppt可以上放一张图片）</w:t>
      </w:r>
    </w:p>
    <w:p w14:paraId="57C9A742">
      <w:pPr>
        <w:rPr>
          <w:rFonts w:hint="default"/>
          <w:highlight w:val="none"/>
          <w:lang w:val="en-US" w:eastAsia="zh-CN"/>
        </w:rPr>
      </w:pPr>
    </w:p>
    <w:p w14:paraId="02A563CA">
      <w:pPr>
        <w:rPr>
          <w:rFonts w:hint="eastAsia"/>
          <w:b/>
          <w:bCs/>
          <w:sz w:val="24"/>
          <w:szCs w:val="24"/>
          <w:highlight w:val="none"/>
          <w:lang w:val="en-US" w:eastAsia="zh-CN"/>
        </w:rPr>
      </w:pPr>
      <w:r>
        <w:rPr>
          <w:rFonts w:hint="eastAsia"/>
          <w:b/>
          <w:bCs/>
          <w:sz w:val="24"/>
          <w:szCs w:val="24"/>
          <w:highlight w:val="none"/>
          <w:lang w:val="en-US" w:eastAsia="zh-CN"/>
        </w:rPr>
        <w:t>·诊断标准：</w:t>
      </w:r>
    </w:p>
    <w:p w14:paraId="1594D436">
      <w:pPr>
        <w:rPr>
          <w:rFonts w:hint="eastAsia"/>
          <w:highlight w:val="none"/>
          <w:lang w:val="en-US" w:eastAsia="zh-CN"/>
        </w:rPr>
      </w:pPr>
      <w:r>
        <w:rPr>
          <w:rFonts w:hint="eastAsia"/>
          <w:highlight w:val="none"/>
          <w:lang w:val="en-US" w:eastAsia="zh-CN"/>
        </w:rPr>
        <w:t>A、存在2个或更多的以截然不同的人格状态为特征的身份瓦解,这可能在某些文化中被描述为一种被(超自然的力量)占有的经验。身份的瓦解涉及明显的自我感和自我控制感的中断,伴随与情感、行为、意识、记忆、感知、认知和/或感觉运动功能相关的改变。这些体征和症状可以被他人观察到或由个体报告。</w:t>
      </w:r>
    </w:p>
    <w:p w14:paraId="5962587F">
      <w:pPr>
        <w:rPr>
          <w:rFonts w:hint="eastAsia"/>
          <w:highlight w:val="none"/>
          <w:lang w:val="en-US" w:eastAsia="zh-CN"/>
        </w:rPr>
      </w:pPr>
      <w:r>
        <w:rPr>
          <w:rFonts w:hint="eastAsia"/>
          <w:highlight w:val="none"/>
          <w:lang w:val="en-US" w:eastAsia="zh-CN"/>
        </w:rPr>
        <w:t>B.回忆日常事件，重要的个人信息和/或创伤事件时,存在反</w:t>
      </w:r>
    </w:p>
    <w:p w14:paraId="6221AA87">
      <w:pPr>
        <w:rPr>
          <w:rFonts w:hint="eastAsia"/>
          <w:highlight w:val="none"/>
          <w:lang w:val="en-US" w:eastAsia="zh-CN"/>
        </w:rPr>
      </w:pPr>
      <w:r>
        <w:rPr>
          <w:rFonts w:hint="eastAsia"/>
          <w:highlight w:val="none"/>
          <w:lang w:val="en-US" w:eastAsia="zh-CN"/>
        </w:rPr>
        <w:t>复的空隙,它们与普通的健忘不一致。</w:t>
      </w:r>
    </w:p>
    <w:p w14:paraId="7A46CE8F">
      <w:pPr>
        <w:rPr>
          <w:rFonts w:hint="eastAsia"/>
          <w:highlight w:val="none"/>
          <w:lang w:val="en-US" w:eastAsia="zh-CN"/>
        </w:rPr>
      </w:pPr>
      <w:r>
        <w:rPr>
          <w:rFonts w:hint="eastAsia"/>
          <w:highlight w:val="none"/>
          <w:lang w:val="en-US" w:eastAsia="zh-CN"/>
        </w:rPr>
        <w:t>C.这些症状引起有临床意义的痛苦,或导致社交、职业或其他</w:t>
      </w:r>
    </w:p>
    <w:p w14:paraId="619F8E7A">
      <w:pPr>
        <w:rPr>
          <w:rFonts w:hint="eastAsia"/>
          <w:highlight w:val="none"/>
          <w:lang w:val="en-US" w:eastAsia="zh-CN"/>
        </w:rPr>
      </w:pPr>
      <w:r>
        <w:rPr>
          <w:rFonts w:hint="eastAsia"/>
          <w:highlight w:val="none"/>
          <w:lang w:val="en-US" w:eastAsia="zh-CN"/>
        </w:rPr>
        <w:t>重要功能方面的损害。</w:t>
      </w:r>
    </w:p>
    <w:p w14:paraId="44D60879">
      <w:pPr>
        <w:rPr>
          <w:rFonts w:hint="eastAsia"/>
          <w:highlight w:val="none"/>
          <w:lang w:val="en-US" w:eastAsia="zh-CN"/>
        </w:rPr>
      </w:pPr>
      <w:r>
        <w:rPr>
          <w:rFonts w:hint="eastAsia"/>
          <w:highlight w:val="none"/>
          <w:lang w:val="en-US" w:eastAsia="zh-CN"/>
        </w:rPr>
        <w:t>D.该障碍并非一个广义的可接受的文化或宗教实践的一部分。</w:t>
      </w:r>
    </w:p>
    <w:p w14:paraId="2FED4A7A">
      <w:pPr>
        <w:rPr>
          <w:rFonts w:hint="eastAsia"/>
          <w:highlight w:val="none"/>
          <w:lang w:val="en-US" w:eastAsia="zh-CN"/>
        </w:rPr>
      </w:pPr>
      <w:r>
        <w:rPr>
          <w:rFonts w:hint="eastAsia"/>
          <w:highlight w:val="none"/>
          <w:lang w:val="en-US" w:eastAsia="zh-CN"/>
        </w:rPr>
        <w:t>注:对于儿童,这些症状不能用假想玩伴或其他幻想的游戏来更好地解释。</w:t>
      </w:r>
    </w:p>
    <w:p w14:paraId="35E2F7A7">
      <w:pPr>
        <w:rPr>
          <w:rFonts w:hint="eastAsia"/>
          <w:highlight w:val="none"/>
          <w:lang w:val="en-US" w:eastAsia="zh-CN"/>
        </w:rPr>
      </w:pPr>
      <w:r>
        <w:rPr>
          <w:rFonts w:hint="eastAsia"/>
          <w:highlight w:val="none"/>
          <w:lang w:val="en-US" w:eastAsia="zh-CN"/>
        </w:rPr>
        <w:t>E.这些症状不能归因于某种物质的生理效应(例如，在酒精中</w:t>
      </w:r>
    </w:p>
    <w:p w14:paraId="624CF552">
      <w:pPr>
        <w:rPr>
          <w:rFonts w:hint="eastAsia"/>
          <w:highlight w:val="none"/>
          <w:lang w:val="en-US" w:eastAsia="zh-CN"/>
        </w:rPr>
      </w:pPr>
      <w:r>
        <w:rPr>
          <w:rFonts w:hint="eastAsia"/>
          <w:highlight w:val="none"/>
          <w:lang w:val="en-US" w:eastAsia="zh-CN"/>
        </w:rPr>
        <w:t>毒过程中的黑晕或混乱行为)或其他躯体疾病(例如,复杂部分性癫痫)。</w:t>
      </w:r>
    </w:p>
    <w:p w14:paraId="2E701860">
      <w:pPr>
        <w:rPr>
          <w:rFonts w:hint="eastAsia"/>
          <w:highlight w:val="none"/>
          <w:lang w:val="en-US" w:eastAsia="zh-CN"/>
        </w:rPr>
      </w:pPr>
    </w:p>
    <w:p w14:paraId="7BE7150A">
      <w:pPr>
        <w:rPr>
          <w:rFonts w:hint="default"/>
          <w:b/>
          <w:bCs/>
          <w:sz w:val="24"/>
          <w:szCs w:val="24"/>
          <w:highlight w:val="none"/>
          <w:lang w:val="en-US" w:eastAsia="zh-CN"/>
        </w:rPr>
      </w:pPr>
      <w:r>
        <w:rPr>
          <w:rFonts w:hint="eastAsia"/>
          <w:b/>
          <w:bCs/>
          <w:sz w:val="24"/>
          <w:szCs w:val="24"/>
          <w:highlight w:val="none"/>
          <w:lang w:val="en-US" w:eastAsia="zh-CN"/>
        </w:rPr>
        <w:t>·提一下就“</w:t>
      </w:r>
      <w:r>
        <w:rPr>
          <w:rFonts w:hint="default"/>
          <w:b/>
          <w:bCs/>
          <w:sz w:val="24"/>
          <w:szCs w:val="24"/>
          <w:highlight w:val="none"/>
          <w:lang w:val="en-US" w:eastAsia="zh-CN"/>
        </w:rPr>
        <w:t>DID</w:t>
      </w:r>
      <w:r>
        <w:rPr>
          <w:rFonts w:hint="eastAsia"/>
          <w:b/>
          <w:bCs/>
          <w:sz w:val="24"/>
          <w:szCs w:val="24"/>
          <w:highlight w:val="none"/>
          <w:lang w:val="en-US" w:eastAsia="zh-CN"/>
        </w:rPr>
        <w:t>的病因”为切口做汇报</w:t>
      </w:r>
    </w:p>
    <w:p w14:paraId="1B11DBEA">
      <w:pPr>
        <w:rPr>
          <w:rFonts w:hint="default"/>
          <w:highlight w:val="none"/>
          <w:lang w:val="en-US" w:eastAsia="zh-CN"/>
        </w:rPr>
      </w:pPr>
    </w:p>
    <w:p w14:paraId="461F6338">
      <w:pPr>
        <w:rPr>
          <w:rFonts w:hint="eastAsia"/>
          <w:b/>
          <w:bCs/>
          <w:sz w:val="24"/>
          <w:szCs w:val="24"/>
          <w:highlight w:val="none"/>
          <w:lang w:val="en-US" w:eastAsia="zh-CN"/>
        </w:rPr>
      </w:pPr>
      <w:r>
        <w:rPr>
          <w:rFonts w:hint="eastAsia"/>
          <w:b/>
          <w:bCs/>
          <w:sz w:val="24"/>
          <w:szCs w:val="24"/>
          <w:highlight w:val="none"/>
          <w:lang w:val="en-US" w:eastAsia="zh-CN"/>
        </w:rPr>
        <w:t>·研究问题：</w:t>
      </w:r>
    </w:p>
    <w:p w14:paraId="1AE6B924">
      <w:pPr>
        <w:rPr>
          <w:rFonts w:hint="default"/>
          <w:highlight w:val="none"/>
          <w:lang w:val="en-US" w:eastAsia="zh-CN"/>
        </w:rPr>
      </w:pPr>
    </w:p>
    <w:p w14:paraId="5B7F3F65">
      <w:pPr>
        <w:rPr>
          <w:rFonts w:hint="eastAsia"/>
          <w:highlight w:val="none"/>
          <w:lang w:val="en-US" w:eastAsia="zh-CN"/>
        </w:rPr>
      </w:pPr>
      <w:r>
        <w:rPr>
          <w:rFonts w:hint="eastAsia"/>
          <w:b/>
          <w:bCs/>
          <w:sz w:val="24"/>
          <w:szCs w:val="24"/>
          <w:highlight w:val="none"/>
          <w:lang w:val="en-US" w:eastAsia="zh-CN"/>
        </w:rPr>
        <w:t>·研究现状（创伤模型、社会认知模型、神经生物学机制及文化影响等方面）：</w:t>
      </w:r>
    </w:p>
    <w:p w14:paraId="5B38F2D9">
      <w:pPr>
        <w:rPr>
          <w:rFonts w:hint="eastAsia"/>
          <w:b/>
          <w:bCs/>
          <w:highlight w:val="yellow"/>
          <w:lang w:val="en-US" w:eastAsia="zh-CN"/>
        </w:rPr>
      </w:pPr>
      <w:r>
        <w:rPr>
          <w:rFonts w:hint="eastAsia"/>
          <w:b/>
          <w:bCs/>
          <w:highlight w:val="none"/>
          <w:lang w:val="en-US" w:eastAsia="zh-CN"/>
        </w:rPr>
        <w:t xml:space="preserve"> </w:t>
      </w:r>
      <w:r>
        <w:rPr>
          <w:rFonts w:hint="eastAsia"/>
          <w:b/>
          <w:bCs/>
          <w:highlight w:val="yellow"/>
          <w:lang w:val="en-US" w:eastAsia="zh-CN"/>
        </w:rPr>
        <w:t>一、创伤模型（Trauma Model）</w:t>
      </w:r>
    </w:p>
    <w:p w14:paraId="7B3E19B7">
      <w:pPr>
        <w:rPr>
          <w:rFonts w:hint="eastAsia"/>
          <w:highlight w:val="none"/>
          <w:lang w:val="en-US" w:eastAsia="zh-CN"/>
        </w:rPr>
      </w:pPr>
      <w:r>
        <w:rPr>
          <w:rFonts w:hint="eastAsia"/>
          <w:b/>
          <w:bCs/>
          <w:highlight w:val="none"/>
          <w:lang w:val="en-US" w:eastAsia="zh-CN"/>
        </w:rPr>
        <w:t>·核心观点：</w:t>
      </w:r>
      <w:r>
        <w:rPr>
          <w:rFonts w:hint="eastAsia"/>
          <w:highlight w:val="none"/>
          <w:lang w:val="en-US" w:eastAsia="zh-CN"/>
        </w:rPr>
        <w:t xml:space="preserve">DID是对童年期严重创伤的适应性反应，尤其是慢性、重复性的人际创伤（如身体/性虐待、情感忽视、家庭功能失调）。 </w:t>
      </w:r>
    </w:p>
    <w:p w14:paraId="79C40DE1">
      <w:pPr>
        <w:rPr>
          <w:rFonts w:hint="eastAsia"/>
          <w:highlight w:val="none"/>
          <w:lang w:val="en-US" w:eastAsia="zh-CN"/>
        </w:rPr>
      </w:pPr>
      <w:r>
        <w:rPr>
          <w:rFonts w:hint="eastAsia"/>
          <w:highlight w:val="none"/>
          <w:lang w:val="en-US" w:eastAsia="zh-CN"/>
        </w:rPr>
        <w:t xml:space="preserve"> </w:t>
      </w:r>
    </w:p>
    <w:p w14:paraId="515C0F37">
      <w:pPr>
        <w:rPr>
          <w:rFonts w:hint="eastAsia"/>
          <w:highlight w:val="none"/>
          <w:lang w:val="en-US" w:eastAsia="zh-CN"/>
        </w:rPr>
      </w:pPr>
      <w:r>
        <w:rPr>
          <w:rFonts w:hint="eastAsia"/>
          <w:b/>
          <w:bCs/>
          <w:highlight w:val="none"/>
          <w:lang w:val="en-US" w:eastAsia="zh-CN"/>
        </w:rPr>
        <w:t>·1. 童年创伤的核心作用</w:t>
      </w:r>
      <w:r>
        <w:rPr>
          <w:rFonts w:hint="eastAsia"/>
          <w:highlight w:val="none"/>
          <w:lang w:val="en-US" w:eastAsia="zh-CN"/>
        </w:rPr>
        <w:t xml:space="preserve">  </w:t>
      </w:r>
    </w:p>
    <w:p w14:paraId="1421F7D5">
      <w:pPr>
        <w:rPr>
          <w:rFonts w:hint="eastAsia"/>
          <w:highlight w:val="none"/>
          <w:lang w:val="en-US" w:eastAsia="zh-CN"/>
        </w:rPr>
      </w:pPr>
      <w:r>
        <w:rPr>
          <w:rFonts w:hint="eastAsia"/>
          <w:highlight w:val="none"/>
          <w:lang w:val="en-US" w:eastAsia="zh-CN"/>
        </w:rPr>
        <w:t xml:space="preserve">   - 临床证据：大量研究显示，80%-95%的DID患者报告童年期经历严重虐待（如身体虐待、性虐待、情感忽视），且创伤往往发生在早期（如学龄前阶段），与依恋关系破坏密切相关（1、2、4）。  </w:t>
      </w:r>
    </w:p>
    <w:p w14:paraId="05E402E9">
      <w:pPr>
        <w:rPr>
          <w:rFonts w:hint="eastAsia"/>
          <w:highlight w:val="none"/>
          <w:lang w:val="en-US" w:eastAsia="zh-CN"/>
        </w:rPr>
      </w:pPr>
      <w:r>
        <w:rPr>
          <w:rFonts w:hint="eastAsia"/>
          <w:highlight w:val="none"/>
          <w:lang w:val="en-US" w:eastAsia="zh-CN"/>
        </w:rPr>
        <w:t xml:space="preserve">   - 流行病学支持：社区和临床样本中，DID患者的童年创伤发生率显著高于健康对照及其他精神疾病群体（如PTSD、边缘型人格障碍），且创伤类型越严重（如多重虐待），DID风险越高（4、5）。  </w:t>
      </w:r>
    </w:p>
    <w:p w14:paraId="1C0E393C">
      <w:pPr>
        <w:rPr>
          <w:rFonts w:hint="eastAsia"/>
          <w:highlight w:val="none"/>
          <w:lang w:val="en-US" w:eastAsia="zh-CN"/>
        </w:rPr>
      </w:pPr>
      <w:r>
        <w:rPr>
          <w:rFonts w:hint="eastAsia"/>
          <w:highlight w:val="none"/>
          <w:lang w:val="en-US" w:eastAsia="zh-CN"/>
        </w:rPr>
        <w:t xml:space="preserve">   - 理论机制：创伤导致的解离被认为是儿童应对无法逃避的极端压力的心理防御机制，通过分裂身份状态来隔离创伤记忆和情感，形成不同的“人格状态”（1、4）。</w:t>
      </w:r>
    </w:p>
    <w:p w14:paraId="6B609E6C">
      <w:pPr>
        <w:rPr>
          <w:rFonts w:hint="eastAsia"/>
          <w:highlight w:val="none"/>
          <w:lang w:val="en-US" w:eastAsia="zh-CN"/>
        </w:rPr>
      </w:pPr>
      <w:r>
        <w:rPr>
          <w:rFonts w:hint="eastAsia"/>
          <w:highlight w:val="none"/>
          <w:lang w:val="en-US" w:eastAsia="zh-CN"/>
        </w:rPr>
        <w:t xml:space="preserve">  </w:t>
      </w:r>
    </w:p>
    <w:p w14:paraId="5CF43A12">
      <w:pPr>
        <w:rPr>
          <w:rFonts w:hint="eastAsia"/>
          <w:highlight w:val="none"/>
          <w:lang w:val="en-US" w:eastAsia="zh-CN"/>
        </w:rPr>
      </w:pPr>
      <w:r>
        <w:rPr>
          <w:rFonts w:hint="eastAsia"/>
          <w:b/>
          <w:bCs/>
          <w:highlight w:val="none"/>
          <w:lang w:val="en-US" w:eastAsia="zh-CN"/>
        </w:rPr>
        <w:t>·2. 家庭与依恋环境</w:t>
      </w:r>
      <w:r>
        <w:rPr>
          <w:rFonts w:hint="eastAsia"/>
          <w:highlight w:val="none"/>
          <w:lang w:val="en-US" w:eastAsia="zh-CN"/>
        </w:rPr>
        <w:t xml:space="preserve">  </w:t>
      </w:r>
    </w:p>
    <w:p w14:paraId="64F78E20">
      <w:pPr>
        <w:rPr>
          <w:rFonts w:hint="eastAsia"/>
          <w:highlight w:val="none"/>
          <w:lang w:val="en-US" w:eastAsia="zh-CN"/>
        </w:rPr>
      </w:pPr>
      <w:r>
        <w:rPr>
          <w:rFonts w:hint="eastAsia"/>
          <w:highlight w:val="none"/>
          <w:lang w:val="en-US" w:eastAsia="zh-CN"/>
        </w:rPr>
        <w:t xml:space="preserve">   - 父母情感控制、过度保护或忽视等不良养育方式，与DID患者的解离症状严重程度相关，支持“创伤-依恋”双重影响理论（1、4）。  </w:t>
      </w:r>
    </w:p>
    <w:p w14:paraId="1A979BCA">
      <w:pPr>
        <w:rPr>
          <w:rFonts w:hint="eastAsia"/>
          <w:highlight w:val="none"/>
          <w:lang w:val="en-US" w:eastAsia="zh-CN"/>
        </w:rPr>
      </w:pPr>
    </w:p>
    <w:p w14:paraId="1A517878">
      <w:pPr>
        <w:rPr>
          <w:rFonts w:hint="eastAsia"/>
          <w:highlight w:val="yellow"/>
          <w:lang w:val="en-US" w:eastAsia="zh-CN"/>
        </w:rPr>
      </w:pPr>
      <w:r>
        <w:rPr>
          <w:rFonts w:hint="eastAsia"/>
          <w:highlight w:val="yellow"/>
          <w:lang w:val="en-US" w:eastAsia="zh-CN"/>
        </w:rPr>
        <w:t>二、社会认知模型（Sociocognitive Model）</w:t>
      </w:r>
    </w:p>
    <w:p w14:paraId="3444860A">
      <w:pPr>
        <w:rPr>
          <w:rFonts w:hint="eastAsia"/>
          <w:highlight w:val="none"/>
          <w:lang w:val="en-US" w:eastAsia="zh-CN"/>
        </w:rPr>
      </w:pPr>
      <w:r>
        <w:rPr>
          <w:rFonts w:hint="eastAsia"/>
          <w:b/>
          <w:bCs/>
          <w:highlight w:val="none"/>
          <w:lang w:val="en-US" w:eastAsia="zh-CN"/>
        </w:rPr>
        <w:t>·核心观点：</w:t>
      </w:r>
      <w:r>
        <w:rPr>
          <w:rFonts w:hint="eastAsia"/>
          <w:highlight w:val="none"/>
          <w:lang w:val="en-US" w:eastAsia="zh-CN"/>
        </w:rPr>
        <w:t xml:space="preserve">DID是社会文化和治疗环境影响下的角色扮演（role enactment），而非单纯的创伤反应。 </w:t>
      </w:r>
    </w:p>
    <w:p w14:paraId="3AE340BE">
      <w:pPr>
        <w:rPr>
          <w:rFonts w:hint="eastAsia"/>
          <w:highlight w:val="none"/>
          <w:lang w:val="en-US" w:eastAsia="zh-CN"/>
        </w:rPr>
      </w:pPr>
      <w:r>
        <w:rPr>
          <w:rFonts w:hint="eastAsia"/>
          <w:highlight w:val="none"/>
          <w:lang w:val="en-US" w:eastAsia="zh-CN"/>
        </w:rPr>
        <w:t xml:space="preserve"> </w:t>
      </w:r>
    </w:p>
    <w:p w14:paraId="538BFE04">
      <w:pPr>
        <w:rPr>
          <w:rFonts w:hint="eastAsia"/>
          <w:b/>
          <w:bCs/>
          <w:highlight w:val="none"/>
          <w:lang w:val="en-US" w:eastAsia="zh-CN"/>
        </w:rPr>
      </w:pPr>
      <w:r>
        <w:rPr>
          <w:rFonts w:hint="eastAsia"/>
          <w:b/>
          <w:bCs/>
          <w:highlight w:val="none"/>
          <w:lang w:val="en-US" w:eastAsia="zh-CN"/>
        </w:rPr>
        <w:t xml:space="preserve">·1. 社会强化与文化脚本  </w:t>
      </w:r>
    </w:p>
    <w:p w14:paraId="679D8B02">
      <w:pPr>
        <w:rPr>
          <w:rFonts w:hint="eastAsia"/>
          <w:highlight w:val="none"/>
          <w:lang w:val="en-US" w:eastAsia="zh-CN"/>
        </w:rPr>
      </w:pPr>
      <w:r>
        <w:rPr>
          <w:rFonts w:hint="eastAsia"/>
          <w:highlight w:val="none"/>
          <w:lang w:val="en-US" w:eastAsia="zh-CN"/>
        </w:rPr>
        <w:t xml:space="preserve">   - 媒体、临床环境对DID症状的描述（如“多重人格”形象）可能提供社会脚本，促使个体表现出符合诊断标准的行为（5）。  </w:t>
      </w:r>
    </w:p>
    <w:p w14:paraId="3FAF4458">
      <w:pPr>
        <w:rPr>
          <w:rFonts w:hint="eastAsia"/>
          <w:highlight w:val="none"/>
          <w:lang w:val="en-US" w:eastAsia="zh-CN"/>
        </w:rPr>
      </w:pPr>
      <w:r>
        <w:rPr>
          <w:rFonts w:hint="eastAsia"/>
          <w:highlight w:val="none"/>
          <w:lang w:val="en-US" w:eastAsia="zh-CN"/>
        </w:rPr>
        <w:t xml:space="preserve">   - 治疗师的暗示性提问或引导可能强化多重身份的建构，尤其在易受暗示或高幻想倾向的个体中。治疗师通过暗示性技术（如催眠、引导想象）直接或间接鼓励患者构建多重身份。例如，使用 “是否存在另一个部分的你”等提问，促使患者采纳 “多重人格” 的角色这种 “具体化” 技术</w:t>
      </w:r>
      <w:bookmarkStart w:id="0" w:name="_GoBack"/>
      <w:bookmarkEnd w:id="0"/>
      <w:r>
        <w:rPr>
          <w:rFonts w:hint="eastAsia"/>
          <w:highlight w:val="none"/>
          <w:lang w:val="en-US" w:eastAsia="zh-CN"/>
        </w:rPr>
        <w:t xml:space="preserve">将患者的主观体验转化为离散的身份，强化了多重角色的表现（5）。  </w:t>
      </w:r>
    </w:p>
    <w:p w14:paraId="3C3BF13D">
      <w:pPr>
        <w:rPr>
          <w:rFonts w:hint="eastAsia"/>
          <w:highlight w:val="none"/>
          <w:lang w:val="en-US" w:eastAsia="zh-CN"/>
        </w:rPr>
      </w:pPr>
    </w:p>
    <w:p w14:paraId="59A33EF2">
      <w:pPr>
        <w:rPr>
          <w:rFonts w:hint="eastAsia"/>
          <w:highlight w:val="none"/>
          <w:lang w:val="en-US" w:eastAsia="zh-CN"/>
        </w:rPr>
      </w:pPr>
      <w:r>
        <w:rPr>
          <w:rFonts w:hint="eastAsia"/>
          <w:b/>
          <w:bCs/>
          <w:highlight w:val="none"/>
          <w:lang w:val="en-US" w:eastAsia="zh-CN"/>
        </w:rPr>
        <w:t xml:space="preserve">·2. 争议与局限  </w:t>
      </w:r>
    </w:p>
    <w:p w14:paraId="65CCA8ED">
      <w:pPr>
        <w:rPr>
          <w:rFonts w:hint="eastAsia"/>
          <w:highlight w:val="none"/>
          <w:lang w:val="en-US" w:eastAsia="zh-CN"/>
        </w:rPr>
      </w:pPr>
      <w:r>
        <w:rPr>
          <w:rFonts w:hint="eastAsia"/>
          <w:highlight w:val="none"/>
          <w:lang w:val="en-US" w:eastAsia="zh-CN"/>
        </w:rPr>
        <w:t xml:space="preserve">   - 该模型难以解释跨文化中DID的普遍性（如非西方文化中的“附体”现象），且实证研究</w:t>
      </w:r>
      <w:r>
        <w:rPr>
          <w:rFonts w:hint="eastAsia"/>
          <w:highlight w:val="none"/>
          <w:u w:val="single"/>
          <w:lang w:val="en-US" w:eastAsia="zh-CN"/>
        </w:rPr>
        <w:t>（下图）</w:t>
      </w:r>
      <w:r>
        <w:rPr>
          <w:rFonts w:hint="eastAsia"/>
          <w:highlight w:val="none"/>
          <w:lang w:val="en-US" w:eastAsia="zh-CN"/>
        </w:rPr>
        <w:t>显示DID患者的核心症状（如身份失忆）无法被健康个体通过角色扮演完全模拟（4、5）。</w:t>
      </w:r>
    </w:p>
    <w:p w14:paraId="6D51401E">
      <w:pPr>
        <w:rPr>
          <w:rFonts w:hint="eastAsia"/>
          <w:highlight w:val="none"/>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3517265</wp:posOffset>
                </wp:positionH>
                <wp:positionV relativeFrom="paragraph">
                  <wp:posOffset>537210</wp:posOffset>
                </wp:positionV>
                <wp:extent cx="3311525" cy="2081530"/>
                <wp:effectExtent l="6350" t="6350" r="9525" b="20320"/>
                <wp:wrapNone/>
                <wp:docPr id="2" name="文本框 2"/>
                <wp:cNvGraphicFramePr/>
                <a:graphic xmlns:a="http://schemas.openxmlformats.org/drawingml/2006/main">
                  <a:graphicData uri="http://schemas.microsoft.com/office/word/2010/wordprocessingShape">
                    <wps:wsp>
                      <wps:cNvSpPr txBox="1"/>
                      <wps:spPr>
                        <a:xfrm>
                          <a:off x="4300855" y="1339850"/>
                          <a:ext cx="3311525" cy="20815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B44AFB7">
                            <w:pPr>
                              <w:ind w:firstLine="300" w:firstLineChars="200"/>
                              <w:rPr>
                                <w:rFonts w:hint="eastAsia"/>
                                <w:sz w:val="15"/>
                                <w:szCs w:val="15"/>
                              </w:rPr>
                            </w:pPr>
                            <w:r>
                              <w:rPr>
                                <w:rFonts w:hint="eastAsia"/>
                                <w:sz w:val="15"/>
                                <w:szCs w:val="15"/>
                              </w:rPr>
                              <w:t>这张图表展示了分离性身份障碍患者组（DID - G，红色）、模拟分离性身份障碍组（DID - S，蓝色）和对照组（CTRL，黄色）在两种身份状态（NIS：中性身份状态；TIS：创伤相关身份状态）下，对不同词汇类型（NSt：非自我相关创伤词；St：自我相关创伤词）的情感强度评分（数值越高，负面情感越强）</w:t>
                            </w:r>
                          </w:p>
                          <w:p w14:paraId="6CF164E2">
                            <w:pPr>
                              <w:ind w:firstLine="300" w:firstLineChars="200"/>
                              <w:rPr>
                                <w:rFonts w:hint="default" w:eastAsiaTheme="minorEastAsia"/>
                                <w:sz w:val="15"/>
                                <w:szCs w:val="15"/>
                                <w:lang w:val="en-US" w:eastAsia="zh-CN"/>
                              </w:rPr>
                            </w:pPr>
                            <w:r>
                              <w:rPr>
                                <w:rFonts w:hint="eastAsia"/>
                                <w:sz w:val="15"/>
                                <w:szCs w:val="15"/>
                              </w:rPr>
                              <w:t>图表揭示了身份状态对情感强度评分的影响：TIS 状态下，各组对 St 词的负面情感均显著增强；NIS 状态下，DID - G 组对 St 词的负面情感评分显著高于 CTRL 组，体现了分离性身份障碍患者在中性身份状态下对自我相关创伤词的独特情感处理模式</w:t>
                            </w:r>
                            <w:r>
                              <w:rPr>
                                <w:rFonts w:hint="eastAsia"/>
                                <w:sz w:val="15"/>
                                <w:szCs w:val="15"/>
                                <w:lang w:eastAsia="zh-CN"/>
                              </w:rPr>
                              <w:t>。</w:t>
                            </w:r>
                            <w:r>
                              <w:rPr>
                                <w:rFonts w:hint="eastAsia"/>
                                <w:sz w:val="15"/>
                                <w:szCs w:val="15"/>
                                <w:lang w:val="en-US" w:eastAsia="zh-CN"/>
                              </w:rPr>
                              <w:t>即通过说明正常人无法假扮患者，证明了</w:t>
                            </w:r>
                            <w:r>
                              <w:rPr>
                                <w:rFonts w:hint="default"/>
                                <w:sz w:val="15"/>
                                <w:szCs w:val="15"/>
                                <w:lang w:val="en-US" w:eastAsia="zh-CN"/>
                              </w:rPr>
                              <w:t>DID</w:t>
                            </w:r>
                            <w:r>
                              <w:rPr>
                                <w:rFonts w:hint="eastAsia"/>
                                <w:sz w:val="15"/>
                                <w:szCs w:val="15"/>
                                <w:lang w:val="en-US" w:eastAsia="zh-CN"/>
                              </w:rPr>
                              <w:t>患者的真实性。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95pt;margin-top:42.3pt;height:163.9pt;width:260.75pt;z-index:251659264;mso-width-relative:page;mso-height-relative:page;" fillcolor="#FFFFFF [3201]" filled="t" stroked="t" coordsize="21600,21600" o:gfxdata="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xNVh9cAAAALAQAADwAAAAAAAAABACAAAAAiAAAAZHJzL2Rvd25yZXYueG1sUEsBAhQAFAAA&#10;AAgAh07iQOZ2fTJiAgAAxAQAAA4AAAAAAAAAAQAgAAAAJgEAAGRycy9lMm9Eb2MueG1sUEsFBgAA&#10;AAAGAAYAWQEAAPoFAAAAAA==&#10;">
                <v:fill on="t" focussize="0,0"/>
                <v:stroke weight="0.5pt" color="#000000 [3204]" joinstyle="round"/>
                <v:imagedata o:title=""/>
                <o:lock v:ext="edit" aspectratio="f"/>
                <v:textbox>
                  <w:txbxContent>
                    <w:p w14:paraId="7B44AFB7">
                      <w:pPr>
                        <w:ind w:firstLine="300" w:firstLineChars="200"/>
                        <w:rPr>
                          <w:rFonts w:hint="eastAsia"/>
                          <w:sz w:val="15"/>
                          <w:szCs w:val="15"/>
                        </w:rPr>
                      </w:pPr>
                      <w:r>
                        <w:rPr>
                          <w:rFonts w:hint="eastAsia"/>
                          <w:sz w:val="15"/>
                          <w:szCs w:val="15"/>
                        </w:rPr>
                        <w:t>这张图表展示了分离性身份障碍患者组（DID - G，红色）、模拟分离性身份障碍组（DID - S，蓝色）和对照组（CTRL，黄色）在两种身份状态（NIS：中性身份状态；TIS：创伤相关身份状态）下，对不同词汇类型（NSt：非自我相关创伤词；St：自我相关创伤词）的情感强度评分（数值越高，负面情感越强）</w:t>
                      </w:r>
                    </w:p>
                    <w:p w14:paraId="6CF164E2">
                      <w:pPr>
                        <w:ind w:firstLine="300" w:firstLineChars="200"/>
                        <w:rPr>
                          <w:rFonts w:hint="default" w:eastAsiaTheme="minorEastAsia"/>
                          <w:sz w:val="15"/>
                          <w:szCs w:val="15"/>
                          <w:lang w:val="en-US" w:eastAsia="zh-CN"/>
                        </w:rPr>
                      </w:pPr>
                      <w:r>
                        <w:rPr>
                          <w:rFonts w:hint="eastAsia"/>
                          <w:sz w:val="15"/>
                          <w:szCs w:val="15"/>
                        </w:rPr>
                        <w:t>图表揭示了身份状态对情感强度评分的影响：TIS 状态下，各组对 St 词的负面情感均显著增强；NIS 状态下，DID - G 组对 St 词的负面情感评分显著高于 CTRL 组，体现了分离性身份障碍患者在中性身份状态下对自我相关创伤词的独特情感处理模式</w:t>
                      </w:r>
                      <w:r>
                        <w:rPr>
                          <w:rFonts w:hint="eastAsia"/>
                          <w:sz w:val="15"/>
                          <w:szCs w:val="15"/>
                          <w:lang w:eastAsia="zh-CN"/>
                        </w:rPr>
                        <w:t>。</w:t>
                      </w:r>
                      <w:r>
                        <w:rPr>
                          <w:rFonts w:hint="eastAsia"/>
                          <w:sz w:val="15"/>
                          <w:szCs w:val="15"/>
                          <w:lang w:val="en-US" w:eastAsia="zh-CN"/>
                        </w:rPr>
                        <w:t>即通过说明正常人无法假扮患者，证明了</w:t>
                      </w:r>
                      <w:r>
                        <w:rPr>
                          <w:rFonts w:hint="default"/>
                          <w:sz w:val="15"/>
                          <w:szCs w:val="15"/>
                          <w:lang w:val="en-US" w:eastAsia="zh-CN"/>
                        </w:rPr>
                        <w:t>DID</w:t>
                      </w:r>
                      <w:r>
                        <w:rPr>
                          <w:rFonts w:hint="eastAsia"/>
                          <w:sz w:val="15"/>
                          <w:szCs w:val="15"/>
                          <w:lang w:val="en-US" w:eastAsia="zh-CN"/>
                        </w:rPr>
                        <w:t>患者的真实性。</w:t>
                      </w:r>
                    </w:p>
                  </w:txbxContent>
                </v:textbox>
              </v:shape>
            </w:pict>
          </mc:Fallback>
        </mc:AlternateContent>
      </w:r>
      <w:r>
        <w:drawing>
          <wp:inline distT="0" distB="0" distL="114300" distR="114300">
            <wp:extent cx="3505200" cy="3057525"/>
            <wp:effectExtent l="0" t="0" r="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05200" cy="3057525"/>
                    </a:xfrm>
                    <a:prstGeom prst="rect">
                      <a:avLst/>
                    </a:prstGeom>
                    <a:noFill/>
                    <a:ln>
                      <a:noFill/>
                    </a:ln>
                  </pic:spPr>
                </pic:pic>
              </a:graphicData>
            </a:graphic>
          </wp:inline>
        </w:drawing>
      </w:r>
      <w:r>
        <w:rPr>
          <w:rFonts w:hint="eastAsia"/>
          <w:highlight w:val="none"/>
          <w:lang w:val="en-US" w:eastAsia="zh-CN"/>
        </w:rPr>
        <w:t xml:space="preserve">  </w:t>
      </w:r>
    </w:p>
    <w:p w14:paraId="51B257DA">
      <w:pPr>
        <w:rPr>
          <w:rFonts w:hint="eastAsia"/>
          <w:highlight w:val="none"/>
          <w:lang w:val="en-US" w:eastAsia="zh-CN"/>
        </w:rPr>
      </w:pPr>
    </w:p>
    <w:p w14:paraId="7852A765">
      <w:pPr>
        <w:rPr>
          <w:rFonts w:hint="eastAsia"/>
          <w:highlight w:val="yellow"/>
          <w:lang w:val="en-US" w:eastAsia="zh-CN"/>
        </w:rPr>
      </w:pPr>
      <w:r>
        <w:rPr>
          <w:rFonts w:hint="eastAsia"/>
          <w:highlight w:val="yellow"/>
          <w:lang w:val="en-US" w:eastAsia="zh-CN"/>
        </w:rPr>
        <w:t>三、神经生物学机制</w:t>
      </w:r>
    </w:p>
    <w:p w14:paraId="0E466C8A">
      <w:pPr>
        <w:rPr>
          <w:rFonts w:hint="eastAsia"/>
          <w:highlight w:val="none"/>
          <w:lang w:val="en-US" w:eastAsia="zh-CN"/>
        </w:rPr>
      </w:pPr>
      <w:r>
        <w:rPr>
          <w:rFonts w:hint="eastAsia"/>
          <w:b/>
          <w:bCs/>
          <w:highlight w:val="none"/>
          <w:lang w:val="en-US" w:eastAsia="zh-CN"/>
        </w:rPr>
        <w:t>·1. 脑结构与功能异常</w:t>
      </w:r>
      <w:r>
        <w:rPr>
          <w:rFonts w:hint="eastAsia"/>
          <w:highlight w:val="none"/>
          <w:lang w:val="en-US" w:eastAsia="zh-CN"/>
        </w:rPr>
        <w:t xml:space="preserve">  </w:t>
      </w:r>
    </w:p>
    <w:p w14:paraId="2CAB546C">
      <w:pPr>
        <w:rPr>
          <w:rFonts w:hint="eastAsia"/>
          <w:highlight w:val="none"/>
          <w:lang w:val="en-US" w:eastAsia="zh-CN"/>
        </w:rPr>
      </w:pPr>
      <w:r>
        <w:rPr>
          <w:rFonts w:hint="eastAsia"/>
          <w:highlight w:val="none"/>
          <w:lang w:val="en-US" w:eastAsia="zh-CN"/>
        </w:rPr>
        <w:t xml:space="preserve">   - 海马体与杏仁核体积缩小：MRI研究发现，DID患者的海马体（记忆与应激调节核心区）和杏仁核（情绪处理核心区）体积显著小于健康对照，可能与早期创伤导致的长期糖皮质激素暴露相关（6）</w:t>
      </w:r>
    </w:p>
    <w:p w14:paraId="4A35A7C2">
      <w:pPr>
        <w:rPr>
          <w:rFonts w:hint="eastAsia"/>
          <w:highlight w:val="none"/>
          <w:lang w:val="en-US" w:eastAsia="zh-CN"/>
        </w:rPr>
      </w:pPr>
      <w:r>
        <w:rPr>
          <w:rFonts w:hint="eastAsia"/>
          <w:highlight w:val="none"/>
          <w:lang w:val="en-US" w:eastAsia="zh-CN"/>
        </w:rPr>
        <w:t xml:space="preserve">（下图1:分离性身份障碍患者和健康对照受试者的海马、杏仁核和全脑体积；下图二：分离性身份障碍患者和健康对照受试者的海马体和杏仁核体积）。 </w:t>
      </w:r>
    </w:p>
    <w:p w14:paraId="5CD7E06D">
      <w:pPr>
        <w:rPr>
          <w:rFonts w:hint="eastAsia"/>
          <w:highlight w:val="none"/>
          <w:lang w:val="en-US" w:eastAsia="zh-CN"/>
        </w:rPr>
      </w:pPr>
      <w:r>
        <w:rPr>
          <w:rFonts w:hint="eastAsia"/>
          <w:highlight w:val="none"/>
          <w:lang w:val="en-US" w:eastAsia="zh-CN"/>
        </w:rPr>
        <w:t xml:space="preserve"> </w:t>
      </w:r>
      <w:r>
        <w:rPr>
          <w:rFonts w:hint="eastAsia"/>
          <w:highlight w:val="none"/>
          <w:lang w:val="en-US" w:eastAsia="zh-CN"/>
        </w:rPr>
        <w:drawing>
          <wp:inline distT="0" distB="0" distL="114300" distR="114300">
            <wp:extent cx="6402070" cy="1576070"/>
            <wp:effectExtent l="0" t="0" r="24130" b="24130"/>
            <wp:docPr id="3" name="图片 3" descr="截屏2025-04-20 21.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4-20 21.00.57"/>
                    <pic:cNvPicPr>
                      <a:picLocks noChangeAspect="1"/>
                    </pic:cNvPicPr>
                  </pic:nvPicPr>
                  <pic:blipFill>
                    <a:blip r:embed="rId5"/>
                    <a:srcRect l="13874" t="42169" r="11666" b="29640"/>
                    <a:stretch>
                      <a:fillRect/>
                    </a:stretch>
                  </pic:blipFill>
                  <pic:spPr>
                    <a:xfrm>
                      <a:off x="0" y="0"/>
                      <a:ext cx="6402070" cy="1576070"/>
                    </a:xfrm>
                    <a:prstGeom prst="rect">
                      <a:avLst/>
                    </a:prstGeom>
                  </pic:spPr>
                </pic:pic>
              </a:graphicData>
            </a:graphic>
          </wp:inline>
        </w:drawing>
      </w:r>
    </w:p>
    <w:p w14:paraId="7B3B8CE4">
      <w:pPr>
        <w:rPr>
          <w:rFonts w:hint="eastAsia"/>
          <w:highlight w:val="none"/>
          <w:lang w:val="en-US" w:eastAsia="zh-CN"/>
        </w:rPr>
      </w:pPr>
    </w:p>
    <w:p w14:paraId="448028EE">
      <w:pPr>
        <w:rPr>
          <w:rFonts w:hint="eastAsia"/>
          <w:highlight w:val="none"/>
          <w:lang w:val="en-US" w:eastAsia="zh-CN"/>
        </w:rPr>
      </w:pPr>
      <w:r>
        <w:rPr>
          <w:rFonts w:hint="eastAsia"/>
          <w:highlight w:val="none"/>
          <w:lang w:val="en-US" w:eastAsia="zh-CN"/>
        </w:rPr>
        <w:drawing>
          <wp:inline distT="0" distB="0" distL="114300" distR="114300">
            <wp:extent cx="2406015" cy="2564130"/>
            <wp:effectExtent l="0" t="0" r="0" b="0"/>
            <wp:docPr id="4" name="图片 4" descr="截屏2025-04-20 21.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5-04-20 21.03.54"/>
                    <pic:cNvPicPr>
                      <a:picLocks noChangeAspect="1"/>
                    </pic:cNvPicPr>
                  </pic:nvPicPr>
                  <pic:blipFill>
                    <a:blip r:embed="rId6"/>
                    <a:srcRect l="52007" t="29213" r="11689" b="11299"/>
                    <a:stretch>
                      <a:fillRect/>
                    </a:stretch>
                  </pic:blipFill>
                  <pic:spPr>
                    <a:xfrm>
                      <a:off x="0" y="0"/>
                      <a:ext cx="2406015" cy="2564130"/>
                    </a:xfrm>
                    <a:prstGeom prst="rect">
                      <a:avLst/>
                    </a:prstGeom>
                  </pic:spPr>
                </pic:pic>
              </a:graphicData>
            </a:graphic>
          </wp:inline>
        </w:drawing>
      </w:r>
    </w:p>
    <w:p w14:paraId="3E531B97">
      <w:pPr>
        <w:rPr>
          <w:rFonts w:hint="eastAsia"/>
          <w:highlight w:val="none"/>
          <w:lang w:val="en-US" w:eastAsia="zh-CN"/>
        </w:rPr>
      </w:pPr>
    </w:p>
    <w:p w14:paraId="0EAE80B8">
      <w:pPr>
        <w:rPr>
          <w:rFonts w:hint="eastAsia"/>
          <w:highlight w:val="none"/>
          <w:lang w:val="en-US" w:eastAsia="zh-CN"/>
        </w:rPr>
      </w:pPr>
      <w:r>
        <w:rPr>
          <w:rFonts w:hint="eastAsia"/>
          <w:highlight w:val="none"/>
          <w:lang w:val="en-US" w:eastAsia="zh-CN"/>
        </w:rPr>
        <w:t xml:space="preserve">   - 前额叶与边缘系统功能失调：功能影像学研究显示，DID患者在身份切换时，前额叶皮层、前扣带回等区域的激活模式异常，提示解离状态与脑网络功能分化有关（6）。 </w:t>
      </w:r>
    </w:p>
    <w:p w14:paraId="41DD6BB2">
      <w:pPr>
        <w:rPr>
          <w:rFonts w:hint="eastAsia"/>
          <w:highlight w:val="none"/>
          <w:lang w:val="en-US" w:eastAsia="zh-CN"/>
        </w:rPr>
      </w:pPr>
      <w:r>
        <w:rPr>
          <w:rFonts w:hint="eastAsia"/>
          <w:highlight w:val="none"/>
          <w:lang w:val="en-US" w:eastAsia="zh-CN"/>
        </w:rPr>
        <w:t xml:space="preserve"> </w:t>
      </w:r>
    </w:p>
    <w:p w14:paraId="728026C5">
      <w:pPr>
        <w:rPr>
          <w:rFonts w:hint="eastAsia"/>
          <w:highlight w:val="none"/>
          <w:lang w:val="en-US" w:eastAsia="zh-CN"/>
        </w:rPr>
      </w:pPr>
      <w:r>
        <w:rPr>
          <w:rFonts w:hint="eastAsia"/>
          <w:b/>
          <w:bCs/>
          <w:highlight w:val="none"/>
          <w:lang w:val="en-US" w:eastAsia="zh-CN"/>
        </w:rPr>
        <w:t>·2. 基因与神经递质</w:t>
      </w:r>
      <w:r>
        <w:rPr>
          <w:rFonts w:hint="eastAsia"/>
          <w:highlight w:val="none"/>
          <w:lang w:val="en-US" w:eastAsia="zh-CN"/>
        </w:rPr>
        <w:t xml:space="preserve">  </w:t>
      </w:r>
    </w:p>
    <w:p w14:paraId="176AD551">
      <w:pPr>
        <w:rPr>
          <w:rFonts w:hint="eastAsia"/>
          <w:highlight w:val="none"/>
          <w:lang w:val="en-US" w:eastAsia="zh-CN"/>
        </w:rPr>
      </w:pPr>
      <w:r>
        <w:rPr>
          <w:rFonts w:hint="eastAsia"/>
          <w:highlight w:val="none"/>
          <w:lang w:val="en-US" w:eastAsia="zh-CN"/>
        </w:rPr>
        <w:t xml:space="preserve">   - 遗传易感性（如5-HTTLPR基因多态性）可能影响应激反应，增加解离倾向，但目前研究尚未明确具体基因-环境交互作用（4）。  </w:t>
      </w:r>
    </w:p>
    <w:p w14:paraId="4811ED23">
      <w:pPr>
        <w:rPr>
          <w:rFonts w:hint="eastAsia"/>
          <w:highlight w:val="none"/>
          <w:lang w:val="en-US" w:eastAsia="zh-CN"/>
        </w:rPr>
      </w:pPr>
    </w:p>
    <w:p w14:paraId="546281A7">
      <w:pPr>
        <w:rPr>
          <w:rFonts w:hint="eastAsia"/>
          <w:highlight w:val="yellow"/>
          <w:lang w:val="en-US" w:eastAsia="zh-CN"/>
        </w:rPr>
      </w:pPr>
      <w:r>
        <w:rPr>
          <w:rFonts w:hint="eastAsia"/>
          <w:highlight w:val="yellow"/>
          <w:lang w:val="en-US" w:eastAsia="zh-CN"/>
        </w:rPr>
        <w:t>四、文化与个体差异因素</w:t>
      </w:r>
    </w:p>
    <w:p w14:paraId="7887B41A">
      <w:pPr>
        <w:rPr>
          <w:rFonts w:hint="eastAsia"/>
          <w:highlight w:val="none"/>
          <w:lang w:val="en-US" w:eastAsia="zh-CN"/>
        </w:rPr>
      </w:pPr>
      <w:r>
        <w:rPr>
          <w:rFonts w:hint="eastAsia"/>
          <w:b/>
          <w:bCs/>
          <w:highlight w:val="none"/>
          <w:lang w:val="en-US" w:eastAsia="zh-CN"/>
        </w:rPr>
        <w:t xml:space="preserve">·1. 文化对表现形式的影响 </w:t>
      </w:r>
      <w:r>
        <w:rPr>
          <w:rFonts w:hint="eastAsia"/>
          <w:highlight w:val="none"/>
          <w:lang w:val="en-US" w:eastAsia="zh-CN"/>
        </w:rPr>
        <w:t xml:space="preserve"> </w:t>
      </w:r>
    </w:p>
    <w:p w14:paraId="31C0B151">
      <w:pPr>
        <w:rPr>
          <w:rFonts w:hint="eastAsia"/>
          <w:highlight w:val="none"/>
          <w:lang w:val="en-US" w:eastAsia="zh-CN"/>
        </w:rPr>
      </w:pPr>
      <w:r>
        <w:rPr>
          <w:rFonts w:hint="eastAsia"/>
          <w:highlight w:val="none"/>
          <w:lang w:val="en-US" w:eastAsia="zh-CN"/>
        </w:rPr>
        <w:t xml:space="preserve">   - 文化脚本（如宗教、媒体）影响症状表达，但不直接决定病因，核心仍与创伤或社会压力相关（4）。</w:t>
      </w:r>
    </w:p>
    <w:p w14:paraId="6BEC2892">
      <w:pPr>
        <w:rPr>
          <w:rFonts w:hint="eastAsia"/>
          <w:highlight w:val="none"/>
          <w:lang w:val="en-US" w:eastAsia="zh-CN"/>
        </w:rPr>
      </w:pPr>
      <w:r>
        <w:rPr>
          <w:rFonts w:hint="eastAsia"/>
          <w:highlight w:val="none"/>
          <w:lang w:val="en-US" w:eastAsia="zh-CN"/>
        </w:rPr>
        <w:t xml:space="preserve">  </w:t>
      </w:r>
    </w:p>
    <w:p w14:paraId="0B2950F7">
      <w:pPr>
        <w:rPr>
          <w:rFonts w:hint="eastAsia"/>
          <w:highlight w:val="none"/>
          <w:lang w:val="en-US" w:eastAsia="zh-CN"/>
        </w:rPr>
      </w:pPr>
      <w:r>
        <w:rPr>
          <w:rFonts w:hint="eastAsia"/>
          <w:b/>
          <w:bCs/>
          <w:highlight w:val="none"/>
          <w:lang w:val="en-US" w:eastAsia="zh-CN"/>
        </w:rPr>
        <w:t xml:space="preserve">·2. 个体特质  </w:t>
      </w:r>
    </w:p>
    <w:p w14:paraId="3FC56331">
      <w:pPr>
        <w:rPr>
          <w:rFonts w:hint="eastAsia"/>
          <w:highlight w:val="none"/>
          <w:lang w:val="en-US" w:eastAsia="zh-CN"/>
        </w:rPr>
      </w:pPr>
      <w:r>
        <w:rPr>
          <w:rFonts w:hint="eastAsia"/>
          <w:highlight w:val="none"/>
          <w:lang w:val="en-US" w:eastAsia="zh-CN"/>
        </w:rPr>
        <w:t xml:space="preserve">   - 高幻想倾向、吸收能力和分离倾向可能作为易感因素，与创伤或社会环境交互作用，促进DID形成（5）。  </w:t>
      </w:r>
    </w:p>
    <w:p w14:paraId="495F0A8F">
      <w:pPr>
        <w:rPr>
          <w:rFonts w:hint="eastAsia"/>
          <w:highlight w:val="none"/>
          <w:lang w:val="en-US" w:eastAsia="zh-CN"/>
        </w:rPr>
      </w:pPr>
    </w:p>
    <w:p w14:paraId="54F00942">
      <w:pPr>
        <w:rPr>
          <w:rFonts w:hint="eastAsia"/>
          <w:highlight w:val="yellow"/>
          <w:lang w:val="en-US" w:eastAsia="zh-CN"/>
        </w:rPr>
      </w:pPr>
      <w:r>
        <w:rPr>
          <w:rFonts w:hint="eastAsia"/>
          <w:highlight w:val="yellow"/>
          <w:lang w:val="en-US" w:eastAsia="zh-CN"/>
        </w:rPr>
        <w:t>五、争议与挑战</w:t>
      </w:r>
    </w:p>
    <w:p w14:paraId="7EB0C202">
      <w:pPr>
        <w:rPr>
          <w:rFonts w:hint="eastAsia"/>
          <w:b/>
          <w:bCs/>
          <w:highlight w:val="none"/>
          <w:lang w:val="en-US" w:eastAsia="zh-CN"/>
        </w:rPr>
      </w:pPr>
      <w:r>
        <w:rPr>
          <w:rFonts w:hint="eastAsia"/>
          <w:b/>
          <w:bCs/>
          <w:highlight w:val="none"/>
          <w:lang w:val="en-US" w:eastAsia="zh-CN"/>
        </w:rPr>
        <w:t xml:space="preserve">·1. 病因的多因素性  </w:t>
      </w:r>
    </w:p>
    <w:p w14:paraId="669117FF">
      <w:pPr>
        <w:rPr>
          <w:rFonts w:hint="eastAsia"/>
          <w:highlight w:val="none"/>
          <w:lang w:val="en-US" w:eastAsia="zh-CN"/>
        </w:rPr>
      </w:pPr>
      <w:r>
        <w:rPr>
          <w:rFonts w:hint="eastAsia"/>
          <w:highlight w:val="none"/>
          <w:lang w:val="en-US" w:eastAsia="zh-CN"/>
        </w:rPr>
        <w:t xml:space="preserve">   目前共识认为DID是生物-心理-社会因素共同作用的结果：童年创伤是主要诱因，神经生物学易感性和社会文化环境影响症状发展与表现（1、4）。  </w:t>
      </w:r>
    </w:p>
    <w:p w14:paraId="2B321280">
      <w:pPr>
        <w:rPr>
          <w:rFonts w:hint="eastAsia"/>
          <w:highlight w:val="none"/>
          <w:lang w:val="en-US" w:eastAsia="zh-CN"/>
        </w:rPr>
      </w:pPr>
    </w:p>
    <w:p w14:paraId="478445B7">
      <w:pPr>
        <w:rPr>
          <w:rFonts w:hint="eastAsia"/>
          <w:b/>
          <w:bCs/>
          <w:highlight w:val="none"/>
          <w:lang w:val="en-US" w:eastAsia="zh-CN"/>
        </w:rPr>
      </w:pPr>
      <w:r>
        <w:rPr>
          <w:rFonts w:hint="eastAsia"/>
          <w:b/>
          <w:bCs/>
          <w:highlight w:val="none"/>
          <w:lang w:val="en-US" w:eastAsia="zh-CN"/>
        </w:rPr>
        <w:t xml:space="preserve">·2. 鉴别诊断与共病问题 </w:t>
      </w:r>
      <w:r>
        <w:rPr>
          <w:rFonts w:hint="eastAsia"/>
          <w:b/>
          <w:bCs/>
          <w:highlight w:val="none"/>
          <w:lang w:val="en-US" w:eastAsia="zh-CN"/>
        </w:rPr>
        <w:t xml:space="preserve"> </w:t>
      </w:r>
    </w:p>
    <w:p w14:paraId="15B28C5C">
      <w:pPr>
        <w:rPr>
          <w:rFonts w:hint="eastAsia"/>
          <w:highlight w:val="none"/>
          <w:lang w:val="en-US" w:eastAsia="zh-CN"/>
        </w:rPr>
      </w:pPr>
      <w:r>
        <w:rPr>
          <w:rFonts w:hint="eastAsia"/>
          <w:highlight w:val="none"/>
          <w:lang w:val="en-US" w:eastAsia="zh-CN"/>
        </w:rPr>
        <w:t xml:space="preserve">   - DID常与PTSD、边缘型人格障碍共病，难以区分创伤对不同疾病的直接影响（6）。  </w:t>
      </w:r>
    </w:p>
    <w:p w14:paraId="0AE1B0A1">
      <w:pPr>
        <w:rPr>
          <w:rFonts w:hint="eastAsia"/>
          <w:highlight w:val="none"/>
          <w:lang w:val="en-US" w:eastAsia="zh-CN"/>
        </w:rPr>
      </w:pPr>
      <w:r>
        <w:rPr>
          <w:rFonts w:hint="eastAsia"/>
          <w:highlight w:val="none"/>
          <w:lang w:val="en-US" w:eastAsia="zh-CN"/>
        </w:rPr>
        <w:t xml:space="preserve">   - 社会认知模型强调的“医源性因素”证据有限，多数研究支持创伤为必要非充分条件（5）。  </w:t>
      </w:r>
    </w:p>
    <w:p w14:paraId="1E53058F">
      <w:pPr>
        <w:rPr>
          <w:rFonts w:hint="eastAsia"/>
          <w:highlight w:val="none"/>
          <w:lang w:val="en-US" w:eastAsia="zh-CN"/>
        </w:rPr>
      </w:pPr>
    </w:p>
    <w:p w14:paraId="61CB9E37">
      <w:pPr>
        <w:rPr>
          <w:rFonts w:hint="eastAsia"/>
          <w:highlight w:val="yellow"/>
          <w:lang w:val="en-US" w:eastAsia="zh-CN"/>
        </w:rPr>
      </w:pPr>
      <w:r>
        <w:rPr>
          <w:rFonts w:hint="eastAsia"/>
          <w:highlight w:val="yellow"/>
          <w:lang w:val="en-US" w:eastAsia="zh-CN"/>
        </w:rPr>
        <w:t>总结</w:t>
      </w:r>
    </w:p>
    <w:p w14:paraId="7925F66D">
      <w:pPr>
        <w:ind w:firstLine="420" w:firstLineChars="200"/>
        <w:rPr>
          <w:rFonts w:hint="eastAsia"/>
          <w:highlight w:val="none"/>
          <w:lang w:val="en-US" w:eastAsia="zh-CN"/>
        </w:rPr>
      </w:pPr>
      <w:r>
        <w:rPr>
          <w:rFonts w:hint="eastAsia"/>
          <w:highlight w:val="none"/>
          <w:lang w:val="en-US" w:eastAsia="zh-CN"/>
        </w:rPr>
        <w:t>DID的病因研究以创伤模型为核心，强调童年期严重创伤（尤其是依恋相关创伤）的基础性作用，神经生物学研究为其提供了脑结构异常的证据。社会认知模型则补充了后天环境（如治疗、文化）的影响，但争议仍存。</w:t>
      </w:r>
    </w:p>
    <w:p w14:paraId="50297992">
      <w:pPr>
        <w:rPr>
          <w:rFonts w:hint="default"/>
          <w:lang w:val="en-US" w:eastAsia="zh-CN"/>
        </w:rPr>
      </w:pPr>
    </w:p>
    <w:p w14:paraId="22B11342">
      <w:pPr>
        <w:rPr>
          <w:rFonts w:hint="default"/>
          <w:b/>
          <w:bCs/>
          <w:sz w:val="24"/>
          <w:szCs w:val="24"/>
          <w:highlight w:val="none"/>
          <w:lang w:val="en-US" w:eastAsia="zh-CN"/>
        </w:rPr>
      </w:pPr>
      <w:r>
        <w:rPr>
          <w:rFonts w:hint="eastAsia"/>
          <w:b/>
          <w:bCs/>
          <w:sz w:val="24"/>
          <w:szCs w:val="24"/>
          <w:highlight w:val="none"/>
          <w:lang w:val="en-US" w:eastAsia="zh-CN"/>
        </w:rPr>
        <w:t>·个人评价</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黑体-简"/>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 w:name="Kingsoft Sign">
    <w:panose1 w:val="05050102010706020507"/>
    <w:charset w:val="00"/>
    <w:family w:val="auto"/>
    <w:pitch w:val="default"/>
    <w:sig w:usb0="00000000" w:usb1="10000000" w:usb2="00000000" w:usb3="00000000" w:csb0="00000001" w:csb1="00000000"/>
  </w:font>
  <w:font w:name="冬青黑体简体中文">
    <w:panose1 w:val="020B0300000000000000"/>
    <w:charset w:val="86"/>
    <w:family w:val="auto"/>
    <w:pitch w:val="default"/>
    <w:sig w:usb0="A00002BF" w:usb1="1ACF7CFA" w:usb2="00000016" w:usb3="00000000" w:csb0="00060007" w:csb1="00000000"/>
  </w:font>
  <w:font w:name="PingFang SC">
    <w:panose1 w:val="020B0400000000000000"/>
    <w:charset w:val="86"/>
    <w:family w:val="auto"/>
    <w:pitch w:val="default"/>
    <w:sig w:usb0="A00002FF" w:usb1="7ACFFDFB" w:usb2="00000017"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B6E35E"/>
    <w:rsid w:val="37976EDC"/>
    <w:rsid w:val="3DB6E3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29</TotalTime>
  <ScaleCrop>false</ScaleCrop>
  <LinksUpToDate>false</LinksUpToDate>
  <CharactersWithSpaces>0</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2025-04-19T14:05:00Z</dcterms:created>
  <dc:creator>tuotuo</dc:creator>
  <cp:lastModifiedBy>tuotuo</cp:lastModifiedBy>
  <dcterms:modified xsi:type="dcterms:W3CDTF">2025-04-20T21:11:28Z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ICV">
    <vt:lpwstr>E2E426FD7B96A54F1C3D03680976D3E0_41</vt:lpwstr>
  </property>
</Properties>
</file>