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 w:eastAsia="宋体"/>
          <w:b w:val="0"/>
          <w:sz w:val="22"/>
        </w:rPr>
        <w:t xml:space="preserve">协议编号：                 签订日期：                </w:t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一、合约双方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 xml:space="preserve">甲方： 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公司名称：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公司注册编号：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注册地址：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授权代表：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联系电话：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电子邮箱：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 xml:space="preserve">乙方： 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姓名： 庞梦桐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身份证号： 110105199707185322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联系地址： 北京市丰台区易美公寓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联系电话： 13552229826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电子邮箱： mengtongpang97@gmail.com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二、协议性质与项目概述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本协议为合作协议，甲方将乙方视为增长中介，由乙方为甲方服务预约及 AI 视频面试系统项目（以下简称“本项目”）提供网站开发服务。双方本着平等互利、诚实信用的原则，达成以下协议。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项目名称： 服务预约及 AI 视频面试系统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服务性质： 网站开发服务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三、服务周期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1. 合作期限： 一次性项目  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2. 本期服务时间： 自甲方支付全部款项后的第 1 个工作日起算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3. 开发周期：自服务开始之日起 30 个自然日内完成全部开发工作并交付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4. 续约方式： 本项目为一次性交付，不涉及续约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5. 因甲方未及时注册、开通或充值本协议第 5.4 条所列第三方服务而导致的延误，不计入开发周期，乙方不承担由此产生的延期责任。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四、合作模式与服务内容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4.1 合作模式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网站开发服务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服务费用： 港币 6,000 元 （一次性费用）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项目总费用： 港币 6,000 元 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服务开始：甲方支付全部款项后的第 1 个工作日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4.2 服务内容与工作职责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4.2.1 网站开发服务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乙方需为本项目提供以下网站开发服务：</w:t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（一）客户账户体系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邮箱验证码注册/登录一体（6 位验证码、有效期及重发限频控制）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短信验证码注册/登录（短信通道由甲方开通 Twilio 后启用，详见 5.4）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登录会话管理（HttpOnly Cookie、30 天有效期、安全登出）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登录验证码邮件通知（品牌化 HTML 邮件模板）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（二）服务目录与预约下单（客户端）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服务项目展示与选择（陪同验身、工人接机、组合及全套套餐，价格与内容可配置）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各项服务独立动态表单字段（航班号、抵达时间、期望日期、地区偏好等，可配置扩展）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预约表单填写（雇主姓名、电话、WhatsApp、工人姓名、护照号、备注等）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资料文件上传（JPG/PNG/PDF，数量及大小限制，逐文件管理）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服务端校验、套票原子核销、自动生成人读订单编号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提交成功页面与再次预约入口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我的预约列表（状态标签展示）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取消预约（确认弹窗，自动退回套票）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（三）套票商城与在线支付（Stripe）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套票规格展示（单张/多张及优惠价配置）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Stripe Checkout 付款全链路（付款跳转、Webhook 入账、防重复入账、失败自动重试）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我的套票余额展示（剩余次数）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套票核销/退回原子操作（数据库函数防并发超扣；订单取消、拒绝均自动退券）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（四）AI 视频面试（工人端，免登录）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专属面试链接（安全 Token，无需注册登录）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知情同意页（含香港《个人资料（私隐）条例》声明）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摄像头及麦克风视频录制（720P，浏览器兼容性处理）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每题作答时限倒计时与手动提前结束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每题作答次数限制与顺序作答（服务端强制）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录制预览、重新录制与提交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视频浏览器直传云存储（签名 URL）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语音转写（粤语/普通话/英文，双引擎自动降级）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AI 逐题评估（回答相关性及实质内容判断，失败给出改进提示）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（五）AI 面试评估报告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简历管理（PDF/TXT 上传自动提取文字，支持手工修正）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整体评估报告生成：评分、总评、优点、疑点（含与简历矛盾检测）、简历匹配分析、聘用建议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AI 服务未配置时优雅降级（不阻断业务流程）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（六）管理后台 —— 预约订单管理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订单列表与按状态分页筛选（待确认/已确认/已拒绝/全部）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订单详情查看（雇主、工人、服务字段、备注、文件下载）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确认订单（自动发送确认邮件）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拒绝订单（填写原因，自动退券，自动发送拒绝邮件）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WhatsApp 一键联系客户（自动补区号、预填消息）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上传文件查看/下载（临时签名链接）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（七）管理后台 —— 视频面试管理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面试题库管理：新增、编辑考察要点、排序、启用/停用、删除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发起面试：录入工人姓名及简历，自动生成面试链接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面试记录列表（状态、AI 评分标签）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面试详情查看：AI 报告卡片、每题作答记录（转写文本、AI 反馈、视频在线回放）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复制面试链接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整场删除（级联清理视频及简历文件，二次确认）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（八）通知邮件系统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新订单管理员提醒邮件（含后台直达链接）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订单确认/拒绝结果邮件（含订单详情表格）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登录验证码邮件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40"/>
      </w:pPr>
      <w:r>
        <w:rPr>
          <w:rFonts w:ascii="Times New Roman" w:hAnsi="Times New Roman" w:eastAsia="宋体"/>
          <w:b/>
          <w:sz w:val="22"/>
        </w:rPr>
        <w:t>（九）权限与上线加固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用户端接口全部会话鉴权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工人端按 Token 授权及越权校验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私有文件存储（签名 URL 访问）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已处理订单防重复操作（幂等保护）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· 管理后台管理员登录鉴权加固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4.2.2 甲方职责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资源提供：需要时配合乙方与第三方服务商（支付、邮件、云服务等）协作完成网站开发工作；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按时付款： 按约定时间支付乙方服务费用。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资料提供：及时提供项目所需的业务资料、品牌素材及服务定价信息。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五、费用与支付方式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5.1 服务费用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1. 服务费用： 港币 6,000 元 （一次性费用，无其他附加费用）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2. 合作总金额： 港币 6,000 元 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5.2 支付方式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付款方式：一次性付清。合同签署后，甲方一次性付清全部服务费用，即 港币 6,000 元 ；乙方于收款后第 1 个工作日开始服务；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通用支付信息：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支付方式：  ZA Bank 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收款账户： 8810 3571 6531 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5.3 发票提供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乙方应根据甲方要求提供合法有效的发票，税费由甲方承担。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5.4 甲方需自行开通的第三方服务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本项目所需以下第三方服务，由甲方自行注册、开通并充值/付费，相关账号及费用由甲方承担：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1. 域名：购买并维护项目所需域名；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2. AI 服务：Gemini API 账号开通及充值；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3. 短信服务：Twilio 账号注册及充值（用于登录短信验证码）；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4. 在线支付：Stripe 商户账号开通；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5. 云存储及数据库：Supabase 账号及套餐费用；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6. 邮件服务：Resend 等事务邮件服务账号及费用。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5.5 售后与维护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自本项目交付之日起 1 年内，乙方为甲方免费提供系统缺陷（Bug）修复及必要的技术支持。新增功能开发或需求变更不属于免费售后范围，由双方另行协商报价。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六、汇报与沟通机制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6.1 项目进度汇报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乙方需在项目关键节点向甲方汇报开发进度，包括：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当前开发阶段完成情况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已完成功能演示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汇报方式：    微信，或随时沟通其他平台      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七、项目归属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7.1 项目所有权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服务预约及 AI 视频面试系统项目的所有权、运营权归甲方所有。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7.2 内容与策略归属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1. 网站内容：乙方为项目开发的所有网站代码、页面设计、技术文档等知识产权归甲方所有。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2. 运营策略：甲方的所有网站需求、品牌资料、业务逻辑归甲方所有。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7.3 使用限制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乙方不得将为甲方项目创作的内容、策略、运营方式用于其他项目或向第三方披露。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八、保密条款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8.1 保密范围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双方对因本协议而知悉的对方商业秘密、技术资料、运营数据、财务信息等承担保密义务，包括但不限于：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网站开发方案与技术资料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用户数据与网站访问信息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财务数据与商业计划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网站开发技术方案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8.2 保密期限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保密义务自本协议签订之日起生效，至本协议终止后 2 年内持续有效。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8.3 违约责任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违反保密义务的一方应赔偿因此给对方造成的全部损失。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九、违约责任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9.1 甲方违约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甲方出现以下情形视为违约：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无正当理由拒绝配合：无正当理由拒绝配合乙方网站开发工作。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违约责任：乙方有权暂停服务，情节严重的可立即终止合约。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9.2 乙方违约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乙方出现以下情形视为违约：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采用违规手段： 采用违规开发手段或劣质代码导致项目交付质量不达标。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泄露商业秘密： 泄露项目商业秘密、运营策略或技术资料。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违约责任：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采用违规手段的，甲方有权要求乙方赔偿全部损失并立即终止合约。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泄露商业秘密的，应赔偿甲方全部损失。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十、风险承担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10.1 风险分担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1. 甲方承担：网站运营、服务器托管、域名购买与维护、Gemini API 等第三方服务（支付、云存储、邮件、AI 服务、Twilio 短信服务）等相关费用投入及风险。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2. 乙方承担：按约定完成网站开发及交付的履约风险。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3. 共同承担：政策变化、不可抗力等风险。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10.2 不可抗力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因不可抗力（包括但不限于自然灾害、政府行为、战争、疫情等）导致协议无法履行的，双方互不承担违约责任，但应及时通知对方并提供证明。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十一、协议变更与终止后处理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11.1 协议变更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本协议的任何变更需双方协商一致，并签订书面补充协议，补充协议与本协议具有同等法律效力。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11.2 终止后事项处理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1. 资料交接： 乙方应交接所有网站开发相关资料、技术文档。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2. 费用结算： 甲方应结清乙方已完成工作的服务费用。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3. 保密义务： 双方继续履行保密义务。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4. 内容归属： 已产生的所有内容与策略归甲方所有。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十二、争议解决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12.1 协商解决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双方因本协议发生争议，应首先通过友好协商解决。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12.2 法律途径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协商不成的，任何一方可向所在地人民法院提起诉讼。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12.3 适用法律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本协议的签订、履行、解释及争议解决均适用中华人民共和国法律。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/>
          <w:sz w:val="24"/>
        </w:rPr>
        <w:t>十三、其他约定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13.1 通知送达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本协议项下的所有通知，以下列方式送达视为有效：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电子邮件送达、快递或挂号信送达、即时通讯工具确认送达。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13.2 协议份数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本协议一式   2   份，甲乙双方各执   1   份，具有同等法律效力。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13.3 生效条件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本协议自双方签字（或盖章）之日起生效。</w:t>
      </w:r>
    </w:p>
    <w:p>
      <w:pPr>
        <w:spacing w:after="480"/>
      </w:pPr>
      <w:r>
        <w:rPr>
          <w:rFonts w:ascii="Times New Roman" w:hAnsi="Times New Roman" w:eastAsia="宋体"/>
          <w:b w:val="0"/>
          <w:sz w:val="22"/>
        </w:rPr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甲方（签字/盖章）： 签字：                日期：               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乙方（签字/盖章）： 签字：                日期：       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