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D8E96" w14:textId="77777777" w:rsidR="00EB6D65" w:rsidRDefault="00000000">
      <w:pPr>
        <w:pStyle w:val="Heading1"/>
      </w:pPr>
      <w:r>
        <w:t>Canada Trademark Registration: Complete Country Practice Guide</w:t>
      </w:r>
    </w:p>
    <w:p w14:paraId="45C3DF51" w14:textId="1FF384C5" w:rsidR="00EB6D65" w:rsidRDefault="00EB6D65"/>
    <w:p w14:paraId="065B0391" w14:textId="77777777" w:rsidR="00EB6D65" w:rsidRDefault="00000000">
      <w:pPr>
        <w:pStyle w:val="Quote"/>
      </w:pPr>
      <w:r>
        <w:rPr>
          <w:b/>
        </w:rPr>
        <w:t>Note:</w:t>
      </w:r>
      <w:r>
        <w:t xml:space="preserve"> This page gives general information about Canadian trademark registration and is not legal advice. Reading it does not create an attorney-client relationship. Fees, deadlines and procedures change, and the information here was compiled in October 2026.</w:t>
      </w:r>
    </w:p>
    <w:p w14:paraId="6CA47CAF" w14:textId="77777777" w:rsidR="00EB6D65" w:rsidRDefault="00000000">
      <w:pPr>
        <w:pStyle w:val="Heading2"/>
      </w:pPr>
      <w:r>
        <w:t>At a Glance</w:t>
      </w:r>
    </w:p>
    <w:tbl>
      <w:tblPr>
        <w:tblStyle w:val="TableGrid"/>
        <w:tblW w:w="0" w:type="auto"/>
        <w:tblLayout w:type="fixed"/>
        <w:tblLook w:val="0420" w:firstRow="1" w:lastRow="0" w:firstColumn="0" w:lastColumn="0" w:noHBand="0" w:noVBand="1"/>
      </w:tblPr>
      <w:tblGrid>
        <w:gridCol w:w="3052"/>
        <w:gridCol w:w="6307"/>
      </w:tblGrid>
      <w:tr w:rsidR="00EB6D65" w14:paraId="1BE2C666" w14:textId="77777777">
        <w:trPr>
          <w:tblHeader/>
        </w:trPr>
        <w:tc>
          <w:tcPr>
            <w:tcW w:w="3052" w:type="dxa"/>
            <w:shd w:val="clear" w:color="auto" w:fill="F2F2F2"/>
          </w:tcPr>
          <w:p w14:paraId="7D502973" w14:textId="77777777" w:rsidR="00EB6D65" w:rsidRDefault="00000000">
            <w:r>
              <w:t>Item</w:t>
            </w:r>
          </w:p>
        </w:tc>
        <w:tc>
          <w:tcPr>
            <w:tcW w:w="6307" w:type="dxa"/>
            <w:shd w:val="clear" w:color="auto" w:fill="F2F2F2"/>
          </w:tcPr>
          <w:p w14:paraId="075325EE" w14:textId="77777777" w:rsidR="00EB6D65" w:rsidRDefault="00000000">
            <w:r>
              <w:t>Detail</w:t>
            </w:r>
          </w:p>
        </w:tc>
      </w:tr>
      <w:tr w:rsidR="00EB6D65" w14:paraId="6B1B0F2C" w14:textId="77777777">
        <w:tc>
          <w:tcPr>
            <w:tcW w:w="3052" w:type="dxa"/>
          </w:tcPr>
          <w:p w14:paraId="65E1ED9A" w14:textId="77777777" w:rsidR="00EB6D65" w:rsidRDefault="00000000">
            <w:r>
              <w:t>Jurisdiction</w:t>
            </w:r>
          </w:p>
        </w:tc>
        <w:tc>
          <w:tcPr>
            <w:tcW w:w="6307" w:type="dxa"/>
          </w:tcPr>
          <w:p w14:paraId="27650FC7" w14:textId="77777777" w:rsidR="00EB6D65" w:rsidRDefault="00000000">
            <w:r>
              <w:t>Canada</w:t>
            </w:r>
          </w:p>
        </w:tc>
      </w:tr>
      <w:tr w:rsidR="00EB6D65" w14:paraId="20918BF3" w14:textId="77777777">
        <w:tc>
          <w:tcPr>
            <w:tcW w:w="3052" w:type="dxa"/>
          </w:tcPr>
          <w:p w14:paraId="0821E893" w14:textId="77777777" w:rsidR="00EB6D65" w:rsidRDefault="00000000">
            <w:r>
              <w:t>Competent authority</w:t>
            </w:r>
          </w:p>
        </w:tc>
        <w:tc>
          <w:tcPr>
            <w:tcW w:w="6307" w:type="dxa"/>
          </w:tcPr>
          <w:p w14:paraId="17E3FDF0" w14:textId="77777777" w:rsidR="00EB6D65" w:rsidRDefault="00000000">
            <w:r>
              <w:t>Canadian Intellectual Property Office (CIPO)</w:t>
            </w:r>
          </w:p>
        </w:tc>
      </w:tr>
      <w:tr w:rsidR="00EB6D65" w14:paraId="0DCBA90A" w14:textId="77777777">
        <w:tc>
          <w:tcPr>
            <w:tcW w:w="3052" w:type="dxa"/>
          </w:tcPr>
          <w:p w14:paraId="0AB29FC1" w14:textId="77777777" w:rsidR="00EB6D65" w:rsidRDefault="00000000">
            <w:r>
              <w:t>Primary legislation</w:t>
            </w:r>
          </w:p>
        </w:tc>
        <w:tc>
          <w:tcPr>
            <w:tcW w:w="6307" w:type="dxa"/>
          </w:tcPr>
          <w:p w14:paraId="01A7649E" w14:textId="77777777" w:rsidR="00EB6D65" w:rsidRDefault="00000000">
            <w:r>
              <w:t>Trademarks Act, R.S.C. 1985, c. T-13, and the Trademarks Regulations (SOR/2018-227)</w:t>
            </w:r>
          </w:p>
        </w:tc>
      </w:tr>
      <w:tr w:rsidR="00EB6D65" w14:paraId="4DB68020" w14:textId="77777777">
        <w:tc>
          <w:tcPr>
            <w:tcW w:w="3052" w:type="dxa"/>
          </w:tcPr>
          <w:p w14:paraId="59209B7B" w14:textId="77777777" w:rsidR="00EB6D65" w:rsidRDefault="00000000">
            <w:r>
              <w:t>International system</w:t>
            </w:r>
          </w:p>
        </w:tc>
        <w:tc>
          <w:tcPr>
            <w:tcW w:w="6307" w:type="dxa"/>
          </w:tcPr>
          <w:p w14:paraId="52F9A186" w14:textId="77777777" w:rsidR="00EB6D65" w:rsidRDefault="00000000">
            <w:r>
              <w:t>Madrid Protocol (member since 17 June 2019)</w:t>
            </w:r>
          </w:p>
        </w:tc>
      </w:tr>
      <w:tr w:rsidR="00EB6D65" w14:paraId="445664F5" w14:textId="77777777">
        <w:tc>
          <w:tcPr>
            <w:tcW w:w="3052" w:type="dxa"/>
          </w:tcPr>
          <w:p w14:paraId="6D5E1B6C" w14:textId="77777777" w:rsidR="00EB6D65" w:rsidRDefault="00000000">
            <w:r>
              <w:t>Rights arise from</w:t>
            </w:r>
          </w:p>
        </w:tc>
        <w:tc>
          <w:tcPr>
            <w:tcW w:w="6307" w:type="dxa"/>
          </w:tcPr>
          <w:p w14:paraId="4E4EE93B" w14:textId="1BEBA95B" w:rsidR="00EB6D65" w:rsidRDefault="00000000">
            <w:r>
              <w:t>Use in Canada, or registration. Use is not required before registration</w:t>
            </w:r>
            <w:r w:rsidR="00660596">
              <w:t xml:space="preserve">. </w:t>
            </w:r>
          </w:p>
        </w:tc>
      </w:tr>
      <w:tr w:rsidR="00EB6D65" w14:paraId="096302B7" w14:textId="77777777">
        <w:tc>
          <w:tcPr>
            <w:tcW w:w="3052" w:type="dxa"/>
          </w:tcPr>
          <w:p w14:paraId="416BF3C1" w14:textId="77777777" w:rsidR="00EB6D65" w:rsidRDefault="00000000">
            <w:r>
              <w:t>Registration term</w:t>
            </w:r>
          </w:p>
        </w:tc>
        <w:tc>
          <w:tcPr>
            <w:tcW w:w="6307" w:type="dxa"/>
          </w:tcPr>
          <w:p w14:paraId="65730A67" w14:textId="0B7EA59F" w:rsidR="00EB6D65" w:rsidRDefault="00000000">
            <w:r>
              <w:t>10 years</w:t>
            </w:r>
            <w:r w:rsidR="00B40B50">
              <w:t xml:space="preserve"> </w:t>
            </w:r>
            <w:r w:rsidR="00B40B50" w:rsidRPr="00B40B50">
              <w:t>beginning on the day of the registration</w:t>
            </w:r>
            <w:r>
              <w:t>, renewable for successive 10-year periods</w:t>
            </w:r>
          </w:p>
        </w:tc>
      </w:tr>
      <w:tr w:rsidR="00EB6D65" w14:paraId="434A9209" w14:textId="77777777">
        <w:tc>
          <w:tcPr>
            <w:tcW w:w="3052" w:type="dxa"/>
          </w:tcPr>
          <w:p w14:paraId="6AA54013" w14:textId="77777777" w:rsidR="00EB6D65" w:rsidRDefault="00000000">
            <w:r>
              <w:t>Base filing fee</w:t>
            </w:r>
          </w:p>
        </w:tc>
        <w:tc>
          <w:tcPr>
            <w:tcW w:w="6307" w:type="dxa"/>
          </w:tcPr>
          <w:p w14:paraId="609806D2" w14:textId="77777777" w:rsidR="00EB6D65" w:rsidRDefault="00000000">
            <w:r>
              <w:t>CAD 491.06 for the first class filed online in 2026</w:t>
            </w:r>
          </w:p>
        </w:tc>
      </w:tr>
      <w:tr w:rsidR="00EB6D65" w14:paraId="162D64B5" w14:textId="77777777">
        <w:tc>
          <w:tcPr>
            <w:tcW w:w="3052" w:type="dxa"/>
          </w:tcPr>
          <w:p w14:paraId="1ED144C1" w14:textId="77777777" w:rsidR="00EB6D65" w:rsidRDefault="00000000">
            <w:r>
              <w:t>Fee currency</w:t>
            </w:r>
          </w:p>
        </w:tc>
        <w:tc>
          <w:tcPr>
            <w:tcW w:w="6307" w:type="dxa"/>
          </w:tcPr>
          <w:p w14:paraId="5D475FA7" w14:textId="77777777" w:rsidR="00EB6D65" w:rsidRDefault="00000000">
            <w:r>
              <w:t>Canadian dollars (CAD)</w:t>
            </w:r>
          </w:p>
        </w:tc>
      </w:tr>
      <w:tr w:rsidR="00EB6D65" w14:paraId="0BB8C063" w14:textId="77777777">
        <w:tc>
          <w:tcPr>
            <w:tcW w:w="3052" w:type="dxa"/>
          </w:tcPr>
          <w:p w14:paraId="667D41D4" w14:textId="77777777" w:rsidR="00EB6D65" w:rsidRDefault="00000000">
            <w:r>
              <w:t>Last verified</w:t>
            </w:r>
          </w:p>
        </w:tc>
        <w:tc>
          <w:tcPr>
            <w:tcW w:w="6307" w:type="dxa"/>
          </w:tcPr>
          <w:p w14:paraId="6E534631" w14:textId="77777777" w:rsidR="00EB6D65" w:rsidRDefault="00000000">
            <w:r>
              <w:t>20 October 2026</w:t>
            </w:r>
          </w:p>
        </w:tc>
      </w:tr>
    </w:tbl>
    <w:p w14:paraId="32F1626A" w14:textId="2373DAEB" w:rsidR="00EB6D65" w:rsidRDefault="00000000">
      <w:pPr>
        <w:pStyle w:val="Heading3"/>
      </w:pPr>
      <w:r>
        <w:t>1. What Is a Trademark?</w:t>
      </w:r>
    </w:p>
    <w:p w14:paraId="715943D6" w14:textId="44EFE33A" w:rsidR="00EB6D65" w:rsidRDefault="00000000">
      <w:r>
        <w:t xml:space="preserve">A trademark is a sign used, to distinguish the goods or services of one business from those of others. Words, names and designs are the usual forms. Since the 2019 reforms the register also accepts non-traditional marks such as </w:t>
      </w:r>
      <w:proofErr w:type="spellStart"/>
      <w:r>
        <w:t>colours</w:t>
      </w:r>
      <w:proofErr w:type="spellEnd"/>
      <w:r>
        <w:t>, sounds and three-dimensional shapes.</w:t>
      </w:r>
    </w:p>
    <w:p w14:paraId="088C65F3" w14:textId="77777777" w:rsidR="00EB6D65" w:rsidRDefault="00000000">
      <w:r>
        <w:t>Registration gives the owner the exclusive right to use the mark throughout Canada in connection with the registered goods or services, subject to applicable legal limitations.</w:t>
      </w:r>
    </w:p>
    <w:p w14:paraId="0D2FE2D6" w14:textId="77777777" w:rsidR="00EB6D65" w:rsidRDefault="00000000">
      <w:pPr>
        <w:pStyle w:val="Heading3"/>
      </w:pPr>
      <w:r>
        <w:t>1.2 Use-Based Rights vs. Federal Registration</w:t>
      </w:r>
    </w:p>
    <w:p w14:paraId="011DF121" w14:textId="77777777" w:rsidR="00EB6D65" w:rsidRDefault="00000000">
      <w:r>
        <w:t>Rights in a trademark can arise through use in Canada, and registration adds nationwide protection. Registration is not mandatory.</w:t>
      </w:r>
    </w:p>
    <w:p w14:paraId="3E9CC03A" w14:textId="77777777" w:rsidR="00B40B50" w:rsidRDefault="00B40B50"/>
    <w:tbl>
      <w:tblPr>
        <w:tblStyle w:val="TableGrid"/>
        <w:tblW w:w="0" w:type="auto"/>
        <w:tblLayout w:type="fixed"/>
        <w:tblLook w:val="0420" w:firstRow="1" w:lastRow="0" w:firstColumn="0" w:lastColumn="0" w:noHBand="0" w:noVBand="1"/>
      </w:tblPr>
      <w:tblGrid>
        <w:gridCol w:w="2057"/>
        <w:gridCol w:w="3148"/>
        <w:gridCol w:w="4155"/>
      </w:tblGrid>
      <w:tr w:rsidR="00EB6D65" w14:paraId="036AD0B2" w14:textId="77777777">
        <w:trPr>
          <w:tblHeader/>
        </w:trPr>
        <w:tc>
          <w:tcPr>
            <w:tcW w:w="2057" w:type="dxa"/>
            <w:shd w:val="clear" w:color="auto" w:fill="F2F2F2"/>
          </w:tcPr>
          <w:p w14:paraId="74B83A1B" w14:textId="77777777" w:rsidR="00EB6D65" w:rsidRDefault="00000000">
            <w:r>
              <w:lastRenderedPageBreak/>
              <w:t>Aspect</w:t>
            </w:r>
          </w:p>
        </w:tc>
        <w:tc>
          <w:tcPr>
            <w:tcW w:w="3148" w:type="dxa"/>
            <w:shd w:val="clear" w:color="auto" w:fill="F2F2F2"/>
          </w:tcPr>
          <w:p w14:paraId="5A9A03B6" w14:textId="77777777" w:rsidR="00EB6D65" w:rsidRDefault="00000000">
            <w:r>
              <w:t>Unregistered (use-based) rights</w:t>
            </w:r>
          </w:p>
        </w:tc>
        <w:tc>
          <w:tcPr>
            <w:tcW w:w="4155" w:type="dxa"/>
            <w:shd w:val="clear" w:color="auto" w:fill="F2F2F2"/>
          </w:tcPr>
          <w:p w14:paraId="618D43B1" w14:textId="77777777" w:rsidR="00EB6D65" w:rsidRDefault="00000000">
            <w:r>
              <w:t>Federal registration (CIPO)</w:t>
            </w:r>
          </w:p>
        </w:tc>
      </w:tr>
      <w:tr w:rsidR="00EB6D65" w14:paraId="04E22FEB" w14:textId="77777777">
        <w:tc>
          <w:tcPr>
            <w:tcW w:w="2057" w:type="dxa"/>
          </w:tcPr>
          <w:p w14:paraId="33D4E5A7" w14:textId="77777777" w:rsidR="00EB6D65" w:rsidRDefault="00000000">
            <w:r>
              <w:t>How rights arise</w:t>
            </w:r>
          </w:p>
        </w:tc>
        <w:tc>
          <w:tcPr>
            <w:tcW w:w="3148" w:type="dxa"/>
          </w:tcPr>
          <w:p w14:paraId="097AF8DC" w14:textId="77777777" w:rsidR="00EB6D65" w:rsidRDefault="00000000">
            <w:r>
              <w:t>Use of the mark in Canada</w:t>
            </w:r>
          </w:p>
        </w:tc>
        <w:tc>
          <w:tcPr>
            <w:tcW w:w="4155" w:type="dxa"/>
          </w:tcPr>
          <w:p w14:paraId="4DA9C472" w14:textId="77777777" w:rsidR="00EB6D65" w:rsidRDefault="00000000">
            <w:r>
              <w:t>Application, examination and registration. Use before registration is not required</w:t>
            </w:r>
          </w:p>
        </w:tc>
      </w:tr>
      <w:tr w:rsidR="00EB6D65" w14:paraId="19F62AF2" w14:textId="77777777">
        <w:tc>
          <w:tcPr>
            <w:tcW w:w="2057" w:type="dxa"/>
          </w:tcPr>
          <w:p w14:paraId="7455106D" w14:textId="77777777" w:rsidR="00EB6D65" w:rsidRDefault="00000000">
            <w:r>
              <w:t>Geographic scope</w:t>
            </w:r>
          </w:p>
        </w:tc>
        <w:tc>
          <w:tcPr>
            <w:tcW w:w="3148" w:type="dxa"/>
          </w:tcPr>
          <w:p w14:paraId="7E641F6D" w14:textId="77777777" w:rsidR="00EB6D65" w:rsidRDefault="00000000">
            <w:r>
              <w:t>Generally limited to the area where the mark is used and known</w:t>
            </w:r>
          </w:p>
        </w:tc>
        <w:tc>
          <w:tcPr>
            <w:tcW w:w="4155" w:type="dxa"/>
          </w:tcPr>
          <w:p w14:paraId="6216A649" w14:textId="77777777" w:rsidR="00EB6D65" w:rsidRDefault="00000000">
            <w:r>
              <w:t>Exclusive right across Canada</w:t>
            </w:r>
          </w:p>
        </w:tc>
      </w:tr>
      <w:tr w:rsidR="00EB6D65" w14:paraId="1B5BD952" w14:textId="77777777">
        <w:tc>
          <w:tcPr>
            <w:tcW w:w="2057" w:type="dxa"/>
          </w:tcPr>
          <w:p w14:paraId="13DA3306" w14:textId="77777777" w:rsidR="00EB6D65" w:rsidRDefault="00000000">
            <w:r>
              <w:t>Enforcement</w:t>
            </w:r>
          </w:p>
        </w:tc>
        <w:tc>
          <w:tcPr>
            <w:tcW w:w="3148" w:type="dxa"/>
          </w:tcPr>
          <w:p w14:paraId="34E42DFE" w14:textId="77777777" w:rsidR="00EB6D65" w:rsidRDefault="00000000">
            <w:r>
              <w:t>Relies on common law protection, which is harder and costlier to prove</w:t>
            </w:r>
          </w:p>
        </w:tc>
        <w:tc>
          <w:tcPr>
            <w:tcW w:w="4155" w:type="dxa"/>
          </w:tcPr>
          <w:p w14:paraId="30C547AF" w14:textId="77777777" w:rsidR="00EB6D65" w:rsidRDefault="00000000">
            <w:r>
              <w:t>Registration certificate and entry on the Register of Trademarks</w:t>
            </w:r>
          </w:p>
        </w:tc>
      </w:tr>
      <w:tr w:rsidR="00EB6D65" w14:paraId="1C585426" w14:textId="77777777">
        <w:tc>
          <w:tcPr>
            <w:tcW w:w="2057" w:type="dxa"/>
          </w:tcPr>
          <w:p w14:paraId="2DACE2FA" w14:textId="77777777" w:rsidR="00EB6D65" w:rsidRDefault="00000000">
            <w:r>
              <w:t>Term</w:t>
            </w:r>
          </w:p>
        </w:tc>
        <w:tc>
          <w:tcPr>
            <w:tcW w:w="3148" w:type="dxa"/>
          </w:tcPr>
          <w:p w14:paraId="5C8C4F89" w14:textId="77777777" w:rsidR="00EB6D65" w:rsidRDefault="00000000">
            <w:r>
              <w:t>None fixed</w:t>
            </w:r>
          </w:p>
        </w:tc>
        <w:tc>
          <w:tcPr>
            <w:tcW w:w="4155" w:type="dxa"/>
          </w:tcPr>
          <w:p w14:paraId="0DD415E3" w14:textId="77777777" w:rsidR="00EB6D65" w:rsidRDefault="00000000">
            <w:r>
              <w:t>10 years, renewable</w:t>
            </w:r>
          </w:p>
        </w:tc>
      </w:tr>
      <w:tr w:rsidR="00EB6D65" w14:paraId="56A80AD6" w14:textId="77777777">
        <w:tc>
          <w:tcPr>
            <w:tcW w:w="2057" w:type="dxa"/>
          </w:tcPr>
          <w:p w14:paraId="03A0EF81" w14:textId="77777777" w:rsidR="00EB6D65" w:rsidRDefault="00000000">
            <w:r>
              <w:t>Vulnerability</w:t>
            </w:r>
          </w:p>
        </w:tc>
        <w:tc>
          <w:tcPr>
            <w:tcW w:w="3148" w:type="dxa"/>
          </w:tcPr>
          <w:p w14:paraId="5010D618" w14:textId="77777777" w:rsidR="00EB6D65" w:rsidRDefault="00000000">
            <w:r>
              <w:t>Can be lost if use stops</w:t>
            </w:r>
          </w:p>
        </w:tc>
        <w:tc>
          <w:tcPr>
            <w:tcW w:w="4155" w:type="dxa"/>
          </w:tcPr>
          <w:p w14:paraId="30F23355" w14:textId="7E4073F6" w:rsidR="00EB6D65" w:rsidRDefault="00000000">
            <w:r>
              <w:t>Can be expunged for reasons such as non-use, abandonment</w:t>
            </w:r>
            <w:r w:rsidR="00B40B50">
              <w:t xml:space="preserve">, </w:t>
            </w:r>
            <w:proofErr w:type="spellStart"/>
            <w:r w:rsidR="00B40B50">
              <w:t>non renewal</w:t>
            </w:r>
            <w:proofErr w:type="spellEnd"/>
            <w:r>
              <w:t xml:space="preserve"> or loss of distinctiveness</w:t>
            </w:r>
          </w:p>
        </w:tc>
      </w:tr>
    </w:tbl>
    <w:p w14:paraId="07B48E1C" w14:textId="77777777" w:rsidR="00EB6D65" w:rsidRDefault="00000000">
      <w:pPr>
        <w:pStyle w:val="Heading3"/>
      </w:pPr>
      <w:r>
        <w:t>1.3 Trademark Symbols: TM, MC and ®</w:t>
      </w:r>
    </w:p>
    <w:p w14:paraId="34BC7DE5" w14:textId="77777777" w:rsidR="00EB6D65" w:rsidRDefault="00000000">
      <w:r>
        <w:t>Canada does not make marking mandatory, but symbols tell others that a claim is being made. Canada is officially bilingual, so a French equivalent of TM is in common use.</w:t>
      </w:r>
    </w:p>
    <w:tbl>
      <w:tblPr>
        <w:tblStyle w:val="TableGrid"/>
        <w:tblW w:w="0" w:type="auto"/>
        <w:tblLayout w:type="fixed"/>
        <w:tblLook w:val="0420" w:firstRow="1" w:lastRow="0" w:firstColumn="0" w:lastColumn="0" w:noHBand="0" w:noVBand="1"/>
      </w:tblPr>
      <w:tblGrid>
        <w:gridCol w:w="1034"/>
        <w:gridCol w:w="1934"/>
        <w:gridCol w:w="4001"/>
        <w:gridCol w:w="2391"/>
      </w:tblGrid>
      <w:tr w:rsidR="00EB6D65" w14:paraId="47782CE1" w14:textId="77777777">
        <w:trPr>
          <w:tblHeader/>
        </w:trPr>
        <w:tc>
          <w:tcPr>
            <w:tcW w:w="1034" w:type="dxa"/>
            <w:shd w:val="clear" w:color="auto" w:fill="F2F2F2"/>
          </w:tcPr>
          <w:p w14:paraId="3E369D19" w14:textId="77777777" w:rsidR="00EB6D65" w:rsidRDefault="00000000">
            <w:r>
              <w:t>Symbol</w:t>
            </w:r>
          </w:p>
        </w:tc>
        <w:tc>
          <w:tcPr>
            <w:tcW w:w="1934" w:type="dxa"/>
            <w:shd w:val="clear" w:color="auto" w:fill="F2F2F2"/>
          </w:tcPr>
          <w:p w14:paraId="503598EE" w14:textId="77777777" w:rsidR="00EB6D65" w:rsidRDefault="00000000">
            <w:r>
              <w:t>Name</w:t>
            </w:r>
          </w:p>
        </w:tc>
        <w:tc>
          <w:tcPr>
            <w:tcW w:w="4001" w:type="dxa"/>
            <w:shd w:val="clear" w:color="auto" w:fill="F2F2F2"/>
          </w:tcPr>
          <w:p w14:paraId="3338BBED" w14:textId="77777777" w:rsidR="00EB6D65" w:rsidRDefault="00000000">
            <w:r>
              <w:t>Used for</w:t>
            </w:r>
          </w:p>
        </w:tc>
        <w:tc>
          <w:tcPr>
            <w:tcW w:w="2391" w:type="dxa"/>
            <w:shd w:val="clear" w:color="auto" w:fill="F2F2F2"/>
          </w:tcPr>
          <w:p w14:paraId="228E484B" w14:textId="77777777" w:rsidR="00EB6D65" w:rsidRDefault="00000000">
            <w:r>
              <w:t>Registration needed?</w:t>
            </w:r>
          </w:p>
        </w:tc>
      </w:tr>
      <w:tr w:rsidR="00EB6D65" w14:paraId="13E5021C" w14:textId="77777777">
        <w:tc>
          <w:tcPr>
            <w:tcW w:w="1034" w:type="dxa"/>
          </w:tcPr>
          <w:p w14:paraId="685E8017" w14:textId="77777777" w:rsidR="00EB6D65" w:rsidRDefault="00000000">
            <w:r>
              <w:t>TM</w:t>
            </w:r>
          </w:p>
        </w:tc>
        <w:tc>
          <w:tcPr>
            <w:tcW w:w="1934" w:type="dxa"/>
          </w:tcPr>
          <w:p w14:paraId="0C64CFB8" w14:textId="77777777" w:rsidR="00EB6D65" w:rsidRDefault="00000000">
            <w:r>
              <w:t>Trademark</w:t>
            </w:r>
          </w:p>
        </w:tc>
        <w:tc>
          <w:tcPr>
            <w:tcW w:w="4001" w:type="dxa"/>
          </w:tcPr>
          <w:p w14:paraId="128185C3" w14:textId="77777777" w:rsidR="00EB6D65" w:rsidRDefault="00000000">
            <w:r>
              <w:t>Signals a claim of trademark rights in English-language use</w:t>
            </w:r>
          </w:p>
        </w:tc>
        <w:tc>
          <w:tcPr>
            <w:tcW w:w="2391" w:type="dxa"/>
          </w:tcPr>
          <w:p w14:paraId="0DF53AFF" w14:textId="77777777" w:rsidR="00EB6D65" w:rsidRDefault="00000000">
            <w:r>
              <w:t>No</w:t>
            </w:r>
          </w:p>
        </w:tc>
      </w:tr>
      <w:tr w:rsidR="00EB6D65" w14:paraId="4A29905E" w14:textId="77777777">
        <w:tc>
          <w:tcPr>
            <w:tcW w:w="1034" w:type="dxa"/>
          </w:tcPr>
          <w:p w14:paraId="538EABDC" w14:textId="77777777" w:rsidR="00EB6D65" w:rsidRDefault="00000000">
            <w:r>
              <w:t>MC</w:t>
            </w:r>
          </w:p>
        </w:tc>
        <w:tc>
          <w:tcPr>
            <w:tcW w:w="1934" w:type="dxa"/>
          </w:tcPr>
          <w:p w14:paraId="2363FFE6" w14:textId="77777777" w:rsidR="00EB6D65" w:rsidRDefault="00000000">
            <w:r>
              <w:t>Marque de commerce</w:t>
            </w:r>
          </w:p>
        </w:tc>
        <w:tc>
          <w:tcPr>
            <w:tcW w:w="4001" w:type="dxa"/>
          </w:tcPr>
          <w:p w14:paraId="4E5CE063" w14:textId="77777777" w:rsidR="00EB6D65" w:rsidRDefault="00000000">
            <w:r>
              <w:t>French-language equivalent of TM</w:t>
            </w:r>
          </w:p>
        </w:tc>
        <w:tc>
          <w:tcPr>
            <w:tcW w:w="2391" w:type="dxa"/>
          </w:tcPr>
          <w:p w14:paraId="5C191AE4" w14:textId="77777777" w:rsidR="00EB6D65" w:rsidRDefault="00000000">
            <w:r>
              <w:t>No</w:t>
            </w:r>
          </w:p>
        </w:tc>
      </w:tr>
      <w:tr w:rsidR="00EB6D65" w14:paraId="0D220A60" w14:textId="77777777">
        <w:tc>
          <w:tcPr>
            <w:tcW w:w="1034" w:type="dxa"/>
          </w:tcPr>
          <w:p w14:paraId="3794436F" w14:textId="77777777" w:rsidR="00EB6D65" w:rsidRDefault="00000000">
            <w:r>
              <w:t>®</w:t>
            </w:r>
          </w:p>
        </w:tc>
        <w:tc>
          <w:tcPr>
            <w:tcW w:w="1934" w:type="dxa"/>
          </w:tcPr>
          <w:p w14:paraId="4DEBD8A2" w14:textId="77777777" w:rsidR="00EB6D65" w:rsidRDefault="00000000">
            <w:r>
              <w:t>Registered trademark</w:t>
            </w:r>
          </w:p>
        </w:tc>
        <w:tc>
          <w:tcPr>
            <w:tcW w:w="4001" w:type="dxa"/>
          </w:tcPr>
          <w:p w14:paraId="6BE29A7D" w14:textId="77777777" w:rsidR="00EB6D65" w:rsidRDefault="00000000">
            <w:r>
              <w:t>Marks registered with CIPO</w:t>
            </w:r>
          </w:p>
        </w:tc>
        <w:tc>
          <w:tcPr>
            <w:tcW w:w="2391" w:type="dxa"/>
          </w:tcPr>
          <w:p w14:paraId="6F4D8CDE" w14:textId="77777777" w:rsidR="00EB6D65" w:rsidRDefault="00000000">
            <w:r>
              <w:t>Yes. Use only once registration has been granted</w:t>
            </w:r>
          </w:p>
        </w:tc>
      </w:tr>
    </w:tbl>
    <w:p w14:paraId="6DF4C3BD" w14:textId="77777777" w:rsidR="00EB6D65" w:rsidRDefault="00000000">
      <w:pPr>
        <w:pStyle w:val="Heading2"/>
      </w:pPr>
      <w:r>
        <w:t>2. WIPO / Madrid Protocol Status</w:t>
      </w:r>
    </w:p>
    <w:p w14:paraId="620612B5" w14:textId="77777777" w:rsidR="00EB6D65" w:rsidRDefault="00000000">
      <w:r>
        <w:t>Canada joined the Madrid Protocol on 17 June 2019, so it is a WIPO-system jurisdiction: a mark can be protected here through an international registration, and Canadian applicants can use the system to protect marks abroad.</w:t>
      </w:r>
    </w:p>
    <w:p w14:paraId="1E089D12" w14:textId="77777777" w:rsidR="00EB6D65" w:rsidRDefault="00000000">
      <w:r>
        <w:t xml:space="preserve">The Madrid Protocol is a treaty administered by the World Intellectual Property Organization (WIPO). It lets an owner seek trademark protection in several member jurisdictions through one </w:t>
      </w:r>
      <w:proofErr w:type="spellStart"/>
      <w:r>
        <w:t>centralised</w:t>
      </w:r>
      <w:proofErr w:type="spellEnd"/>
      <w:r>
        <w:t xml:space="preserve"> filing.</w:t>
      </w:r>
    </w:p>
    <w:tbl>
      <w:tblPr>
        <w:tblStyle w:val="TableGrid"/>
        <w:tblW w:w="0" w:type="auto"/>
        <w:tblLayout w:type="fixed"/>
        <w:tblLook w:val="0420" w:firstRow="1" w:lastRow="0" w:firstColumn="0" w:lastColumn="0" w:noHBand="0" w:noVBand="1"/>
      </w:tblPr>
      <w:tblGrid>
        <w:gridCol w:w="1186"/>
        <w:gridCol w:w="3254"/>
        <w:gridCol w:w="4920"/>
      </w:tblGrid>
      <w:tr w:rsidR="00EB6D65" w14:paraId="5ED7EF40" w14:textId="77777777">
        <w:trPr>
          <w:tblHeader/>
        </w:trPr>
        <w:tc>
          <w:tcPr>
            <w:tcW w:w="1186" w:type="dxa"/>
            <w:shd w:val="clear" w:color="auto" w:fill="F2F2F2"/>
          </w:tcPr>
          <w:p w14:paraId="4B7E83EB" w14:textId="77777777" w:rsidR="00EB6D65" w:rsidRDefault="00000000">
            <w:r>
              <w:t>Route</w:t>
            </w:r>
          </w:p>
        </w:tc>
        <w:tc>
          <w:tcPr>
            <w:tcW w:w="3254" w:type="dxa"/>
            <w:shd w:val="clear" w:color="auto" w:fill="F2F2F2"/>
          </w:tcPr>
          <w:p w14:paraId="4F97BA0B" w14:textId="77777777" w:rsidR="00EB6D65" w:rsidRDefault="00000000">
            <w:r>
              <w:t>Who uses it</w:t>
            </w:r>
          </w:p>
        </w:tc>
        <w:tc>
          <w:tcPr>
            <w:tcW w:w="4920" w:type="dxa"/>
            <w:shd w:val="clear" w:color="auto" w:fill="F2F2F2"/>
          </w:tcPr>
          <w:p w14:paraId="0AC91283" w14:textId="77777777" w:rsidR="00EB6D65" w:rsidRDefault="00000000">
            <w:r>
              <w:t>How it works</w:t>
            </w:r>
          </w:p>
        </w:tc>
      </w:tr>
      <w:tr w:rsidR="00EB6D65" w14:paraId="03A6FA49" w14:textId="77777777">
        <w:tc>
          <w:tcPr>
            <w:tcW w:w="1186" w:type="dxa"/>
          </w:tcPr>
          <w:p w14:paraId="1D0244EA" w14:textId="77777777" w:rsidR="00EB6D65" w:rsidRDefault="00000000">
            <w:r>
              <w:t>Outbound</w:t>
            </w:r>
          </w:p>
        </w:tc>
        <w:tc>
          <w:tcPr>
            <w:tcW w:w="3254" w:type="dxa"/>
          </w:tcPr>
          <w:p w14:paraId="7B1A969A" w14:textId="77777777" w:rsidR="00EB6D65" w:rsidRDefault="00000000">
            <w:r>
              <w:t xml:space="preserve">Canadian applicants seeking protection in other Madrid </w:t>
            </w:r>
            <w:r>
              <w:lastRenderedPageBreak/>
              <w:t>members</w:t>
            </w:r>
          </w:p>
        </w:tc>
        <w:tc>
          <w:tcPr>
            <w:tcW w:w="4920" w:type="dxa"/>
          </w:tcPr>
          <w:p w14:paraId="46108ABB" w14:textId="77777777" w:rsidR="00EB6D65" w:rsidRDefault="00000000">
            <w:r>
              <w:lastRenderedPageBreak/>
              <w:t xml:space="preserve">International application filed through CIPO as the office of origin, based on a Canadian application or </w:t>
            </w:r>
            <w:r>
              <w:lastRenderedPageBreak/>
              <w:t>registration</w:t>
            </w:r>
          </w:p>
        </w:tc>
      </w:tr>
      <w:tr w:rsidR="00EB6D65" w14:paraId="624F4A72" w14:textId="77777777">
        <w:tc>
          <w:tcPr>
            <w:tcW w:w="1186" w:type="dxa"/>
          </w:tcPr>
          <w:p w14:paraId="37DC6789" w14:textId="77777777" w:rsidR="00EB6D65" w:rsidRDefault="00000000">
            <w:r>
              <w:lastRenderedPageBreak/>
              <w:t>Inbound</w:t>
            </w:r>
          </w:p>
        </w:tc>
        <w:tc>
          <w:tcPr>
            <w:tcW w:w="3254" w:type="dxa"/>
          </w:tcPr>
          <w:p w14:paraId="1D7CC245" w14:textId="77777777" w:rsidR="00EB6D65" w:rsidRDefault="00000000">
            <w:r>
              <w:t>Foreign applicants designating Canada</w:t>
            </w:r>
          </w:p>
        </w:tc>
        <w:tc>
          <w:tcPr>
            <w:tcW w:w="4920" w:type="dxa"/>
          </w:tcPr>
          <w:p w14:paraId="5635A031" w14:textId="77777777" w:rsidR="00EB6D65" w:rsidRDefault="00000000">
            <w:r>
              <w:t>International registration designating Canada, examined by CIPO under Canadian law</w:t>
            </w:r>
          </w:p>
        </w:tc>
      </w:tr>
    </w:tbl>
    <w:p w14:paraId="16E7DEAB" w14:textId="77777777" w:rsidR="00EB6D65" w:rsidRDefault="00000000">
      <w:r>
        <w:rPr>
          <w:b/>
        </w:rPr>
        <w:t>Important limits</w:t>
      </w:r>
    </w:p>
    <w:p w14:paraId="58560522" w14:textId="77777777" w:rsidR="00EB6D65" w:rsidRDefault="00000000">
      <w:pPr>
        <w:pStyle w:val="ListParagraph"/>
        <w:numPr>
          <w:ilvl w:val="0"/>
          <w:numId w:val="2"/>
        </w:numPr>
      </w:pPr>
      <w:r>
        <w:t>An international registration does not automatically give protection in Canada. CIPO examines each designation and may refuse protection.</w:t>
      </w:r>
    </w:p>
    <w:p w14:paraId="770FE056" w14:textId="77777777" w:rsidR="00EB6D65" w:rsidRDefault="00000000">
      <w:pPr>
        <w:pStyle w:val="ListParagraph"/>
        <w:numPr>
          <w:ilvl w:val="0"/>
          <w:numId w:val="2"/>
        </w:numPr>
      </w:pPr>
      <w:r>
        <w:t>The Madrid System simplifies filing and portfolio management. It does not replace national examination.</w:t>
      </w:r>
    </w:p>
    <w:p w14:paraId="2A56124E" w14:textId="77777777" w:rsidR="00EB6D65" w:rsidRDefault="00000000">
      <w:pPr>
        <w:pStyle w:val="Heading2"/>
      </w:pPr>
      <w:r>
        <w:t>3. Applicable Law and Authority</w:t>
      </w:r>
    </w:p>
    <w:p w14:paraId="43090D22" w14:textId="77777777" w:rsidR="00EB6D65" w:rsidRDefault="00000000">
      <w:r>
        <w:t>Canadian trademark registration is governed by the Trademarks Act and its Regulations and administered by CIPO.</w:t>
      </w:r>
    </w:p>
    <w:tbl>
      <w:tblPr>
        <w:tblStyle w:val="TableGrid"/>
        <w:tblW w:w="0" w:type="auto"/>
        <w:tblLayout w:type="fixed"/>
        <w:tblLook w:val="0420" w:firstRow="1" w:lastRow="0" w:firstColumn="0" w:lastColumn="0" w:noHBand="0" w:noVBand="1"/>
      </w:tblPr>
      <w:tblGrid>
        <w:gridCol w:w="4440"/>
        <w:gridCol w:w="4920"/>
      </w:tblGrid>
      <w:tr w:rsidR="00EB6D65" w14:paraId="442F556B" w14:textId="77777777">
        <w:trPr>
          <w:tblHeader/>
        </w:trPr>
        <w:tc>
          <w:tcPr>
            <w:tcW w:w="4440" w:type="dxa"/>
            <w:shd w:val="clear" w:color="auto" w:fill="F2F2F2"/>
          </w:tcPr>
          <w:p w14:paraId="4D49A02D" w14:textId="77777777" w:rsidR="00EB6D65" w:rsidRDefault="00000000">
            <w:r>
              <w:t>Instrument / body</w:t>
            </w:r>
          </w:p>
        </w:tc>
        <w:tc>
          <w:tcPr>
            <w:tcW w:w="4920" w:type="dxa"/>
            <w:shd w:val="clear" w:color="auto" w:fill="F2F2F2"/>
          </w:tcPr>
          <w:p w14:paraId="1C92BB7C" w14:textId="77777777" w:rsidR="00EB6D65" w:rsidRDefault="00000000">
            <w:r>
              <w:t>Role</w:t>
            </w:r>
          </w:p>
        </w:tc>
      </w:tr>
      <w:tr w:rsidR="00EB6D65" w14:paraId="3DDD021F" w14:textId="77777777">
        <w:tc>
          <w:tcPr>
            <w:tcW w:w="4440" w:type="dxa"/>
          </w:tcPr>
          <w:p w14:paraId="66ECCDC0" w14:textId="77777777" w:rsidR="00EB6D65" w:rsidRDefault="00000000">
            <w:hyperlink r:id="rId5" w:history="1">
              <w:r>
                <w:rPr>
                  <w:rStyle w:val="Hyperlink"/>
                </w:rPr>
                <w:t>Trademarks Act, R.S.C. 1985, c. T-13</w:t>
              </w:r>
            </w:hyperlink>
          </w:p>
        </w:tc>
        <w:tc>
          <w:tcPr>
            <w:tcW w:w="4920" w:type="dxa"/>
          </w:tcPr>
          <w:p w14:paraId="259E1D76" w14:textId="50A35506" w:rsidR="00EB6D65" w:rsidRDefault="00000000">
            <w:r>
              <w:t xml:space="preserve">Primary federal statute on trademark registration and protection. </w:t>
            </w:r>
          </w:p>
        </w:tc>
      </w:tr>
      <w:tr w:rsidR="00EB6D65" w14:paraId="2781D1F6" w14:textId="77777777">
        <w:tc>
          <w:tcPr>
            <w:tcW w:w="4440" w:type="dxa"/>
          </w:tcPr>
          <w:p w14:paraId="62A73953" w14:textId="77777777" w:rsidR="00EB6D65" w:rsidRDefault="00000000">
            <w:hyperlink r:id="rId6" w:history="1">
              <w:r>
                <w:rPr>
                  <w:rStyle w:val="Hyperlink"/>
                </w:rPr>
                <w:t>Trademarks Regulations, SOR/2018-227</w:t>
              </w:r>
            </w:hyperlink>
          </w:p>
        </w:tc>
        <w:tc>
          <w:tcPr>
            <w:tcW w:w="4920" w:type="dxa"/>
          </w:tcPr>
          <w:p w14:paraId="444F0BBB" w14:textId="77777777" w:rsidR="00EB6D65" w:rsidRDefault="00000000">
            <w:r>
              <w:t>Procedural rules, prescribed periods, fees schedule and Madrid (Protocol) application rules</w:t>
            </w:r>
          </w:p>
        </w:tc>
      </w:tr>
      <w:tr w:rsidR="00EB6D65" w14:paraId="42F9B2CB" w14:textId="77777777">
        <w:tc>
          <w:tcPr>
            <w:tcW w:w="4440" w:type="dxa"/>
          </w:tcPr>
          <w:p w14:paraId="3A6099B8" w14:textId="77777777" w:rsidR="00EB6D65" w:rsidRDefault="00000000">
            <w:r>
              <w:t>Canadian Intellectual Property Office (CIPO)</w:t>
            </w:r>
          </w:p>
        </w:tc>
        <w:tc>
          <w:tcPr>
            <w:tcW w:w="4920" w:type="dxa"/>
          </w:tcPr>
          <w:p w14:paraId="26F5E909" w14:textId="77777777" w:rsidR="00EB6D65" w:rsidRDefault="00000000">
            <w:r>
              <w:t>Competent authority, part of Innovation, Science and Economic Development Canada; receives, examines and registers applications</w:t>
            </w:r>
          </w:p>
        </w:tc>
      </w:tr>
      <w:tr w:rsidR="00EB6D65" w14:paraId="5FBFE3B4" w14:textId="77777777">
        <w:tc>
          <w:tcPr>
            <w:tcW w:w="4440" w:type="dxa"/>
          </w:tcPr>
          <w:p w14:paraId="70DD4EED" w14:textId="77777777" w:rsidR="00EB6D65" w:rsidRDefault="00000000">
            <w:r>
              <w:t>Nice Classification</w:t>
            </w:r>
          </w:p>
        </w:tc>
        <w:tc>
          <w:tcPr>
            <w:tcW w:w="4920" w:type="dxa"/>
          </w:tcPr>
          <w:p w14:paraId="7529CD8F" w14:textId="77777777" w:rsidR="00EB6D65" w:rsidRDefault="00000000">
            <w:r>
              <w:t xml:space="preserve">International classification of goods and services used to </w:t>
            </w:r>
            <w:proofErr w:type="spellStart"/>
            <w:r>
              <w:t>organise</w:t>
            </w:r>
            <w:proofErr w:type="spellEnd"/>
            <w:r>
              <w:t xml:space="preserve"> applications by class</w:t>
            </w:r>
          </w:p>
        </w:tc>
      </w:tr>
      <w:tr w:rsidR="00EB6D65" w14:paraId="513837ED" w14:textId="77777777">
        <w:tc>
          <w:tcPr>
            <w:tcW w:w="4440" w:type="dxa"/>
          </w:tcPr>
          <w:p w14:paraId="5F8F5ADD" w14:textId="77777777" w:rsidR="00EB6D65" w:rsidRDefault="00000000">
            <w:r>
              <w:t>Madrid Protocol</w:t>
            </w:r>
          </w:p>
        </w:tc>
        <w:tc>
          <w:tcPr>
            <w:tcW w:w="4920" w:type="dxa"/>
          </w:tcPr>
          <w:p w14:paraId="199DAE66" w14:textId="7C8A5302" w:rsidR="00EB6D65" w:rsidRDefault="00000000">
            <w:r>
              <w:t>International filing system administered by WIPO; Canada is a member</w:t>
            </w:r>
            <w:r w:rsidR="00D70C0D">
              <w:t xml:space="preserve">. </w:t>
            </w:r>
          </w:p>
        </w:tc>
      </w:tr>
      <w:tr w:rsidR="00EB6D65" w14:paraId="474F06EE" w14:textId="77777777">
        <w:tc>
          <w:tcPr>
            <w:tcW w:w="4440" w:type="dxa"/>
          </w:tcPr>
          <w:p w14:paraId="74C653C4" w14:textId="77777777" w:rsidR="00EB6D65" w:rsidRDefault="00000000">
            <w:r>
              <w:t>Common law</w:t>
            </w:r>
          </w:p>
        </w:tc>
        <w:tc>
          <w:tcPr>
            <w:tcW w:w="4920" w:type="dxa"/>
          </w:tcPr>
          <w:p w14:paraId="778869C8" w14:textId="77777777" w:rsidR="00EB6D65" w:rsidRDefault="00000000">
            <w:r>
              <w:t>Governs use-based rights in unregistered marks, generally limited to the area of use</w:t>
            </w:r>
          </w:p>
        </w:tc>
      </w:tr>
      <w:tr w:rsidR="00D70C0D" w14:paraId="5E00C25F" w14:textId="77777777">
        <w:tc>
          <w:tcPr>
            <w:tcW w:w="4440" w:type="dxa"/>
          </w:tcPr>
          <w:p w14:paraId="66E29CF7" w14:textId="2FF95DEF" w:rsidR="00D70C0D" w:rsidRDefault="00D70C0D">
            <w:r>
              <w:t>Multi class Application</w:t>
            </w:r>
          </w:p>
        </w:tc>
        <w:tc>
          <w:tcPr>
            <w:tcW w:w="4920" w:type="dxa"/>
          </w:tcPr>
          <w:p w14:paraId="1EAC95EF" w14:textId="230A597D" w:rsidR="00D70C0D" w:rsidRDefault="00D70C0D">
            <w:r>
              <w:t>Allowed</w:t>
            </w:r>
          </w:p>
        </w:tc>
      </w:tr>
    </w:tbl>
    <w:p w14:paraId="3DC9BA3E" w14:textId="77777777" w:rsidR="00EB6D65" w:rsidRDefault="00000000">
      <w:pPr>
        <w:pStyle w:val="Heading2"/>
      </w:pPr>
      <w:r>
        <w:t>4. Steps of Filing</w:t>
      </w:r>
    </w:p>
    <w:p w14:paraId="7EFAB7EF" w14:textId="77777777" w:rsidR="00EB6D65" w:rsidRDefault="00000000">
      <w:r>
        <w:t>A Canadian application moves through seven stages. There is no filing basis to choose, no specimen and no Statement of Use, which makes the process shorter than the U.S. one.</w:t>
      </w:r>
    </w:p>
    <w:p w14:paraId="736F3CBD" w14:textId="77777777" w:rsidR="00EB6D65" w:rsidRDefault="00000000">
      <w:pPr>
        <w:pStyle w:val="Heading3"/>
      </w:pPr>
      <w:r>
        <w:lastRenderedPageBreak/>
        <w:t>4.1 Registration Process</w:t>
      </w:r>
    </w:p>
    <w:p w14:paraId="0D7A14AD" w14:textId="2CAF14E7" w:rsidR="00EB6D65" w:rsidRDefault="00000000">
      <w:pPr>
        <w:pStyle w:val="ListParagraph"/>
        <w:numPr>
          <w:ilvl w:val="0"/>
          <w:numId w:val="3"/>
        </w:numPr>
      </w:pPr>
      <w:r>
        <w:rPr>
          <w:b/>
        </w:rPr>
        <w:t>Trademark search.</w:t>
      </w:r>
      <w:r>
        <w:t xml:space="preserve"> Search CIPO's Canadian Trademarks Database for identical or similar marks that could create confusion. Also consider unregistered marks in use, since earlier common law rights can </w:t>
      </w:r>
      <w:proofErr w:type="spellStart"/>
      <w:r w:rsidR="00D70C0D">
        <w:t>attarct</w:t>
      </w:r>
      <w:proofErr w:type="spellEnd"/>
      <w:r>
        <w:t xml:space="preserve"> opposition.</w:t>
      </w:r>
    </w:p>
    <w:p w14:paraId="1F77E79F" w14:textId="09C283A9" w:rsidR="00EB6D65" w:rsidRDefault="00000000">
      <w:pPr>
        <w:pStyle w:val="ListParagraph"/>
        <w:numPr>
          <w:ilvl w:val="0"/>
          <w:numId w:val="3"/>
        </w:numPr>
      </w:pPr>
      <w:r>
        <w:rPr>
          <w:b/>
        </w:rPr>
        <w:t>Identify the applicant, mark and goods/services.</w:t>
      </w:r>
      <w:r>
        <w:t xml:space="preserve"> Fix the applicant (an individual, corporation, partnership, association or joint venture) and the mark type. Wordmarks and design marks need separate applications. State the goods or services in ordinary commercial terms and assign the </w:t>
      </w:r>
      <w:proofErr w:type="gramStart"/>
      <w:r>
        <w:t>Nice</w:t>
      </w:r>
      <w:proofErr w:type="gramEnd"/>
      <w:r>
        <w:t xml:space="preserve"> class for each.</w:t>
      </w:r>
    </w:p>
    <w:p w14:paraId="55FD9022" w14:textId="2C30DCEC" w:rsidR="00EB6D65" w:rsidRDefault="00000000">
      <w:pPr>
        <w:pStyle w:val="ListParagraph"/>
        <w:numPr>
          <w:ilvl w:val="0"/>
          <w:numId w:val="3"/>
        </w:numPr>
      </w:pPr>
      <w:r>
        <w:rPr>
          <w:b/>
        </w:rPr>
        <w:t>Decide the filing route.</w:t>
      </w:r>
      <w:r>
        <w:t xml:space="preserve"> A standard application needs no proof of use. Add a priority claim if a foreign application was filed within the previous six months</w:t>
      </w:r>
      <w:r w:rsidR="00D70C0D">
        <w:t xml:space="preserve">. </w:t>
      </w:r>
    </w:p>
    <w:p w14:paraId="7B8F4C3A" w14:textId="1D50B068" w:rsidR="00EB6D65" w:rsidRDefault="00000000">
      <w:pPr>
        <w:pStyle w:val="ListParagraph"/>
        <w:numPr>
          <w:ilvl w:val="0"/>
          <w:numId w:val="3"/>
        </w:numPr>
      </w:pPr>
      <w:r>
        <w:rPr>
          <w:b/>
        </w:rPr>
        <w:t>File the application.</w:t>
      </w:r>
      <w:r>
        <w:t xml:space="preserve"> File online (cheaper) or by other means</w:t>
      </w:r>
      <w:r w:rsidR="00D70C0D">
        <w:t xml:space="preserve"> (by mail)</w:t>
      </w:r>
      <w:r>
        <w:t xml:space="preserve"> with the applicant's name and address, the mark, the goods/services and classes, and pay the fee per class. The fee is non-refundable.</w:t>
      </w:r>
    </w:p>
    <w:p w14:paraId="436C5225" w14:textId="0FCEEBAF" w:rsidR="00EB6D65" w:rsidRDefault="00000000">
      <w:pPr>
        <w:pStyle w:val="ListParagraph"/>
        <w:numPr>
          <w:ilvl w:val="0"/>
          <w:numId w:val="3"/>
        </w:numPr>
      </w:pPr>
      <w:r>
        <w:rPr>
          <w:b/>
        </w:rPr>
        <w:t>Examination by CIPO.</w:t>
      </w:r>
      <w:r>
        <w:t xml:space="preserve"> An examiner checks the application, for example for descriptiveness, confusion with registered marks, or </w:t>
      </w:r>
      <w:proofErr w:type="gramStart"/>
      <w:r>
        <w:t>an unclear goods/services statement</w:t>
      </w:r>
      <w:proofErr w:type="gramEnd"/>
      <w:r>
        <w:t xml:space="preserve">. Objections come in an examiner's report, and the </w:t>
      </w:r>
      <w:r w:rsidRPr="009746A1">
        <w:rPr>
          <w:highlight w:val="yellow"/>
        </w:rPr>
        <w:t>applicant has six months to respond</w:t>
      </w:r>
      <w:r w:rsidR="009746A1">
        <w:t xml:space="preserve">. If the </w:t>
      </w:r>
      <w:r w:rsidR="009746A1" w:rsidRPr="009746A1">
        <w:t>examiner is not satisfied with your response, you will receive a notice of refusal setting out the reasons for refusing the application. You may appeal the refusal to the Federal Court of Canada.</w:t>
      </w:r>
    </w:p>
    <w:p w14:paraId="2D981FB2" w14:textId="1F27E628" w:rsidR="00EB6D65" w:rsidRDefault="00000000">
      <w:pPr>
        <w:pStyle w:val="ListParagraph"/>
        <w:numPr>
          <w:ilvl w:val="0"/>
          <w:numId w:val="3"/>
        </w:numPr>
      </w:pPr>
      <w:r>
        <w:rPr>
          <w:b/>
        </w:rPr>
        <w:t>Advertisement and opposition.</w:t>
      </w:r>
      <w:r>
        <w:t xml:space="preserve"> An accepted application is advertised in the weekly Trademarks Journal</w:t>
      </w:r>
      <w:r w:rsidR="009746A1">
        <w:t xml:space="preserve"> on Wednesday</w:t>
      </w:r>
      <w:r>
        <w:t>. Anyone can file a statement of opposition within two months of advertisement, or request an extension, on payment of a fee.</w:t>
      </w:r>
    </w:p>
    <w:p w14:paraId="4004C9BA" w14:textId="77777777" w:rsidR="00EB6D65" w:rsidRDefault="00000000">
      <w:pPr>
        <w:pStyle w:val="ListParagraph"/>
        <w:numPr>
          <w:ilvl w:val="0"/>
          <w:numId w:val="3"/>
        </w:numPr>
      </w:pPr>
      <w:r>
        <w:rPr>
          <w:b/>
        </w:rPr>
        <w:t>Registration.</w:t>
      </w:r>
      <w:r>
        <w:t xml:space="preserve"> If no opposition is filed, or an opposition is decided in the applicant's </w:t>
      </w:r>
      <w:proofErr w:type="spellStart"/>
      <w:r>
        <w:t>favour</w:t>
      </w:r>
      <w:proofErr w:type="spellEnd"/>
      <w:r>
        <w:t>, the Registrar registers the mark, issues a certificate and enters the mark on the Register of Trademarks.</w:t>
      </w:r>
    </w:p>
    <w:p w14:paraId="12BBCB26" w14:textId="77777777" w:rsidR="00EB6D65" w:rsidRDefault="00000000">
      <w:r>
        <w:rPr>
          <w:noProof/>
        </w:rPr>
        <w:drawing>
          <wp:inline distT="0" distB="0" distL="0" distR="0" wp14:anchorId="7C6CDA6D" wp14:editId="77048EFD">
            <wp:extent cx="5486400" cy="2792185"/>
            <wp:effectExtent l="0" t="0" r="0" b="0"/>
            <wp:docPr id="1" name="image1" descr="CIPO filing flow · stages, 1 decision, 1 loop"/>
            <wp:cNvGraphicFramePr/>
            <a:graphic xmlns:a="http://schemas.openxmlformats.org/drawingml/2006/main">
              <a:graphicData uri="http://schemas.openxmlformats.org/drawingml/2006/picture">
                <pic:pic xmlns:pic="http://schemas.openxmlformats.org/drawingml/2006/picture">
                  <pic:nvPicPr>
                    <pic:cNvPr id="1" name="image1" descr="CIPO filing flow · stages, 1 decision, 1 loop"/>
                    <pic:cNvPicPr/>
                  </pic:nvPicPr>
                  <pic:blipFill>
                    <a:blip r:embed="rId7"/>
                    <a:stretch>
                      <a:fillRect/>
                    </a:stretch>
                  </pic:blipFill>
                  <pic:spPr>
                    <a:xfrm>
                      <a:off x="0" y="0"/>
                      <a:ext cx="5486400" cy="2792185"/>
                    </a:xfrm>
                    <a:prstGeom prst="rect">
                      <a:avLst/>
                    </a:prstGeom>
                  </pic:spPr>
                </pic:pic>
              </a:graphicData>
            </a:graphic>
          </wp:inline>
        </w:drawing>
      </w:r>
    </w:p>
    <w:p w14:paraId="6DD23E1E" w14:textId="53BB1FEF" w:rsidR="00EB6D65" w:rsidRDefault="00000000">
      <w:pPr>
        <w:pStyle w:val="Heading3"/>
      </w:pPr>
      <w:r>
        <w:t>4</w:t>
      </w:r>
      <w:r w:rsidR="009746A1">
        <w:t xml:space="preserve">. </w:t>
      </w:r>
      <w:r>
        <w:t xml:space="preserve"> Filing Routes and Priority</w:t>
      </w:r>
    </w:p>
    <w:p w14:paraId="35A6064D" w14:textId="77777777" w:rsidR="00EB6D65" w:rsidRDefault="00000000">
      <w:r>
        <w:t>Canada has no equivalent of the U.S. Section 1(a), 1(b) or 44 bases. The route depends on how the application reaches CIPO.</w:t>
      </w:r>
    </w:p>
    <w:tbl>
      <w:tblPr>
        <w:tblStyle w:val="TableGrid"/>
        <w:tblW w:w="0" w:type="auto"/>
        <w:tblLayout w:type="fixed"/>
        <w:tblLook w:val="0420" w:firstRow="1" w:lastRow="0" w:firstColumn="0" w:lastColumn="0" w:noHBand="0" w:noVBand="1"/>
      </w:tblPr>
      <w:tblGrid>
        <w:gridCol w:w="4357"/>
        <w:gridCol w:w="5002"/>
      </w:tblGrid>
      <w:tr w:rsidR="00EB6D65" w14:paraId="25E1123F" w14:textId="77777777">
        <w:trPr>
          <w:tblHeader/>
        </w:trPr>
        <w:tc>
          <w:tcPr>
            <w:tcW w:w="4357" w:type="dxa"/>
            <w:shd w:val="clear" w:color="auto" w:fill="F2F2F2"/>
          </w:tcPr>
          <w:p w14:paraId="3D4C8620" w14:textId="77777777" w:rsidR="00EB6D65" w:rsidRDefault="00000000">
            <w:r>
              <w:lastRenderedPageBreak/>
              <w:t>Route</w:t>
            </w:r>
          </w:p>
        </w:tc>
        <w:tc>
          <w:tcPr>
            <w:tcW w:w="5002" w:type="dxa"/>
            <w:shd w:val="clear" w:color="auto" w:fill="F2F2F2"/>
          </w:tcPr>
          <w:p w14:paraId="3BC23E69" w14:textId="77777777" w:rsidR="00EB6D65" w:rsidRDefault="00000000">
            <w:r>
              <w:t>When it applies</w:t>
            </w:r>
          </w:p>
        </w:tc>
      </w:tr>
      <w:tr w:rsidR="00EB6D65" w14:paraId="2562ED2A" w14:textId="77777777">
        <w:tc>
          <w:tcPr>
            <w:tcW w:w="4357" w:type="dxa"/>
          </w:tcPr>
          <w:p w14:paraId="4685B508" w14:textId="77777777" w:rsidR="00EB6D65" w:rsidRDefault="00000000">
            <w:r>
              <w:t>Standard application</w:t>
            </w:r>
          </w:p>
        </w:tc>
        <w:tc>
          <w:tcPr>
            <w:tcW w:w="5002" w:type="dxa"/>
          </w:tcPr>
          <w:p w14:paraId="127ECBF3" w14:textId="77777777" w:rsidR="00EB6D65" w:rsidRDefault="00000000">
            <w:r>
              <w:t>Any applicant. No prior use in Canada or foreign registration is needed</w:t>
            </w:r>
          </w:p>
        </w:tc>
      </w:tr>
      <w:tr w:rsidR="00EB6D65" w14:paraId="1EEDEFC7" w14:textId="77777777">
        <w:tc>
          <w:tcPr>
            <w:tcW w:w="4357" w:type="dxa"/>
          </w:tcPr>
          <w:p w14:paraId="5F312D76" w14:textId="77777777" w:rsidR="00EB6D65" w:rsidRDefault="00000000">
            <w:r>
              <w:t>Priority claim (Trademarks Act, s. 34)</w:t>
            </w:r>
          </w:p>
        </w:tc>
        <w:tc>
          <w:tcPr>
            <w:tcW w:w="5002" w:type="dxa"/>
          </w:tcPr>
          <w:p w14:paraId="7CA9F376" w14:textId="4CAC8FE8" w:rsidR="00EB6D65" w:rsidRDefault="00000000">
            <w:r>
              <w:t xml:space="preserve">Canadian application filed within six months of the earliest foreign application for the same mark. The request must be filed in the prescribed time and manner. </w:t>
            </w:r>
          </w:p>
        </w:tc>
      </w:tr>
      <w:tr w:rsidR="00EB6D65" w14:paraId="5B2332CF" w14:textId="77777777">
        <w:tc>
          <w:tcPr>
            <w:tcW w:w="4357" w:type="dxa"/>
          </w:tcPr>
          <w:p w14:paraId="29146D27" w14:textId="77777777" w:rsidR="00EB6D65" w:rsidRDefault="00000000">
            <w:r>
              <w:t>Madrid designation</w:t>
            </w:r>
          </w:p>
        </w:tc>
        <w:tc>
          <w:tcPr>
            <w:tcW w:w="5002" w:type="dxa"/>
          </w:tcPr>
          <w:p w14:paraId="0FAC2C11" w14:textId="77777777" w:rsidR="00EB6D65" w:rsidRDefault="00000000">
            <w:r>
              <w:t>International registration designating Canada through WIPO; CIPO examines it under Canadian law (Section 2)</w:t>
            </w:r>
          </w:p>
        </w:tc>
      </w:tr>
    </w:tbl>
    <w:p w14:paraId="0D922774" w14:textId="77777777" w:rsidR="00EB6D65" w:rsidRDefault="00000000">
      <w:pPr>
        <w:pStyle w:val="Heading2"/>
      </w:pPr>
      <w:r>
        <w:t>6. Official Fees</w:t>
      </w:r>
    </w:p>
    <w:p w14:paraId="3B004BDB" w14:textId="3475E914" w:rsidR="00EB6D65" w:rsidRDefault="00000000">
      <w:r>
        <w:t xml:space="preserve">The base application fee is CAD 491.06 for the first class filed online in 2026, plus CAD 149.04 for each additional class. </w:t>
      </w:r>
    </w:p>
    <w:p w14:paraId="156AEBAD" w14:textId="77777777" w:rsidR="00EB6D65" w:rsidRDefault="00000000">
      <w:pPr>
        <w:pStyle w:val="Heading3"/>
      </w:pPr>
      <w:r>
        <w:t>6.1 Application Stage</w:t>
      </w:r>
    </w:p>
    <w:tbl>
      <w:tblPr>
        <w:tblStyle w:val="TableGrid"/>
        <w:tblW w:w="0" w:type="auto"/>
        <w:tblLayout w:type="fixed"/>
        <w:tblLook w:val="0420" w:firstRow="1" w:lastRow="0" w:firstColumn="0" w:lastColumn="0" w:noHBand="0" w:noVBand="1"/>
      </w:tblPr>
      <w:tblGrid>
        <w:gridCol w:w="2995"/>
        <w:gridCol w:w="1817"/>
        <w:gridCol w:w="1487"/>
        <w:gridCol w:w="3061"/>
      </w:tblGrid>
      <w:tr w:rsidR="00EB6D65" w14:paraId="3B984ED8" w14:textId="77777777">
        <w:trPr>
          <w:tblHeader/>
        </w:trPr>
        <w:tc>
          <w:tcPr>
            <w:tcW w:w="2995" w:type="dxa"/>
            <w:shd w:val="clear" w:color="auto" w:fill="F2F2F2"/>
          </w:tcPr>
          <w:p w14:paraId="41DFFA87" w14:textId="77777777" w:rsidR="00EB6D65" w:rsidRDefault="00000000">
            <w:r>
              <w:t>Item</w:t>
            </w:r>
          </w:p>
        </w:tc>
        <w:tc>
          <w:tcPr>
            <w:tcW w:w="1817" w:type="dxa"/>
            <w:shd w:val="clear" w:color="auto" w:fill="F2F2F2"/>
          </w:tcPr>
          <w:p w14:paraId="489AED1A" w14:textId="77777777" w:rsidR="00EB6D65" w:rsidRDefault="00000000">
            <w:r>
              <w:t>2026 fee (CAD)</w:t>
            </w:r>
          </w:p>
        </w:tc>
        <w:tc>
          <w:tcPr>
            <w:tcW w:w="1487" w:type="dxa"/>
            <w:shd w:val="clear" w:color="auto" w:fill="F2F2F2"/>
          </w:tcPr>
          <w:p w14:paraId="7A86D309" w14:textId="77777777" w:rsidR="00EB6D65" w:rsidRDefault="00000000">
            <w:r>
              <w:t>From 1 Jan 2027 (CAD)</w:t>
            </w:r>
          </w:p>
        </w:tc>
        <w:tc>
          <w:tcPr>
            <w:tcW w:w="3061" w:type="dxa"/>
            <w:shd w:val="clear" w:color="auto" w:fill="F2F2F2"/>
          </w:tcPr>
          <w:p w14:paraId="215B033F" w14:textId="77777777" w:rsidR="00EB6D65" w:rsidRDefault="00000000">
            <w:r>
              <w:t>Notes</w:t>
            </w:r>
          </w:p>
        </w:tc>
      </w:tr>
      <w:tr w:rsidR="00EB6D65" w14:paraId="52F529C7" w14:textId="77777777">
        <w:tc>
          <w:tcPr>
            <w:tcW w:w="2995" w:type="dxa"/>
          </w:tcPr>
          <w:p w14:paraId="5D158ED5" w14:textId="77777777" w:rsidR="00EB6D65" w:rsidRDefault="00000000">
            <w:r>
              <w:t>Application, first class, filed online</w:t>
            </w:r>
          </w:p>
        </w:tc>
        <w:tc>
          <w:tcPr>
            <w:tcW w:w="1817" w:type="dxa"/>
          </w:tcPr>
          <w:p w14:paraId="1F155D78" w14:textId="77777777" w:rsidR="00EB6D65" w:rsidRDefault="00000000">
            <w:r>
              <w:t>491.06</w:t>
            </w:r>
          </w:p>
        </w:tc>
        <w:tc>
          <w:tcPr>
            <w:tcW w:w="1487" w:type="dxa"/>
          </w:tcPr>
          <w:p w14:paraId="11AF8124" w14:textId="77777777" w:rsidR="00EB6D65" w:rsidRDefault="00000000">
            <w:r>
              <w:t>499.41</w:t>
            </w:r>
          </w:p>
        </w:tc>
        <w:tc>
          <w:tcPr>
            <w:tcW w:w="3061" w:type="dxa"/>
          </w:tcPr>
          <w:p w14:paraId="14F9EC91" w14:textId="77777777" w:rsidR="00EB6D65" w:rsidRDefault="00000000">
            <w:r>
              <w:t>Covers the first class</w:t>
            </w:r>
          </w:p>
        </w:tc>
      </w:tr>
      <w:tr w:rsidR="00EB6D65" w14:paraId="4F28629D" w14:textId="77777777">
        <w:tc>
          <w:tcPr>
            <w:tcW w:w="2995" w:type="dxa"/>
          </w:tcPr>
          <w:p w14:paraId="0AE4D507" w14:textId="77777777" w:rsidR="00EB6D65" w:rsidRDefault="00000000">
            <w:r>
              <w:t>Additional class</w:t>
            </w:r>
          </w:p>
        </w:tc>
        <w:tc>
          <w:tcPr>
            <w:tcW w:w="1817" w:type="dxa"/>
          </w:tcPr>
          <w:p w14:paraId="07CD1EC6" w14:textId="77777777" w:rsidR="00EB6D65" w:rsidRDefault="00000000">
            <w:r>
              <w:t>149.04</w:t>
            </w:r>
          </w:p>
        </w:tc>
        <w:tc>
          <w:tcPr>
            <w:tcW w:w="1487" w:type="dxa"/>
          </w:tcPr>
          <w:p w14:paraId="6322525E" w14:textId="77777777" w:rsidR="00EB6D65" w:rsidRDefault="00000000">
            <w:r>
              <w:t>151.57</w:t>
            </w:r>
          </w:p>
        </w:tc>
        <w:tc>
          <w:tcPr>
            <w:tcW w:w="3061" w:type="dxa"/>
          </w:tcPr>
          <w:p w14:paraId="36BEC215" w14:textId="77777777" w:rsidR="00EB6D65" w:rsidRDefault="00000000">
            <w:r>
              <w:t>Per extra class, at filing, any method</w:t>
            </w:r>
          </w:p>
        </w:tc>
      </w:tr>
    </w:tbl>
    <w:p w14:paraId="74ED5B70" w14:textId="77777777" w:rsidR="00EB6D65" w:rsidRDefault="00000000">
      <w:pPr>
        <w:pStyle w:val="Heading3"/>
      </w:pPr>
      <w:r>
        <w:t>6.2 Examination, Opposition and Recording Fees</w:t>
      </w:r>
    </w:p>
    <w:tbl>
      <w:tblPr>
        <w:tblStyle w:val="TableGrid"/>
        <w:tblW w:w="0" w:type="auto"/>
        <w:tblLayout w:type="fixed"/>
        <w:tblLook w:val="0420" w:firstRow="1" w:lastRow="0" w:firstColumn="0" w:lastColumn="0" w:noHBand="0" w:noVBand="1"/>
      </w:tblPr>
      <w:tblGrid>
        <w:gridCol w:w="3645"/>
        <w:gridCol w:w="1817"/>
        <w:gridCol w:w="1220"/>
        <w:gridCol w:w="2678"/>
      </w:tblGrid>
      <w:tr w:rsidR="00EB6D65" w14:paraId="5F5D76E7" w14:textId="77777777">
        <w:trPr>
          <w:tblHeader/>
        </w:trPr>
        <w:tc>
          <w:tcPr>
            <w:tcW w:w="3645" w:type="dxa"/>
            <w:shd w:val="clear" w:color="auto" w:fill="F2F2F2"/>
          </w:tcPr>
          <w:p w14:paraId="50D9CD19" w14:textId="77777777" w:rsidR="00EB6D65" w:rsidRDefault="00000000">
            <w:r>
              <w:t>Item</w:t>
            </w:r>
          </w:p>
        </w:tc>
        <w:tc>
          <w:tcPr>
            <w:tcW w:w="1817" w:type="dxa"/>
            <w:shd w:val="clear" w:color="auto" w:fill="F2F2F2"/>
          </w:tcPr>
          <w:p w14:paraId="4E9E2A32" w14:textId="77777777" w:rsidR="00EB6D65" w:rsidRDefault="00000000">
            <w:r>
              <w:t>2026 fee (CAD)</w:t>
            </w:r>
          </w:p>
        </w:tc>
        <w:tc>
          <w:tcPr>
            <w:tcW w:w="1220" w:type="dxa"/>
            <w:shd w:val="clear" w:color="auto" w:fill="F2F2F2"/>
          </w:tcPr>
          <w:p w14:paraId="24C5B282" w14:textId="77777777" w:rsidR="00EB6D65" w:rsidRDefault="00000000">
            <w:r>
              <w:t>From 1 Jan 2027 (CAD)</w:t>
            </w:r>
          </w:p>
        </w:tc>
        <w:tc>
          <w:tcPr>
            <w:tcW w:w="2678" w:type="dxa"/>
            <w:shd w:val="clear" w:color="auto" w:fill="F2F2F2"/>
          </w:tcPr>
          <w:p w14:paraId="4F5DDFBF" w14:textId="77777777" w:rsidR="00EB6D65" w:rsidRDefault="00000000">
            <w:r>
              <w:t>Notes</w:t>
            </w:r>
          </w:p>
        </w:tc>
      </w:tr>
      <w:tr w:rsidR="00EB6D65" w14:paraId="6334E049" w14:textId="77777777">
        <w:tc>
          <w:tcPr>
            <w:tcW w:w="3645" w:type="dxa"/>
          </w:tcPr>
          <w:p w14:paraId="1FA777ED" w14:textId="77777777" w:rsidR="00EB6D65" w:rsidRDefault="00000000">
            <w:r>
              <w:t>Extension of time (s. 47)</w:t>
            </w:r>
          </w:p>
        </w:tc>
        <w:tc>
          <w:tcPr>
            <w:tcW w:w="1817" w:type="dxa"/>
          </w:tcPr>
          <w:p w14:paraId="76B08A2C" w14:textId="77777777" w:rsidR="00EB6D65" w:rsidRDefault="00000000">
            <w:r>
              <w:t>150.00</w:t>
            </w:r>
          </w:p>
        </w:tc>
        <w:tc>
          <w:tcPr>
            <w:tcW w:w="1220" w:type="dxa"/>
          </w:tcPr>
          <w:p w14:paraId="6DB1BA56" w14:textId="77777777" w:rsidR="00EB6D65" w:rsidRDefault="00000000">
            <w:r>
              <w:t>150.00</w:t>
            </w:r>
          </w:p>
        </w:tc>
        <w:tc>
          <w:tcPr>
            <w:tcW w:w="2678" w:type="dxa"/>
          </w:tcPr>
          <w:p w14:paraId="564654ED" w14:textId="77777777" w:rsidR="00EB6D65" w:rsidRDefault="00000000">
            <w:r>
              <w:t>Per act; not subject to the annual adjustment</w:t>
            </w:r>
          </w:p>
        </w:tc>
      </w:tr>
      <w:tr w:rsidR="00EB6D65" w14:paraId="41DA0A24" w14:textId="77777777">
        <w:tc>
          <w:tcPr>
            <w:tcW w:w="3645" w:type="dxa"/>
          </w:tcPr>
          <w:p w14:paraId="7E8D48B3" w14:textId="77777777" w:rsidR="00EB6D65" w:rsidRDefault="00000000">
            <w:r>
              <w:t>Statement of opposition (s. 38(1))</w:t>
            </w:r>
          </w:p>
        </w:tc>
        <w:tc>
          <w:tcPr>
            <w:tcW w:w="1817" w:type="dxa"/>
          </w:tcPr>
          <w:p w14:paraId="0D2B08B8" w14:textId="77777777" w:rsidR="00EB6D65" w:rsidRDefault="00000000">
            <w:r>
              <w:t>1,115.08</w:t>
            </w:r>
          </w:p>
        </w:tc>
        <w:tc>
          <w:tcPr>
            <w:tcW w:w="1220" w:type="dxa"/>
          </w:tcPr>
          <w:p w14:paraId="46FA40E7" w14:textId="77777777" w:rsidR="00EB6D65" w:rsidRDefault="00000000">
            <w:r>
              <w:t>1,134.04</w:t>
            </w:r>
          </w:p>
        </w:tc>
        <w:tc>
          <w:tcPr>
            <w:tcW w:w="2678" w:type="dxa"/>
          </w:tcPr>
          <w:p w14:paraId="0998B164" w14:textId="77777777" w:rsidR="00EB6D65" w:rsidRDefault="00000000">
            <w:r>
              <w:t>Payable by the opponent</w:t>
            </w:r>
          </w:p>
        </w:tc>
      </w:tr>
      <w:tr w:rsidR="00EB6D65" w14:paraId="62F0CD0F" w14:textId="77777777">
        <w:tc>
          <w:tcPr>
            <w:tcW w:w="3645" w:type="dxa"/>
          </w:tcPr>
          <w:p w14:paraId="64C3E57C" w14:textId="77777777" w:rsidR="00EB6D65" w:rsidRDefault="00000000">
            <w:r>
              <w:t>Section 45 notice (evidence of use)</w:t>
            </w:r>
          </w:p>
        </w:tc>
        <w:tc>
          <w:tcPr>
            <w:tcW w:w="1817" w:type="dxa"/>
          </w:tcPr>
          <w:p w14:paraId="4A47C127" w14:textId="77777777" w:rsidR="00EB6D65" w:rsidRDefault="00000000">
            <w:r>
              <w:t>595.06</w:t>
            </w:r>
          </w:p>
        </w:tc>
        <w:tc>
          <w:tcPr>
            <w:tcW w:w="1220" w:type="dxa"/>
          </w:tcPr>
          <w:p w14:paraId="3DC9DFB7" w14:textId="77777777" w:rsidR="00EB6D65" w:rsidRDefault="00000000">
            <w:r>
              <w:t>605.18</w:t>
            </w:r>
          </w:p>
        </w:tc>
        <w:tc>
          <w:tcPr>
            <w:tcW w:w="2678" w:type="dxa"/>
          </w:tcPr>
          <w:p w14:paraId="04985490" w14:textId="77777777" w:rsidR="00EB6D65" w:rsidRDefault="00000000">
            <w:r>
              <w:t>Per notice; payable by the requesting party</w:t>
            </w:r>
          </w:p>
        </w:tc>
      </w:tr>
      <w:tr w:rsidR="00EB6D65" w14:paraId="6807686B" w14:textId="77777777">
        <w:tc>
          <w:tcPr>
            <w:tcW w:w="3645" w:type="dxa"/>
          </w:tcPr>
          <w:p w14:paraId="4AF7B3DB" w14:textId="77777777" w:rsidR="00EB6D65" w:rsidRDefault="00000000">
            <w:r>
              <w:t>Recording a transfer of an application (s. 48(3))</w:t>
            </w:r>
          </w:p>
        </w:tc>
        <w:tc>
          <w:tcPr>
            <w:tcW w:w="1817" w:type="dxa"/>
          </w:tcPr>
          <w:p w14:paraId="1BBBB89F" w14:textId="77777777" w:rsidR="00EB6D65" w:rsidRDefault="00000000">
            <w:r>
              <w:t>125.00</w:t>
            </w:r>
          </w:p>
        </w:tc>
        <w:tc>
          <w:tcPr>
            <w:tcW w:w="1220" w:type="dxa"/>
          </w:tcPr>
          <w:p w14:paraId="0BA659FF" w14:textId="77777777" w:rsidR="00EB6D65" w:rsidRDefault="00000000">
            <w:r>
              <w:t>125.00</w:t>
            </w:r>
          </w:p>
        </w:tc>
        <w:tc>
          <w:tcPr>
            <w:tcW w:w="2678" w:type="dxa"/>
          </w:tcPr>
          <w:p w14:paraId="07D741E3" w14:textId="77777777" w:rsidR="00EB6D65" w:rsidRDefault="00000000">
            <w:r>
              <w:t>Per application</w:t>
            </w:r>
          </w:p>
        </w:tc>
      </w:tr>
      <w:tr w:rsidR="00EB6D65" w14:paraId="7176FD25" w14:textId="77777777">
        <w:tc>
          <w:tcPr>
            <w:tcW w:w="3645" w:type="dxa"/>
          </w:tcPr>
          <w:p w14:paraId="7F3DD198" w14:textId="77777777" w:rsidR="00EB6D65" w:rsidRDefault="00000000">
            <w:r>
              <w:t>Registering a transfer of a registered mark (s. 48(4))</w:t>
            </w:r>
          </w:p>
        </w:tc>
        <w:tc>
          <w:tcPr>
            <w:tcW w:w="1817" w:type="dxa"/>
          </w:tcPr>
          <w:p w14:paraId="019EB6AC" w14:textId="77777777" w:rsidR="00EB6D65" w:rsidRDefault="00000000">
            <w:r>
              <w:t>125.00</w:t>
            </w:r>
          </w:p>
        </w:tc>
        <w:tc>
          <w:tcPr>
            <w:tcW w:w="1220" w:type="dxa"/>
          </w:tcPr>
          <w:p w14:paraId="40D2A11A" w14:textId="77777777" w:rsidR="00EB6D65" w:rsidRDefault="00000000">
            <w:r>
              <w:t>125.00</w:t>
            </w:r>
          </w:p>
        </w:tc>
        <w:tc>
          <w:tcPr>
            <w:tcW w:w="2678" w:type="dxa"/>
          </w:tcPr>
          <w:p w14:paraId="6B7B3A43" w14:textId="77777777" w:rsidR="00EB6D65" w:rsidRDefault="00000000">
            <w:r>
              <w:t>Per mark</w:t>
            </w:r>
          </w:p>
        </w:tc>
      </w:tr>
    </w:tbl>
    <w:p w14:paraId="7CDA685A" w14:textId="77777777" w:rsidR="00EB6D65" w:rsidRDefault="00000000">
      <w:pPr>
        <w:pStyle w:val="Heading3"/>
      </w:pPr>
      <w:r>
        <w:lastRenderedPageBreak/>
        <w:t>6.3 After Registration</w:t>
      </w:r>
    </w:p>
    <w:p w14:paraId="61E244E5" w14:textId="77777777" w:rsidR="00EB6D65" w:rsidRDefault="00000000">
      <w:r>
        <w:t>Renewal fees are set out with the renewal window in Section 8.2.</w:t>
      </w:r>
    </w:p>
    <w:p w14:paraId="4079FD4D" w14:textId="77777777" w:rsidR="00EB6D65" w:rsidRDefault="00000000">
      <w:pPr>
        <w:pStyle w:val="Heading3"/>
      </w:pPr>
      <w:r>
        <w:t>6.4 Illustrative Minimum Cost (2026, online filing, official fees only)</w:t>
      </w:r>
    </w:p>
    <w:tbl>
      <w:tblPr>
        <w:tblStyle w:val="TableGrid"/>
        <w:tblW w:w="0" w:type="auto"/>
        <w:tblLayout w:type="fixed"/>
        <w:tblLook w:val="0420" w:firstRow="1" w:lastRow="0" w:firstColumn="0" w:lastColumn="0" w:noHBand="0" w:noVBand="1"/>
      </w:tblPr>
      <w:tblGrid>
        <w:gridCol w:w="3270"/>
        <w:gridCol w:w="6089"/>
      </w:tblGrid>
      <w:tr w:rsidR="00EB6D65" w14:paraId="36D368AD" w14:textId="77777777">
        <w:trPr>
          <w:tblHeader/>
        </w:trPr>
        <w:tc>
          <w:tcPr>
            <w:tcW w:w="3270" w:type="dxa"/>
            <w:shd w:val="clear" w:color="auto" w:fill="F2F2F2"/>
          </w:tcPr>
          <w:p w14:paraId="22F75355" w14:textId="77777777" w:rsidR="00EB6D65" w:rsidRDefault="00000000">
            <w:r>
              <w:t>Scope</w:t>
            </w:r>
          </w:p>
        </w:tc>
        <w:tc>
          <w:tcPr>
            <w:tcW w:w="6089" w:type="dxa"/>
            <w:shd w:val="clear" w:color="auto" w:fill="F2F2F2"/>
          </w:tcPr>
          <w:p w14:paraId="0544ADFD" w14:textId="77777777" w:rsidR="00EB6D65" w:rsidRDefault="00000000">
            <w:r>
              <w:t>Official fees (CAD)</w:t>
            </w:r>
          </w:p>
        </w:tc>
      </w:tr>
      <w:tr w:rsidR="00EB6D65" w14:paraId="78D78E6D" w14:textId="77777777">
        <w:tc>
          <w:tcPr>
            <w:tcW w:w="3270" w:type="dxa"/>
          </w:tcPr>
          <w:p w14:paraId="67637D4D" w14:textId="77777777" w:rsidR="00EB6D65" w:rsidRDefault="00000000">
            <w:r>
              <w:t>One class</w:t>
            </w:r>
          </w:p>
        </w:tc>
        <w:tc>
          <w:tcPr>
            <w:tcW w:w="6089" w:type="dxa"/>
          </w:tcPr>
          <w:p w14:paraId="6ECAE59C" w14:textId="77777777" w:rsidR="00EB6D65" w:rsidRDefault="00000000">
            <w:r>
              <w:t>491.06</w:t>
            </w:r>
          </w:p>
        </w:tc>
      </w:tr>
      <w:tr w:rsidR="00EB6D65" w14:paraId="2E8CF569" w14:textId="77777777">
        <w:tc>
          <w:tcPr>
            <w:tcW w:w="3270" w:type="dxa"/>
          </w:tcPr>
          <w:p w14:paraId="007FD613" w14:textId="77777777" w:rsidR="00EB6D65" w:rsidRDefault="00000000">
            <w:r>
              <w:t>Three classes</w:t>
            </w:r>
          </w:p>
        </w:tc>
        <w:tc>
          <w:tcPr>
            <w:tcW w:w="6089" w:type="dxa"/>
          </w:tcPr>
          <w:p w14:paraId="43444EB9" w14:textId="77777777" w:rsidR="00EB6D65" w:rsidRDefault="00000000">
            <w:r>
              <w:t>789.14 (491.06 + 2 x 149.04)</w:t>
            </w:r>
          </w:p>
        </w:tc>
      </w:tr>
    </w:tbl>
    <w:p w14:paraId="70AF9927" w14:textId="77777777" w:rsidR="00EB6D65" w:rsidRDefault="00000000">
      <w:r>
        <w:t>These figures exclude agent fees, and any extension, opposition or response costs.</w:t>
      </w:r>
    </w:p>
    <w:p w14:paraId="1B936F79" w14:textId="77777777" w:rsidR="00EB6D65" w:rsidRDefault="00000000">
      <w:pPr>
        <w:pStyle w:val="Heading2"/>
      </w:pPr>
      <w:r>
        <w:t>7. Agent / Representative Requirement</w:t>
      </w:r>
    </w:p>
    <w:p w14:paraId="022823A4" w14:textId="77777777" w:rsidR="00EB6D65" w:rsidRDefault="00000000">
      <w:r w:rsidRPr="00E464D6">
        <w:rPr>
          <w:highlight w:val="yellow"/>
        </w:rPr>
        <w:t>A Canadian trademark agent is not mandatory, including for foreign applicants, but only a registered agent may represent others before CIPO. This differs from the U.S., where foreign-domiciled applicants must use a U.S.-licensed attorney.</w:t>
      </w:r>
    </w:p>
    <w:tbl>
      <w:tblPr>
        <w:tblStyle w:val="TableGrid"/>
        <w:tblW w:w="0" w:type="auto"/>
        <w:tblLayout w:type="fixed"/>
        <w:tblLook w:val="0420" w:firstRow="1" w:lastRow="0" w:firstColumn="0" w:lastColumn="0" w:noHBand="0" w:noVBand="1"/>
      </w:tblPr>
      <w:tblGrid>
        <w:gridCol w:w="4078"/>
        <w:gridCol w:w="5281"/>
      </w:tblGrid>
      <w:tr w:rsidR="00EB6D65" w14:paraId="74F5C7CB" w14:textId="77777777">
        <w:trPr>
          <w:tblHeader/>
        </w:trPr>
        <w:tc>
          <w:tcPr>
            <w:tcW w:w="4078" w:type="dxa"/>
            <w:shd w:val="clear" w:color="auto" w:fill="F2F2F2"/>
          </w:tcPr>
          <w:p w14:paraId="58EC0446" w14:textId="77777777" w:rsidR="00EB6D65" w:rsidRDefault="00000000">
            <w:r>
              <w:t>Applicant / filing type</w:t>
            </w:r>
          </w:p>
        </w:tc>
        <w:tc>
          <w:tcPr>
            <w:tcW w:w="5281" w:type="dxa"/>
            <w:shd w:val="clear" w:color="auto" w:fill="F2F2F2"/>
          </w:tcPr>
          <w:p w14:paraId="716CC606" w14:textId="77777777" w:rsidR="00EB6D65" w:rsidRDefault="00000000">
            <w:r>
              <w:t>Agent required?</w:t>
            </w:r>
          </w:p>
        </w:tc>
      </w:tr>
      <w:tr w:rsidR="00EB6D65" w14:paraId="15E19937" w14:textId="77777777">
        <w:tc>
          <w:tcPr>
            <w:tcW w:w="4078" w:type="dxa"/>
          </w:tcPr>
          <w:p w14:paraId="13FE9B14" w14:textId="77777777" w:rsidR="00EB6D65" w:rsidRDefault="00000000">
            <w:r>
              <w:t>Applicant resident in Canada</w:t>
            </w:r>
          </w:p>
        </w:tc>
        <w:tc>
          <w:tcPr>
            <w:tcW w:w="5281" w:type="dxa"/>
          </w:tcPr>
          <w:p w14:paraId="29900A23" w14:textId="77777777" w:rsidR="00EB6D65" w:rsidRDefault="00000000">
            <w:r>
              <w:t>No. Optional but advisable</w:t>
            </w:r>
          </w:p>
        </w:tc>
      </w:tr>
      <w:tr w:rsidR="00EB6D65" w14:paraId="4CB76624" w14:textId="77777777">
        <w:tc>
          <w:tcPr>
            <w:tcW w:w="4078" w:type="dxa"/>
          </w:tcPr>
          <w:p w14:paraId="0ABF84D0" w14:textId="77777777" w:rsidR="00EB6D65" w:rsidRDefault="00000000">
            <w:r>
              <w:t>Non-resident applicant (e.g. India)</w:t>
            </w:r>
          </w:p>
        </w:tc>
        <w:tc>
          <w:tcPr>
            <w:tcW w:w="5281" w:type="dxa"/>
          </w:tcPr>
          <w:p w14:paraId="7056CB05" w14:textId="77777777" w:rsidR="00EB6D65" w:rsidRDefault="00000000">
            <w:r>
              <w:t>Not mandatory. Advisable, particularly once CIPO raises objections or an opposition is filed</w:t>
            </w:r>
          </w:p>
        </w:tc>
      </w:tr>
      <w:tr w:rsidR="00EB6D65" w14:paraId="456C0545" w14:textId="77777777">
        <w:tc>
          <w:tcPr>
            <w:tcW w:w="4078" w:type="dxa"/>
          </w:tcPr>
          <w:p w14:paraId="32D65F80" w14:textId="77777777" w:rsidR="00EB6D65" w:rsidRDefault="00000000">
            <w:r>
              <w:t>Madrid designation of Canada</w:t>
            </w:r>
          </w:p>
        </w:tc>
        <w:tc>
          <w:tcPr>
            <w:tcW w:w="5281" w:type="dxa"/>
          </w:tcPr>
          <w:p w14:paraId="651A84F8" w14:textId="77777777" w:rsidR="00EB6D65" w:rsidRDefault="00000000">
            <w:r>
              <w:t>Filed through WIPO. An agent is advisable if CIPO issues an objection</w:t>
            </w:r>
          </w:p>
        </w:tc>
      </w:tr>
    </w:tbl>
    <w:p w14:paraId="4CB48166" w14:textId="77777777" w:rsidR="00EB6D65" w:rsidRDefault="00000000">
      <w:pPr>
        <w:pStyle w:val="Heading2"/>
      </w:pPr>
      <w:r>
        <w:t>8. Validity, Renewal and Maintenance</w:t>
      </w:r>
    </w:p>
    <w:p w14:paraId="43D5019E" w14:textId="77777777" w:rsidR="00EB6D65" w:rsidRDefault="00000000">
      <w:r>
        <w:t>A Canadian registration lasts ten years and is kept alive by renewal alone. There are no mid-term use declarations, but the mark stays open to a non-use challenge from year three.</w:t>
      </w:r>
    </w:p>
    <w:p w14:paraId="5DABE2E3" w14:textId="77777777" w:rsidR="00EB6D65" w:rsidRDefault="00000000">
      <w:pPr>
        <w:pStyle w:val="Heading3"/>
      </w:pPr>
      <w:r>
        <w:t>8.1 Term</w:t>
      </w:r>
    </w:p>
    <w:p w14:paraId="262C0C29" w14:textId="77777777" w:rsidR="00EB6D65" w:rsidRDefault="00000000">
      <w:r>
        <w:t>A registration is valid for ten years from the registration date and may be renewed for successive ten-year periods on payment of the renewal fee. Canada has no equivalent of the U.S. Section 8 or Section 15 declarations.</w:t>
      </w:r>
    </w:p>
    <w:p w14:paraId="02DB57BE" w14:textId="77777777" w:rsidR="00EB6D65" w:rsidRDefault="00000000">
      <w:pPr>
        <w:pStyle w:val="Heading3"/>
      </w:pPr>
      <w:r>
        <w:t>8.2 Renewal Window and Fees</w:t>
      </w:r>
    </w:p>
    <w:tbl>
      <w:tblPr>
        <w:tblStyle w:val="TableGrid"/>
        <w:tblW w:w="0" w:type="auto"/>
        <w:tblLayout w:type="fixed"/>
        <w:tblLook w:val="0420" w:firstRow="1" w:lastRow="0" w:firstColumn="0" w:lastColumn="0" w:noHBand="0" w:noVBand="1"/>
      </w:tblPr>
      <w:tblGrid>
        <w:gridCol w:w="3813"/>
        <w:gridCol w:w="1817"/>
        <w:gridCol w:w="2116"/>
        <w:gridCol w:w="1613"/>
      </w:tblGrid>
      <w:tr w:rsidR="00EB6D65" w14:paraId="6F4F8D3A" w14:textId="77777777">
        <w:trPr>
          <w:tblHeader/>
        </w:trPr>
        <w:tc>
          <w:tcPr>
            <w:tcW w:w="3813" w:type="dxa"/>
            <w:shd w:val="clear" w:color="auto" w:fill="F2F2F2"/>
          </w:tcPr>
          <w:p w14:paraId="33C1B525" w14:textId="77777777" w:rsidR="00EB6D65" w:rsidRDefault="00000000">
            <w:r>
              <w:t>Item</w:t>
            </w:r>
          </w:p>
        </w:tc>
        <w:tc>
          <w:tcPr>
            <w:tcW w:w="1817" w:type="dxa"/>
            <w:shd w:val="clear" w:color="auto" w:fill="F2F2F2"/>
          </w:tcPr>
          <w:p w14:paraId="294F0ADC" w14:textId="77777777" w:rsidR="00EB6D65" w:rsidRDefault="00000000">
            <w:r>
              <w:t>2026 fee (CAD)</w:t>
            </w:r>
          </w:p>
        </w:tc>
        <w:tc>
          <w:tcPr>
            <w:tcW w:w="2116" w:type="dxa"/>
            <w:shd w:val="clear" w:color="auto" w:fill="F2F2F2"/>
          </w:tcPr>
          <w:p w14:paraId="5860702A" w14:textId="77777777" w:rsidR="00EB6D65" w:rsidRDefault="00000000">
            <w:r>
              <w:t>From 1 Jan 2027 (CAD)</w:t>
            </w:r>
          </w:p>
        </w:tc>
        <w:tc>
          <w:tcPr>
            <w:tcW w:w="1613" w:type="dxa"/>
            <w:shd w:val="clear" w:color="auto" w:fill="F2F2F2"/>
          </w:tcPr>
          <w:p w14:paraId="06BBD7B9" w14:textId="77777777" w:rsidR="00EB6D65" w:rsidRDefault="00000000">
            <w:r>
              <w:t>Notes</w:t>
            </w:r>
          </w:p>
        </w:tc>
      </w:tr>
      <w:tr w:rsidR="00EB6D65" w14:paraId="67282CD5" w14:textId="77777777">
        <w:tc>
          <w:tcPr>
            <w:tcW w:w="3813" w:type="dxa"/>
          </w:tcPr>
          <w:p w14:paraId="59E9CCAD" w14:textId="77777777" w:rsidR="00EB6D65" w:rsidRDefault="00000000">
            <w:r>
              <w:t>Renewal, first class, filed online</w:t>
            </w:r>
          </w:p>
        </w:tc>
        <w:tc>
          <w:tcPr>
            <w:tcW w:w="1817" w:type="dxa"/>
          </w:tcPr>
          <w:p w14:paraId="795DE42F" w14:textId="77777777" w:rsidR="00EB6D65" w:rsidRDefault="00000000">
            <w:r>
              <w:t>595.06</w:t>
            </w:r>
          </w:p>
        </w:tc>
        <w:tc>
          <w:tcPr>
            <w:tcW w:w="2116" w:type="dxa"/>
          </w:tcPr>
          <w:p w14:paraId="2207C906" w14:textId="77777777" w:rsidR="00EB6D65" w:rsidRDefault="00000000">
            <w:r>
              <w:t>605.18</w:t>
            </w:r>
          </w:p>
        </w:tc>
        <w:tc>
          <w:tcPr>
            <w:tcW w:w="1613" w:type="dxa"/>
          </w:tcPr>
          <w:p w14:paraId="1FB7BF07" w14:textId="77777777" w:rsidR="00EB6D65" w:rsidRDefault="00000000">
            <w:r>
              <w:t>Mandatory every 10 years</w:t>
            </w:r>
          </w:p>
        </w:tc>
      </w:tr>
      <w:tr w:rsidR="00EB6D65" w14:paraId="75F64986" w14:textId="77777777">
        <w:tc>
          <w:tcPr>
            <w:tcW w:w="3813" w:type="dxa"/>
          </w:tcPr>
          <w:p w14:paraId="0B4CD78D" w14:textId="77777777" w:rsidR="00EB6D65" w:rsidRDefault="00000000">
            <w:r>
              <w:t>Renewal, first class, other means</w:t>
            </w:r>
          </w:p>
        </w:tc>
        <w:tc>
          <w:tcPr>
            <w:tcW w:w="1817" w:type="dxa"/>
          </w:tcPr>
          <w:p w14:paraId="1DF5EC7B" w14:textId="77777777" w:rsidR="00EB6D65" w:rsidRDefault="00000000">
            <w:r>
              <w:t>744.10</w:t>
            </w:r>
          </w:p>
        </w:tc>
        <w:tc>
          <w:tcPr>
            <w:tcW w:w="2116" w:type="dxa"/>
          </w:tcPr>
          <w:p w14:paraId="7E7DDD42" w14:textId="77777777" w:rsidR="00EB6D65" w:rsidRDefault="00000000">
            <w:r>
              <w:t>756.75</w:t>
            </w:r>
          </w:p>
        </w:tc>
        <w:tc>
          <w:tcPr>
            <w:tcW w:w="1613" w:type="dxa"/>
          </w:tcPr>
          <w:p w14:paraId="3D9E1E1E" w14:textId="77777777" w:rsidR="00EB6D65" w:rsidRDefault="00EB6D65"/>
        </w:tc>
      </w:tr>
      <w:tr w:rsidR="00EB6D65" w14:paraId="49FB18FC" w14:textId="77777777">
        <w:tc>
          <w:tcPr>
            <w:tcW w:w="3813" w:type="dxa"/>
          </w:tcPr>
          <w:p w14:paraId="046F97B7" w14:textId="77777777" w:rsidR="00EB6D65" w:rsidRDefault="00000000">
            <w:r>
              <w:lastRenderedPageBreak/>
              <w:t>Renewal, each additional class</w:t>
            </w:r>
          </w:p>
        </w:tc>
        <w:tc>
          <w:tcPr>
            <w:tcW w:w="1817" w:type="dxa"/>
          </w:tcPr>
          <w:p w14:paraId="481BE8AC" w14:textId="77777777" w:rsidR="00EB6D65" w:rsidRDefault="00000000">
            <w:r>
              <w:t>185.49</w:t>
            </w:r>
          </w:p>
        </w:tc>
        <w:tc>
          <w:tcPr>
            <w:tcW w:w="2116" w:type="dxa"/>
          </w:tcPr>
          <w:p w14:paraId="71B9FA3B" w14:textId="77777777" w:rsidR="00EB6D65" w:rsidRDefault="00000000">
            <w:r>
              <w:t>188.64</w:t>
            </w:r>
          </w:p>
        </w:tc>
        <w:tc>
          <w:tcPr>
            <w:tcW w:w="1613" w:type="dxa"/>
          </w:tcPr>
          <w:p w14:paraId="06C18AEB" w14:textId="77777777" w:rsidR="00EB6D65" w:rsidRDefault="00EB6D65"/>
        </w:tc>
      </w:tr>
    </w:tbl>
    <w:p w14:paraId="40FA5D8E" w14:textId="77777777" w:rsidR="00EB6D65" w:rsidRDefault="00000000">
      <w:r>
        <w:rPr>
          <w:b/>
        </w:rPr>
        <w:t>Renewal window.</w:t>
      </w:r>
      <w:r>
        <w:t xml:space="preserve"> Payment can be made from 6 months before the end of the initial or renewal period. It closes at the later of 6 months after that period ends, or 2 months after the Registrar's reminder notice. If the fee is not paid in time, the registration is expunged and treated as expired at the end of the period.</w:t>
      </w:r>
    </w:p>
    <w:p w14:paraId="5FE3DA8A" w14:textId="77777777" w:rsidR="00EB6D65" w:rsidRDefault="00000000">
      <w:pPr>
        <w:pStyle w:val="Heading3"/>
      </w:pPr>
      <w:r>
        <w:t>8.3 Non-Use Challenge (Section 45)</w:t>
      </w:r>
    </w:p>
    <w:p w14:paraId="4343C4B0" w14:textId="77777777" w:rsidR="00EB6D65" w:rsidRDefault="00000000">
      <w:pPr>
        <w:pStyle w:val="ListParagraph"/>
        <w:numPr>
          <w:ilvl w:val="0"/>
          <w:numId w:val="6"/>
        </w:numPr>
      </w:pPr>
      <w:r>
        <w:t>After 3 years from the registration date, the Registrar can issue a notice on its own initiative, or on request from any person who pays the fee (Section 6.2).</w:t>
      </w:r>
    </w:p>
    <w:p w14:paraId="19DD64A3" w14:textId="77777777" w:rsidR="00EB6D65" w:rsidRDefault="00000000">
      <w:pPr>
        <w:pStyle w:val="ListParagraph"/>
        <w:numPr>
          <w:ilvl w:val="0"/>
          <w:numId w:val="6"/>
        </w:numPr>
      </w:pPr>
      <w:r>
        <w:t>The owner has 3 months to file an affidavit or statutory declaration showing use of the mark in Canada during the 3 years before the notice.</w:t>
      </w:r>
    </w:p>
    <w:p w14:paraId="5D6A8CBE" w14:textId="77777777" w:rsidR="00EB6D65" w:rsidRDefault="00000000">
      <w:pPr>
        <w:pStyle w:val="ListParagraph"/>
        <w:numPr>
          <w:ilvl w:val="0"/>
          <w:numId w:val="6"/>
        </w:numPr>
      </w:pPr>
      <w:r>
        <w:t>If there was no use, and no special circumstances excuse it, the registration can be expunged or amended.</w:t>
      </w:r>
    </w:p>
    <w:p w14:paraId="5BA63275" w14:textId="77777777" w:rsidR="00EB6D65" w:rsidRDefault="00000000">
      <w:pPr>
        <w:pStyle w:val="ListParagraph"/>
        <w:numPr>
          <w:ilvl w:val="0"/>
          <w:numId w:val="6"/>
        </w:numPr>
      </w:pPr>
      <w:r>
        <w:t>Registrar decisions can be appealed to the Federal Court of Canada.</w:t>
      </w:r>
    </w:p>
    <w:p w14:paraId="33AFDAE2" w14:textId="6EBD7B04" w:rsidR="00EB6D65" w:rsidRDefault="00000000" w:rsidP="00E464D6">
      <w:pPr>
        <w:pStyle w:val="ListParagraph"/>
        <w:numPr>
          <w:ilvl w:val="0"/>
          <w:numId w:val="6"/>
        </w:numPr>
      </w:pPr>
      <w:r>
        <w:t>A registration can also be expunged for other reasons, such as abandonment or loss of distinctiveness.</w:t>
      </w:r>
      <w:r w:rsidR="00E464D6">
        <w:t xml:space="preserve"> </w:t>
      </w:r>
    </w:p>
    <w:sectPr w:rsidR="00EB6D6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411B4F"/>
    <w:multiLevelType w:val="hybridMultilevel"/>
    <w:tmpl w:val="9FC8391E"/>
    <w:lvl w:ilvl="0" w:tplc="80FEFE52">
      <w:start w:val="1"/>
      <w:numFmt w:val="bullet"/>
      <w:lvlText w:val="•"/>
      <w:lvlJc w:val="left"/>
      <w:pPr>
        <w:ind w:left="720" w:hanging="360"/>
      </w:pPr>
    </w:lvl>
    <w:lvl w:ilvl="1" w:tplc="4C269FEA">
      <w:start w:val="1"/>
      <w:numFmt w:val="bullet"/>
      <w:lvlText w:val="o"/>
      <w:lvlJc w:val="left"/>
      <w:pPr>
        <w:ind w:left="1440" w:hanging="360"/>
      </w:pPr>
    </w:lvl>
    <w:lvl w:ilvl="2" w:tplc="7D742D58">
      <w:start w:val="1"/>
      <w:numFmt w:val="bullet"/>
      <w:lvlText w:val="▪"/>
      <w:lvlJc w:val="left"/>
      <w:pPr>
        <w:ind w:left="2160" w:hanging="360"/>
      </w:pPr>
    </w:lvl>
    <w:lvl w:ilvl="3" w:tplc="042ECD4C">
      <w:start w:val="1"/>
      <w:numFmt w:val="bullet"/>
      <w:lvlText w:val="•"/>
      <w:lvlJc w:val="left"/>
      <w:pPr>
        <w:ind w:left="2880" w:hanging="360"/>
      </w:pPr>
    </w:lvl>
    <w:lvl w:ilvl="4" w:tplc="93687C50">
      <w:start w:val="1"/>
      <w:numFmt w:val="bullet"/>
      <w:lvlText w:val="o"/>
      <w:lvlJc w:val="left"/>
      <w:pPr>
        <w:ind w:left="3600" w:hanging="360"/>
      </w:pPr>
    </w:lvl>
    <w:lvl w:ilvl="5" w:tplc="93EEA3B2">
      <w:start w:val="1"/>
      <w:numFmt w:val="bullet"/>
      <w:lvlText w:val="▪"/>
      <w:lvlJc w:val="left"/>
      <w:pPr>
        <w:ind w:left="4320" w:hanging="360"/>
      </w:pPr>
    </w:lvl>
    <w:lvl w:ilvl="6" w:tplc="529ED764">
      <w:start w:val="1"/>
      <w:numFmt w:val="bullet"/>
      <w:lvlText w:val="•"/>
      <w:lvlJc w:val="left"/>
      <w:pPr>
        <w:ind w:left="5040" w:hanging="360"/>
      </w:pPr>
    </w:lvl>
    <w:lvl w:ilvl="7" w:tplc="C85C28D4">
      <w:start w:val="1"/>
      <w:numFmt w:val="bullet"/>
      <w:lvlText w:val="o"/>
      <w:lvlJc w:val="left"/>
      <w:pPr>
        <w:ind w:left="5760" w:hanging="360"/>
      </w:pPr>
    </w:lvl>
    <w:lvl w:ilvl="8" w:tplc="C98A4F46">
      <w:start w:val="1"/>
      <w:numFmt w:val="bullet"/>
      <w:lvlText w:val="▪"/>
      <w:lvlJc w:val="left"/>
      <w:pPr>
        <w:ind w:left="6480" w:hanging="360"/>
      </w:pPr>
    </w:lvl>
  </w:abstractNum>
  <w:abstractNum w:abstractNumId="1" w15:restartNumberingAfterBreak="0">
    <w:nsid w:val="633C4F24"/>
    <w:multiLevelType w:val="hybridMultilevel"/>
    <w:tmpl w:val="ABF0ABA8"/>
    <w:lvl w:ilvl="0" w:tplc="F09E6BEC">
      <w:start w:val="1"/>
      <w:numFmt w:val="decimal"/>
      <w:lvlText w:val="%1."/>
      <w:lvlJc w:val="left"/>
      <w:pPr>
        <w:ind w:left="720" w:hanging="360"/>
      </w:pPr>
    </w:lvl>
    <w:lvl w:ilvl="1" w:tplc="971EDB54">
      <w:start w:val="1"/>
      <w:numFmt w:val="lowerLetter"/>
      <w:lvlText w:val="%2."/>
      <w:lvlJc w:val="left"/>
      <w:pPr>
        <w:ind w:left="1440" w:hanging="360"/>
      </w:pPr>
    </w:lvl>
    <w:lvl w:ilvl="2" w:tplc="A05A2A9E">
      <w:start w:val="1"/>
      <w:numFmt w:val="lowerRoman"/>
      <w:lvlText w:val="%3."/>
      <w:lvlJc w:val="left"/>
      <w:pPr>
        <w:ind w:left="2160" w:hanging="360"/>
      </w:pPr>
    </w:lvl>
    <w:lvl w:ilvl="3" w:tplc="520E3B7E">
      <w:start w:val="1"/>
      <w:numFmt w:val="decimal"/>
      <w:lvlText w:val="%4."/>
      <w:lvlJc w:val="left"/>
      <w:pPr>
        <w:ind w:left="2880" w:hanging="360"/>
      </w:pPr>
    </w:lvl>
    <w:lvl w:ilvl="4" w:tplc="C936DAE4">
      <w:start w:val="1"/>
      <w:numFmt w:val="lowerLetter"/>
      <w:lvlText w:val="%5."/>
      <w:lvlJc w:val="left"/>
      <w:pPr>
        <w:ind w:left="3600" w:hanging="360"/>
      </w:pPr>
    </w:lvl>
    <w:lvl w:ilvl="5" w:tplc="F2B0FB92">
      <w:start w:val="1"/>
      <w:numFmt w:val="lowerRoman"/>
      <w:lvlText w:val="%6."/>
      <w:lvlJc w:val="left"/>
      <w:pPr>
        <w:ind w:left="4320" w:hanging="360"/>
      </w:pPr>
    </w:lvl>
    <w:lvl w:ilvl="6" w:tplc="A0FEBD2A">
      <w:start w:val="1"/>
      <w:numFmt w:val="decimal"/>
      <w:lvlText w:val="%7."/>
      <w:lvlJc w:val="left"/>
      <w:pPr>
        <w:ind w:left="5040" w:hanging="360"/>
      </w:pPr>
    </w:lvl>
    <w:lvl w:ilvl="7" w:tplc="A2201BEA">
      <w:start w:val="1"/>
      <w:numFmt w:val="lowerLetter"/>
      <w:lvlText w:val="%8."/>
      <w:lvlJc w:val="left"/>
      <w:pPr>
        <w:ind w:left="5760" w:hanging="360"/>
      </w:pPr>
    </w:lvl>
    <w:lvl w:ilvl="8" w:tplc="2C066C14">
      <w:start w:val="1"/>
      <w:numFmt w:val="lowerRoman"/>
      <w:lvlText w:val="%9."/>
      <w:lvlJc w:val="left"/>
      <w:pPr>
        <w:ind w:left="6480" w:hanging="360"/>
      </w:pPr>
    </w:lvl>
  </w:abstractNum>
  <w:num w:numId="1" w16cid:durableId="65420708">
    <w:abstractNumId w:val="0"/>
  </w:num>
  <w:num w:numId="2" w16cid:durableId="1388334766">
    <w:abstractNumId w:val="0"/>
  </w:num>
  <w:num w:numId="3" w16cid:durableId="1559635019">
    <w:abstractNumId w:val="1"/>
    <w:lvlOverride w:ilvl="0">
      <w:startOverride w:val="1"/>
    </w:lvlOverride>
  </w:num>
  <w:num w:numId="4" w16cid:durableId="138769419">
    <w:abstractNumId w:val="0"/>
  </w:num>
  <w:num w:numId="5" w16cid:durableId="667752445">
    <w:abstractNumId w:val="0"/>
  </w:num>
  <w:num w:numId="6" w16cid:durableId="1961180077">
    <w:abstractNumId w:val="0"/>
  </w:num>
  <w:num w:numId="7" w16cid:durableId="1960795049">
    <w:abstractNumId w:val="0"/>
  </w:num>
  <w:num w:numId="8" w16cid:durableId="1365597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D65"/>
    <w:rsid w:val="00473E0D"/>
    <w:rsid w:val="00660596"/>
    <w:rsid w:val="00921CAD"/>
    <w:rsid w:val="009746A1"/>
    <w:rsid w:val="00B40B50"/>
    <w:rsid w:val="00D70C0D"/>
    <w:rsid w:val="00E464D6"/>
    <w:rsid w:val="00EB6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B045E"/>
  <w15:docId w15:val="{7F44B9DE-B762-43AE-B976-12E8A59CA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azette.gc.ca/rp-pr/p2/2018/2018-11-14/html/sor-dors227-eng.html" TargetMode="External"/><Relationship Id="rId5" Type="http://schemas.openxmlformats.org/officeDocument/2006/relationships/hyperlink" Target="https://laws-lois.justice.gc.ca/eng/acts/t-1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1626</Words>
  <Characters>9273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Canada Trademark Registration Complete Country Practice Guide</vt:lpstr>
    </vt:vector>
  </TitlesOfParts>
  <Company/>
  <LinksUpToDate>false</LinksUpToDate>
  <CharactersWithSpaces>10878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Canada Trademark Registration Complete Country Practice Guide</dc:title>
  <dc:creator>Riya Gupta</dc:creator>
  <dc:description>Claude Docs node/f4dd5628-7104@12 docx-w7</dc:description>
  <cp:lastModifiedBy>riyagupta0712@outlook.com</cp:lastModifiedBy>
  <cp:revision>2</cp:revision>
  <dcterms:created xsi:type="dcterms:W3CDTF">2026-10-20T18:50:00Z</dcterms:created>
  <dcterms:modified xsi:type="dcterms:W3CDTF">2026-10-20T18:50:00Z</dcterms:modified>
</cp:coreProperties>
</file>