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3148" w14:textId="7E210FEC" w:rsidR="00663F33" w:rsidRDefault="00000000" w:rsidP="00574DDD">
      <w:pPr>
        <w:pStyle w:val="Heading1"/>
      </w:pPr>
      <w:r>
        <w:t>USA Trademark Registration: Complete Country Practice Guide</w:t>
      </w:r>
    </w:p>
    <w:p w14:paraId="4781DC6C" w14:textId="77777777" w:rsidR="00574DDD" w:rsidRPr="00574DDD" w:rsidRDefault="00574DDD" w:rsidP="00574DDD"/>
    <w:p w14:paraId="5DFE7FD4" w14:textId="77777777" w:rsidR="00663F33" w:rsidRDefault="00000000">
      <w:pPr>
        <w:pStyle w:val="Quote"/>
      </w:pPr>
      <w:r>
        <w:rPr>
          <w:b/>
        </w:rPr>
        <w:t>Note:</w:t>
      </w:r>
      <w:r>
        <w:t xml:space="preserve"> This page gives general information about US trademark registration and is not legal advice. Reading it does not create an attorney-client relationship. Fees, deadlines and procedures change, and the information here was compiled in October 2026.</w:t>
      </w:r>
    </w:p>
    <w:p w14:paraId="077ADEC8" w14:textId="77777777" w:rsidR="00663F33" w:rsidRDefault="00000000">
      <w:pPr>
        <w:pStyle w:val="Heading2"/>
      </w:pPr>
      <w:r>
        <w:t>At a Glance</w:t>
      </w:r>
    </w:p>
    <w:tbl>
      <w:tblPr>
        <w:tblStyle w:val="TableGrid"/>
        <w:tblW w:w="0" w:type="auto"/>
        <w:tblLayout w:type="fixed"/>
        <w:tblLook w:val="0420" w:firstRow="1" w:lastRow="0" w:firstColumn="0" w:lastColumn="0" w:noHBand="0" w:noVBand="1"/>
      </w:tblPr>
      <w:tblGrid>
        <w:gridCol w:w="3052"/>
        <w:gridCol w:w="6307"/>
      </w:tblGrid>
      <w:tr w:rsidR="00663F33" w14:paraId="67980B25" w14:textId="77777777">
        <w:trPr>
          <w:tblHeader/>
        </w:trPr>
        <w:tc>
          <w:tcPr>
            <w:tcW w:w="3052" w:type="dxa"/>
            <w:shd w:val="clear" w:color="auto" w:fill="F2F2F2"/>
          </w:tcPr>
          <w:p w14:paraId="0FC14E50" w14:textId="77777777" w:rsidR="00663F33" w:rsidRDefault="00000000">
            <w:r>
              <w:t>Item</w:t>
            </w:r>
          </w:p>
        </w:tc>
        <w:tc>
          <w:tcPr>
            <w:tcW w:w="6307" w:type="dxa"/>
            <w:shd w:val="clear" w:color="auto" w:fill="F2F2F2"/>
          </w:tcPr>
          <w:p w14:paraId="05E61A9F" w14:textId="77777777" w:rsidR="00663F33" w:rsidRDefault="00000000">
            <w:r>
              <w:t>Detail</w:t>
            </w:r>
          </w:p>
        </w:tc>
      </w:tr>
      <w:tr w:rsidR="00663F33" w14:paraId="7462A240" w14:textId="77777777">
        <w:tc>
          <w:tcPr>
            <w:tcW w:w="3052" w:type="dxa"/>
          </w:tcPr>
          <w:p w14:paraId="4EF06BEC" w14:textId="77777777" w:rsidR="00663F33" w:rsidRDefault="00000000">
            <w:r>
              <w:t>Jurisdiction</w:t>
            </w:r>
          </w:p>
        </w:tc>
        <w:tc>
          <w:tcPr>
            <w:tcW w:w="6307" w:type="dxa"/>
          </w:tcPr>
          <w:p w14:paraId="786922A2" w14:textId="77777777" w:rsidR="00663F33" w:rsidRDefault="00000000">
            <w:r>
              <w:t>United States of America</w:t>
            </w:r>
          </w:p>
        </w:tc>
      </w:tr>
      <w:tr w:rsidR="00663F33" w14:paraId="33859DE1" w14:textId="77777777">
        <w:tc>
          <w:tcPr>
            <w:tcW w:w="3052" w:type="dxa"/>
          </w:tcPr>
          <w:p w14:paraId="06F765C4" w14:textId="77777777" w:rsidR="00663F33" w:rsidRDefault="00000000">
            <w:r>
              <w:t>Competent authority</w:t>
            </w:r>
          </w:p>
        </w:tc>
        <w:tc>
          <w:tcPr>
            <w:tcW w:w="6307" w:type="dxa"/>
          </w:tcPr>
          <w:p w14:paraId="5C07D510" w14:textId="77777777" w:rsidR="00663F33" w:rsidRDefault="00000000">
            <w:r>
              <w:t>United States Patent and Trademark Office (USPTO)</w:t>
            </w:r>
          </w:p>
        </w:tc>
      </w:tr>
      <w:tr w:rsidR="00663F33" w14:paraId="00E93F5D" w14:textId="77777777">
        <w:tc>
          <w:tcPr>
            <w:tcW w:w="3052" w:type="dxa"/>
          </w:tcPr>
          <w:p w14:paraId="28069D20" w14:textId="77777777" w:rsidR="00663F33" w:rsidRDefault="00000000">
            <w:r>
              <w:t>Primary legislation</w:t>
            </w:r>
          </w:p>
        </w:tc>
        <w:tc>
          <w:tcPr>
            <w:tcW w:w="6307" w:type="dxa"/>
          </w:tcPr>
          <w:p w14:paraId="20C6AD0B" w14:textId="77777777" w:rsidR="00663F33" w:rsidRDefault="00000000">
            <w:r>
              <w:t>Lanham Act, 15 U.S.C. §§ 1051 et seq.</w:t>
            </w:r>
          </w:p>
        </w:tc>
      </w:tr>
      <w:tr w:rsidR="00663F33" w14:paraId="072AAE58" w14:textId="77777777">
        <w:tc>
          <w:tcPr>
            <w:tcW w:w="3052" w:type="dxa"/>
          </w:tcPr>
          <w:p w14:paraId="0F308763" w14:textId="77777777" w:rsidR="00663F33" w:rsidRDefault="00000000">
            <w:r>
              <w:t>International system</w:t>
            </w:r>
          </w:p>
        </w:tc>
        <w:tc>
          <w:tcPr>
            <w:tcW w:w="6307" w:type="dxa"/>
          </w:tcPr>
          <w:p w14:paraId="53C6A812" w14:textId="77777777" w:rsidR="00663F33" w:rsidRDefault="00000000">
            <w:r>
              <w:t>Madrid Protocol (member)</w:t>
            </w:r>
          </w:p>
        </w:tc>
      </w:tr>
      <w:tr w:rsidR="00663F33" w14:paraId="158842D0" w14:textId="77777777">
        <w:tc>
          <w:tcPr>
            <w:tcW w:w="3052" w:type="dxa"/>
          </w:tcPr>
          <w:p w14:paraId="0B6F2211" w14:textId="77777777" w:rsidR="00663F33" w:rsidRDefault="00000000">
            <w:r>
              <w:t>Rights arise from</w:t>
            </w:r>
          </w:p>
        </w:tc>
        <w:tc>
          <w:tcPr>
            <w:tcW w:w="6307" w:type="dxa"/>
          </w:tcPr>
          <w:p w14:paraId="417A8D37" w14:textId="77777777" w:rsidR="00663F33" w:rsidRDefault="00000000">
            <w:r>
              <w:t>Actual use in commerce; federal registration is optional but gives stronger rights</w:t>
            </w:r>
          </w:p>
        </w:tc>
      </w:tr>
      <w:tr w:rsidR="00663F33" w14:paraId="4D5249C9" w14:textId="77777777">
        <w:tc>
          <w:tcPr>
            <w:tcW w:w="3052" w:type="dxa"/>
          </w:tcPr>
          <w:p w14:paraId="2777D226" w14:textId="77777777" w:rsidR="00663F33" w:rsidRDefault="00000000">
            <w:r>
              <w:t>Registration term</w:t>
            </w:r>
          </w:p>
        </w:tc>
        <w:tc>
          <w:tcPr>
            <w:tcW w:w="6307" w:type="dxa"/>
          </w:tcPr>
          <w:p w14:paraId="3AC5B234" w14:textId="77777777" w:rsidR="00663F33" w:rsidRDefault="00000000">
            <w:r>
              <w:t>10 years, renewable for successive 10-year periods</w:t>
            </w:r>
          </w:p>
        </w:tc>
      </w:tr>
      <w:tr w:rsidR="00663F33" w14:paraId="74BF2FDE" w14:textId="77777777">
        <w:tc>
          <w:tcPr>
            <w:tcW w:w="3052" w:type="dxa"/>
          </w:tcPr>
          <w:p w14:paraId="68E57624" w14:textId="77777777" w:rsidR="00663F33" w:rsidRDefault="00000000">
            <w:r>
              <w:t>Foreign applicants</w:t>
            </w:r>
          </w:p>
        </w:tc>
        <w:tc>
          <w:tcPr>
            <w:tcW w:w="6307" w:type="dxa"/>
          </w:tcPr>
          <w:p w14:paraId="45F21FEA" w14:textId="77777777" w:rsidR="00663F33" w:rsidRDefault="00000000">
            <w:r>
              <w:t>Must be represented by a U.S.-licensed attorney</w:t>
            </w:r>
          </w:p>
        </w:tc>
      </w:tr>
      <w:tr w:rsidR="00663F33" w14:paraId="48A4FE2F" w14:textId="77777777">
        <w:tc>
          <w:tcPr>
            <w:tcW w:w="3052" w:type="dxa"/>
          </w:tcPr>
          <w:p w14:paraId="659C4C03" w14:textId="77777777" w:rsidR="00663F33" w:rsidRDefault="00000000">
            <w:r>
              <w:t>Base filing fee</w:t>
            </w:r>
          </w:p>
        </w:tc>
        <w:tc>
          <w:tcPr>
            <w:tcW w:w="6307" w:type="dxa"/>
          </w:tcPr>
          <w:p w14:paraId="381CEC60" w14:textId="77777777" w:rsidR="00663F33" w:rsidRDefault="00000000">
            <w:r>
              <w:t>USD 350 per class</w:t>
            </w:r>
          </w:p>
        </w:tc>
      </w:tr>
      <w:tr w:rsidR="00663F33" w14:paraId="274CEE21" w14:textId="77777777">
        <w:tc>
          <w:tcPr>
            <w:tcW w:w="3052" w:type="dxa"/>
          </w:tcPr>
          <w:p w14:paraId="7CB82CB5" w14:textId="77777777" w:rsidR="00663F33" w:rsidRDefault="00000000">
            <w:r>
              <w:t>Fee currency</w:t>
            </w:r>
          </w:p>
        </w:tc>
        <w:tc>
          <w:tcPr>
            <w:tcW w:w="6307" w:type="dxa"/>
          </w:tcPr>
          <w:p w14:paraId="40982193" w14:textId="77777777" w:rsidR="00663F33" w:rsidRDefault="00000000">
            <w:r>
              <w:t>United States dollars (USD)</w:t>
            </w:r>
          </w:p>
        </w:tc>
      </w:tr>
      <w:tr w:rsidR="00663F33" w14:paraId="789A6DCB" w14:textId="77777777">
        <w:tc>
          <w:tcPr>
            <w:tcW w:w="3052" w:type="dxa"/>
          </w:tcPr>
          <w:p w14:paraId="4D5826C7" w14:textId="77777777" w:rsidR="00663F33" w:rsidRDefault="00000000">
            <w:r>
              <w:t>Last verified</w:t>
            </w:r>
          </w:p>
        </w:tc>
        <w:tc>
          <w:tcPr>
            <w:tcW w:w="6307" w:type="dxa"/>
          </w:tcPr>
          <w:p w14:paraId="49D48260" w14:textId="77777777" w:rsidR="00663F33" w:rsidRDefault="00000000">
            <w:r>
              <w:t>20 October 2026</w:t>
            </w:r>
          </w:p>
        </w:tc>
      </w:tr>
    </w:tbl>
    <w:p w14:paraId="57730B8A" w14:textId="77777777" w:rsidR="00663F33" w:rsidRDefault="00000000">
      <w:pPr>
        <w:pStyle w:val="Heading2"/>
      </w:pPr>
      <w:r>
        <w:t>1. Introduction</w:t>
      </w:r>
    </w:p>
    <w:p w14:paraId="738EA4A4" w14:textId="77777777" w:rsidR="00663F33" w:rsidRDefault="00000000">
      <w:r>
        <w:t>The United States runs a federal trademark system through the USPTO, but rights arise from use of the mark, not from registration. Federal registration is optional and adds nationwide advantages.</w:t>
      </w:r>
    </w:p>
    <w:p w14:paraId="424F1CEB" w14:textId="77777777" w:rsidR="00663F33" w:rsidRDefault="00000000">
      <w:pPr>
        <w:pStyle w:val="Heading3"/>
      </w:pPr>
      <w:r>
        <w:t>1.1 What Is a Trademark?</w:t>
      </w:r>
    </w:p>
    <w:p w14:paraId="7015283A" w14:textId="77777777" w:rsidR="00663F33" w:rsidRDefault="00000000">
      <w:r>
        <w:t xml:space="preserve">A trademark is a word, phrase, symbol, design, or a combination of these that identifies and distinguishes the goods or services of one business from those of others. It lets consumers </w:t>
      </w:r>
      <w:proofErr w:type="spellStart"/>
      <w:r>
        <w:t>recognise</w:t>
      </w:r>
      <w:proofErr w:type="spellEnd"/>
      <w:r>
        <w:t xml:space="preserve"> the commercial source of goods or services and tell them apart from competitors' offerings.</w:t>
      </w:r>
    </w:p>
    <w:p w14:paraId="76B5367F" w14:textId="77777777" w:rsidR="00663F33" w:rsidRDefault="00000000">
      <w:r>
        <w:t>Federal registration with the USPTO provides important statutory advantages, including nationwide constructive notice of ownership, a presumption of validity and ownership, and access to federal enforcement mechanisms, subject to applicable legal limitations.</w:t>
      </w:r>
    </w:p>
    <w:p w14:paraId="20F8A90A" w14:textId="77777777" w:rsidR="00663F33" w:rsidRDefault="00000000">
      <w:pPr>
        <w:pStyle w:val="Heading3"/>
      </w:pPr>
      <w:r>
        <w:lastRenderedPageBreak/>
        <w:t>1.2 Trademark Ownership vs. Federal Registration</w:t>
      </w:r>
    </w:p>
    <w:p w14:paraId="7E79A4B1" w14:textId="77777777" w:rsidR="00663F33" w:rsidRDefault="00000000">
      <w:r>
        <w:t>Trademark rights in the United States arise through actual use of a mark in commerce in connection with particular goods or services. Rights in an unregistered mark are generally more limited and restricted to the geographic area in which the goods or services are provided.</w:t>
      </w:r>
    </w:p>
    <w:tbl>
      <w:tblPr>
        <w:tblStyle w:val="TableGrid"/>
        <w:tblW w:w="0" w:type="auto"/>
        <w:tblLayout w:type="fixed"/>
        <w:tblLook w:val="0420" w:firstRow="1" w:lastRow="0" w:firstColumn="0" w:lastColumn="0" w:noHBand="0" w:noVBand="1"/>
      </w:tblPr>
      <w:tblGrid>
        <w:gridCol w:w="2057"/>
        <w:gridCol w:w="2383"/>
        <w:gridCol w:w="4920"/>
      </w:tblGrid>
      <w:tr w:rsidR="00663F33" w14:paraId="3566EB55" w14:textId="77777777">
        <w:trPr>
          <w:tblHeader/>
        </w:trPr>
        <w:tc>
          <w:tcPr>
            <w:tcW w:w="2057" w:type="dxa"/>
            <w:shd w:val="clear" w:color="auto" w:fill="F2F2F2"/>
          </w:tcPr>
          <w:p w14:paraId="1BB0261F" w14:textId="77777777" w:rsidR="00663F33" w:rsidRDefault="00000000">
            <w:r>
              <w:t>Aspect</w:t>
            </w:r>
          </w:p>
        </w:tc>
        <w:tc>
          <w:tcPr>
            <w:tcW w:w="2383" w:type="dxa"/>
            <w:shd w:val="clear" w:color="auto" w:fill="F2F2F2"/>
          </w:tcPr>
          <w:p w14:paraId="4FB324A4" w14:textId="77777777" w:rsidR="00663F33" w:rsidRDefault="00000000">
            <w:r>
              <w:t>Unregistered (use-based) rights</w:t>
            </w:r>
          </w:p>
        </w:tc>
        <w:tc>
          <w:tcPr>
            <w:tcW w:w="4920" w:type="dxa"/>
            <w:shd w:val="clear" w:color="auto" w:fill="F2F2F2"/>
          </w:tcPr>
          <w:p w14:paraId="269175F4" w14:textId="77777777" w:rsidR="00663F33" w:rsidRDefault="00000000">
            <w:r>
              <w:t>Federal registration (USPTO)</w:t>
            </w:r>
          </w:p>
        </w:tc>
      </w:tr>
      <w:tr w:rsidR="00663F33" w14:paraId="49B75C87" w14:textId="77777777">
        <w:tc>
          <w:tcPr>
            <w:tcW w:w="2057" w:type="dxa"/>
          </w:tcPr>
          <w:p w14:paraId="485EDF9D" w14:textId="77777777" w:rsidR="00663F33" w:rsidRDefault="00000000">
            <w:r>
              <w:t>How rights arise</w:t>
            </w:r>
          </w:p>
        </w:tc>
        <w:tc>
          <w:tcPr>
            <w:tcW w:w="2383" w:type="dxa"/>
          </w:tcPr>
          <w:p w14:paraId="7AB56BAA" w14:textId="77777777" w:rsidR="00663F33" w:rsidRDefault="00000000">
            <w:r>
              <w:t>Actual use in commerce</w:t>
            </w:r>
          </w:p>
        </w:tc>
        <w:tc>
          <w:tcPr>
            <w:tcW w:w="4920" w:type="dxa"/>
          </w:tcPr>
          <w:p w14:paraId="1CF04C99" w14:textId="77777777" w:rsidR="00663F33" w:rsidRDefault="00000000">
            <w:r>
              <w:t>Use plus USPTO examination and registration</w:t>
            </w:r>
          </w:p>
        </w:tc>
      </w:tr>
      <w:tr w:rsidR="00663F33" w14:paraId="79BF87EB" w14:textId="77777777">
        <w:tc>
          <w:tcPr>
            <w:tcW w:w="2057" w:type="dxa"/>
          </w:tcPr>
          <w:p w14:paraId="1A6583CF" w14:textId="77777777" w:rsidR="00663F33" w:rsidRDefault="00000000">
            <w:r>
              <w:t>Geographic scope</w:t>
            </w:r>
          </w:p>
        </w:tc>
        <w:tc>
          <w:tcPr>
            <w:tcW w:w="2383" w:type="dxa"/>
          </w:tcPr>
          <w:p w14:paraId="437E4ABB" w14:textId="77777777" w:rsidR="00663F33" w:rsidRDefault="00000000">
            <w:r>
              <w:t>Generally limited to the area of use</w:t>
            </w:r>
          </w:p>
        </w:tc>
        <w:tc>
          <w:tcPr>
            <w:tcW w:w="4920" w:type="dxa"/>
          </w:tcPr>
          <w:p w14:paraId="5F05BA0E" w14:textId="77777777" w:rsidR="00663F33" w:rsidRDefault="00000000">
            <w:r>
              <w:t>Nationwide constructive notice of the registrant's claim of ownership</w:t>
            </w:r>
          </w:p>
        </w:tc>
      </w:tr>
      <w:tr w:rsidR="00663F33" w14:paraId="45F9A9BA" w14:textId="77777777">
        <w:tc>
          <w:tcPr>
            <w:tcW w:w="2057" w:type="dxa"/>
          </w:tcPr>
          <w:p w14:paraId="43CE4499" w14:textId="77777777" w:rsidR="00663F33" w:rsidRDefault="00000000">
            <w:r>
              <w:t>Presumptions</w:t>
            </w:r>
          </w:p>
        </w:tc>
        <w:tc>
          <w:tcPr>
            <w:tcW w:w="2383" w:type="dxa"/>
          </w:tcPr>
          <w:p w14:paraId="5B2A6FBB" w14:textId="77777777" w:rsidR="00663F33" w:rsidRDefault="00000000">
            <w:r>
              <w:t>None by registration</w:t>
            </w:r>
          </w:p>
        </w:tc>
        <w:tc>
          <w:tcPr>
            <w:tcW w:w="4920" w:type="dxa"/>
          </w:tcPr>
          <w:p w14:paraId="060D4416" w14:textId="77777777" w:rsidR="00663F33" w:rsidRDefault="00000000">
            <w:r>
              <w:t>Presumption of validity and ownership, subject to legal limitations</w:t>
            </w:r>
          </w:p>
        </w:tc>
      </w:tr>
      <w:tr w:rsidR="00663F33" w14:paraId="45B7BDB2" w14:textId="77777777">
        <w:tc>
          <w:tcPr>
            <w:tcW w:w="2057" w:type="dxa"/>
          </w:tcPr>
          <w:p w14:paraId="15F12515" w14:textId="77777777" w:rsidR="00663F33" w:rsidRDefault="00000000">
            <w:r>
              <w:t>Enforcement</w:t>
            </w:r>
          </w:p>
        </w:tc>
        <w:tc>
          <w:tcPr>
            <w:tcW w:w="2383" w:type="dxa"/>
          </w:tcPr>
          <w:p w14:paraId="5F28484E" w14:textId="77777777" w:rsidR="00663F33" w:rsidRDefault="00000000">
            <w:r>
              <w:t>Limited</w:t>
            </w:r>
          </w:p>
        </w:tc>
        <w:tc>
          <w:tcPr>
            <w:tcW w:w="4920" w:type="dxa"/>
          </w:tcPr>
          <w:p w14:paraId="276AC296" w14:textId="77777777" w:rsidR="00663F33" w:rsidRDefault="00000000">
            <w:r>
              <w:t>Access to federal enforcement mechanisms</w:t>
            </w:r>
          </w:p>
        </w:tc>
      </w:tr>
      <w:tr w:rsidR="00663F33" w14:paraId="2D0D312D" w14:textId="77777777">
        <w:tc>
          <w:tcPr>
            <w:tcW w:w="2057" w:type="dxa"/>
          </w:tcPr>
          <w:p w14:paraId="34F54143" w14:textId="77777777" w:rsidR="00663F33" w:rsidRDefault="00000000">
            <w:r>
              <w:t>Mandatory?</w:t>
            </w:r>
          </w:p>
        </w:tc>
        <w:tc>
          <w:tcPr>
            <w:tcW w:w="2383" w:type="dxa"/>
          </w:tcPr>
          <w:p w14:paraId="3FD57AE3" w14:textId="77777777" w:rsidR="00663F33" w:rsidRDefault="00000000">
            <w:r>
              <w:t>n/a</w:t>
            </w:r>
          </w:p>
        </w:tc>
        <w:tc>
          <w:tcPr>
            <w:tcW w:w="4920" w:type="dxa"/>
          </w:tcPr>
          <w:p w14:paraId="7BD81E3E" w14:textId="77777777" w:rsidR="00663F33" w:rsidRDefault="00000000">
            <w:r>
              <w:t>No, but strongly advantageous</w:t>
            </w:r>
          </w:p>
        </w:tc>
      </w:tr>
    </w:tbl>
    <w:p w14:paraId="6E24608A" w14:textId="77777777" w:rsidR="00663F33" w:rsidRDefault="00000000">
      <w:pPr>
        <w:pStyle w:val="Heading3"/>
      </w:pPr>
      <w:r>
        <w:t>1.3 Trademark Symbols: TM, SM and ®</w:t>
      </w:r>
    </w:p>
    <w:p w14:paraId="04987C22" w14:textId="77777777" w:rsidR="00663F33" w:rsidRDefault="00000000">
      <w:r>
        <w:t>Symbols tell consumers and competitors that a business claims rights in a mark. The right symbol depends on the nature and registration status of the mark.</w:t>
      </w:r>
    </w:p>
    <w:tbl>
      <w:tblPr>
        <w:tblStyle w:val="TableGrid"/>
        <w:tblW w:w="0" w:type="auto"/>
        <w:tblLayout w:type="fixed"/>
        <w:tblLook w:val="0420" w:firstRow="1" w:lastRow="0" w:firstColumn="0" w:lastColumn="0" w:noHBand="0" w:noVBand="1"/>
      </w:tblPr>
      <w:tblGrid>
        <w:gridCol w:w="1034"/>
        <w:gridCol w:w="1472"/>
        <w:gridCol w:w="3439"/>
        <w:gridCol w:w="3413"/>
      </w:tblGrid>
      <w:tr w:rsidR="00663F33" w14:paraId="0281605C" w14:textId="77777777">
        <w:trPr>
          <w:tblHeader/>
        </w:trPr>
        <w:tc>
          <w:tcPr>
            <w:tcW w:w="1034" w:type="dxa"/>
            <w:shd w:val="clear" w:color="auto" w:fill="F2F2F2"/>
          </w:tcPr>
          <w:p w14:paraId="68DECA57" w14:textId="77777777" w:rsidR="00663F33" w:rsidRDefault="00000000">
            <w:r>
              <w:t>Symbol</w:t>
            </w:r>
          </w:p>
        </w:tc>
        <w:tc>
          <w:tcPr>
            <w:tcW w:w="1472" w:type="dxa"/>
            <w:shd w:val="clear" w:color="auto" w:fill="F2F2F2"/>
          </w:tcPr>
          <w:p w14:paraId="460548F7" w14:textId="77777777" w:rsidR="00663F33" w:rsidRDefault="00000000">
            <w:r>
              <w:t>Name</w:t>
            </w:r>
          </w:p>
        </w:tc>
        <w:tc>
          <w:tcPr>
            <w:tcW w:w="3439" w:type="dxa"/>
            <w:shd w:val="clear" w:color="auto" w:fill="F2F2F2"/>
          </w:tcPr>
          <w:p w14:paraId="53CD1202" w14:textId="77777777" w:rsidR="00663F33" w:rsidRDefault="00000000">
            <w:r>
              <w:t>Used for</w:t>
            </w:r>
          </w:p>
        </w:tc>
        <w:tc>
          <w:tcPr>
            <w:tcW w:w="3413" w:type="dxa"/>
            <w:shd w:val="clear" w:color="auto" w:fill="F2F2F2"/>
          </w:tcPr>
          <w:p w14:paraId="7D38AE3D" w14:textId="77777777" w:rsidR="00663F33" w:rsidRDefault="00000000">
            <w:r>
              <w:t>Registration needed?</w:t>
            </w:r>
          </w:p>
        </w:tc>
      </w:tr>
      <w:tr w:rsidR="00663F33" w14:paraId="1AB5A56C" w14:textId="77777777">
        <w:tc>
          <w:tcPr>
            <w:tcW w:w="1034" w:type="dxa"/>
          </w:tcPr>
          <w:p w14:paraId="385A6930" w14:textId="77777777" w:rsidR="00663F33" w:rsidRDefault="00000000">
            <w:r>
              <w:t>TM</w:t>
            </w:r>
          </w:p>
        </w:tc>
        <w:tc>
          <w:tcPr>
            <w:tcW w:w="1472" w:type="dxa"/>
          </w:tcPr>
          <w:p w14:paraId="7F822004" w14:textId="77777777" w:rsidR="00663F33" w:rsidRDefault="00000000">
            <w:r>
              <w:t>Trademark</w:t>
            </w:r>
          </w:p>
        </w:tc>
        <w:tc>
          <w:tcPr>
            <w:tcW w:w="3439" w:type="dxa"/>
          </w:tcPr>
          <w:p w14:paraId="3E133888" w14:textId="77777777" w:rsidR="00663F33" w:rsidRDefault="00000000">
            <w:r>
              <w:t>Goods; signals a claim of trademark rights</w:t>
            </w:r>
          </w:p>
        </w:tc>
        <w:tc>
          <w:tcPr>
            <w:tcW w:w="3413" w:type="dxa"/>
          </w:tcPr>
          <w:p w14:paraId="026C95A6" w14:textId="77777777" w:rsidR="00663F33" w:rsidRDefault="00000000">
            <w:r>
              <w:t>No. May be used even if no application has been filed</w:t>
            </w:r>
          </w:p>
        </w:tc>
      </w:tr>
      <w:tr w:rsidR="00663F33" w14:paraId="2AED8C55" w14:textId="77777777">
        <w:tc>
          <w:tcPr>
            <w:tcW w:w="1034" w:type="dxa"/>
          </w:tcPr>
          <w:p w14:paraId="4597E8D8" w14:textId="77777777" w:rsidR="00663F33" w:rsidRDefault="00000000">
            <w:r>
              <w:t>SM</w:t>
            </w:r>
          </w:p>
        </w:tc>
        <w:tc>
          <w:tcPr>
            <w:tcW w:w="1472" w:type="dxa"/>
          </w:tcPr>
          <w:p w14:paraId="6FCC7152" w14:textId="77777777" w:rsidR="00663F33" w:rsidRDefault="00000000">
            <w:r>
              <w:t>Service Mark</w:t>
            </w:r>
          </w:p>
        </w:tc>
        <w:tc>
          <w:tcPr>
            <w:tcW w:w="3439" w:type="dxa"/>
          </w:tcPr>
          <w:p w14:paraId="1124423D" w14:textId="77777777" w:rsidR="00663F33" w:rsidRDefault="00000000">
            <w:r>
              <w:t>Services; signals a claim of service-mark rights</w:t>
            </w:r>
          </w:p>
        </w:tc>
        <w:tc>
          <w:tcPr>
            <w:tcW w:w="3413" w:type="dxa"/>
          </w:tcPr>
          <w:p w14:paraId="370DE3EB" w14:textId="029C0536" w:rsidR="00663F33" w:rsidRDefault="00000000">
            <w:r>
              <w:t>No</w:t>
            </w:r>
            <w:r w:rsidR="00574DDD">
              <w:t xml:space="preserve">. </w:t>
            </w:r>
            <w:r w:rsidR="00574DDD">
              <w:t>May be used even if no application has been filed</w:t>
            </w:r>
          </w:p>
        </w:tc>
      </w:tr>
      <w:tr w:rsidR="00663F33" w14:paraId="63F716D9" w14:textId="77777777">
        <w:tc>
          <w:tcPr>
            <w:tcW w:w="1034" w:type="dxa"/>
          </w:tcPr>
          <w:p w14:paraId="762D6A2C" w14:textId="77777777" w:rsidR="00663F33" w:rsidRDefault="00000000">
            <w:r>
              <w:t>®</w:t>
            </w:r>
          </w:p>
        </w:tc>
        <w:tc>
          <w:tcPr>
            <w:tcW w:w="1472" w:type="dxa"/>
          </w:tcPr>
          <w:p w14:paraId="474F1D42" w14:textId="77777777" w:rsidR="00663F33" w:rsidRDefault="00000000">
            <w:r>
              <w:t>Registered Trademark</w:t>
            </w:r>
          </w:p>
        </w:tc>
        <w:tc>
          <w:tcPr>
            <w:tcW w:w="3439" w:type="dxa"/>
          </w:tcPr>
          <w:p w14:paraId="41224FCF" w14:textId="77777777" w:rsidR="00663F33" w:rsidRDefault="00000000">
            <w:r>
              <w:t>Marks registered with the USPTO</w:t>
            </w:r>
          </w:p>
        </w:tc>
        <w:tc>
          <w:tcPr>
            <w:tcW w:w="3413" w:type="dxa"/>
          </w:tcPr>
          <w:p w14:paraId="5C5C8214" w14:textId="77777777" w:rsidR="00663F33" w:rsidRDefault="00000000">
            <w:r>
              <w:t>Yes. Use only after the USPTO has granted registration</w:t>
            </w:r>
          </w:p>
        </w:tc>
      </w:tr>
    </w:tbl>
    <w:p w14:paraId="19347E04" w14:textId="77777777" w:rsidR="00663F33" w:rsidRDefault="00000000">
      <w:pPr>
        <w:pStyle w:val="Heading2"/>
      </w:pPr>
      <w:r>
        <w:t>2. WIPO / Madrid Protocol Status</w:t>
      </w:r>
    </w:p>
    <w:p w14:paraId="0DD32A9C" w14:textId="77777777" w:rsidR="00663F33" w:rsidRDefault="00000000">
      <w:r>
        <w:t>The United States is a member of the Madrid Protocol, so it is a WIPO-system jurisdiction: a mark can be protected here through an international registration, and U.S. applicants can use the same system to protect marks abroad.</w:t>
      </w:r>
    </w:p>
    <w:p w14:paraId="79165D43" w14:textId="77777777" w:rsidR="00663F33" w:rsidRDefault="00000000">
      <w:r>
        <w:t xml:space="preserve">The Madrid Protocol is a treaty administered by the World Intellectual Property Organization (WIPO). It lets an owner seek trademark protection in multiple member jurisdictions through one </w:t>
      </w:r>
      <w:proofErr w:type="spellStart"/>
      <w:r>
        <w:t>centralised</w:t>
      </w:r>
      <w:proofErr w:type="spellEnd"/>
      <w:r>
        <w:t xml:space="preserve"> filing.</w:t>
      </w:r>
    </w:p>
    <w:tbl>
      <w:tblPr>
        <w:tblStyle w:val="TableGrid"/>
        <w:tblW w:w="0" w:type="auto"/>
        <w:tblLayout w:type="fixed"/>
        <w:tblLook w:val="0420" w:firstRow="1" w:lastRow="0" w:firstColumn="0" w:lastColumn="0" w:noHBand="0" w:noVBand="1"/>
      </w:tblPr>
      <w:tblGrid>
        <w:gridCol w:w="1186"/>
        <w:gridCol w:w="4849"/>
        <w:gridCol w:w="3325"/>
      </w:tblGrid>
      <w:tr w:rsidR="00663F33" w14:paraId="43F043AB" w14:textId="77777777">
        <w:trPr>
          <w:tblHeader/>
        </w:trPr>
        <w:tc>
          <w:tcPr>
            <w:tcW w:w="1186" w:type="dxa"/>
            <w:shd w:val="clear" w:color="auto" w:fill="F2F2F2"/>
          </w:tcPr>
          <w:p w14:paraId="6A04D530" w14:textId="77777777" w:rsidR="00663F33" w:rsidRDefault="00000000">
            <w:r>
              <w:t>Route</w:t>
            </w:r>
          </w:p>
        </w:tc>
        <w:tc>
          <w:tcPr>
            <w:tcW w:w="4849" w:type="dxa"/>
            <w:shd w:val="clear" w:color="auto" w:fill="F2F2F2"/>
          </w:tcPr>
          <w:p w14:paraId="56738A66" w14:textId="77777777" w:rsidR="00663F33" w:rsidRDefault="00000000">
            <w:r>
              <w:t>Who uses it</w:t>
            </w:r>
          </w:p>
        </w:tc>
        <w:tc>
          <w:tcPr>
            <w:tcW w:w="3325" w:type="dxa"/>
            <w:shd w:val="clear" w:color="auto" w:fill="F2F2F2"/>
          </w:tcPr>
          <w:p w14:paraId="29913D7A" w14:textId="77777777" w:rsidR="00663F33" w:rsidRDefault="00000000">
            <w:r>
              <w:t>Filing basis</w:t>
            </w:r>
          </w:p>
        </w:tc>
      </w:tr>
      <w:tr w:rsidR="00663F33" w14:paraId="008DE925" w14:textId="77777777">
        <w:tc>
          <w:tcPr>
            <w:tcW w:w="1186" w:type="dxa"/>
          </w:tcPr>
          <w:p w14:paraId="7360C27F" w14:textId="77777777" w:rsidR="00663F33" w:rsidRDefault="00000000">
            <w:r>
              <w:t>Outbound</w:t>
            </w:r>
          </w:p>
        </w:tc>
        <w:tc>
          <w:tcPr>
            <w:tcW w:w="4849" w:type="dxa"/>
          </w:tcPr>
          <w:p w14:paraId="621277FF" w14:textId="77777777" w:rsidR="00663F33" w:rsidRDefault="00000000">
            <w:r>
              <w:t>Eligible U.S. applicants seeking protection in designated member countries or regions</w:t>
            </w:r>
          </w:p>
        </w:tc>
        <w:tc>
          <w:tcPr>
            <w:tcW w:w="3325" w:type="dxa"/>
          </w:tcPr>
          <w:p w14:paraId="79926732" w14:textId="77777777" w:rsidR="00663F33" w:rsidRDefault="00000000">
            <w:r>
              <w:t>International application through the Madrid System</w:t>
            </w:r>
          </w:p>
        </w:tc>
      </w:tr>
      <w:tr w:rsidR="00663F33" w14:paraId="45A9EC8C" w14:textId="77777777">
        <w:tc>
          <w:tcPr>
            <w:tcW w:w="1186" w:type="dxa"/>
          </w:tcPr>
          <w:p w14:paraId="5F35ED35" w14:textId="77777777" w:rsidR="00663F33" w:rsidRDefault="00000000">
            <w:r>
              <w:lastRenderedPageBreak/>
              <w:t>Inbound</w:t>
            </w:r>
          </w:p>
        </w:tc>
        <w:tc>
          <w:tcPr>
            <w:tcW w:w="4849" w:type="dxa"/>
          </w:tcPr>
          <w:p w14:paraId="32D9F002" w14:textId="77777777" w:rsidR="00663F33" w:rsidRDefault="00000000">
            <w:r>
              <w:t>Eligible foreign applicants designating the United States</w:t>
            </w:r>
          </w:p>
        </w:tc>
        <w:tc>
          <w:tcPr>
            <w:tcW w:w="3325" w:type="dxa"/>
          </w:tcPr>
          <w:p w14:paraId="6DD9554A" w14:textId="77777777" w:rsidR="00663F33" w:rsidRDefault="00000000">
            <w:r>
              <w:t>Section 66(a) application at the USPTO</w:t>
            </w:r>
          </w:p>
        </w:tc>
      </w:tr>
    </w:tbl>
    <w:p w14:paraId="22E489A8" w14:textId="77777777" w:rsidR="00663F33" w:rsidRDefault="00000000">
      <w:r>
        <w:rPr>
          <w:b/>
        </w:rPr>
        <w:t>Important limits</w:t>
      </w:r>
    </w:p>
    <w:p w14:paraId="3481C0DB" w14:textId="77777777" w:rsidR="00663F33" w:rsidRDefault="00000000">
      <w:pPr>
        <w:pStyle w:val="ListParagraph"/>
        <w:numPr>
          <w:ilvl w:val="0"/>
          <w:numId w:val="2"/>
        </w:numPr>
      </w:pPr>
      <w:r>
        <w:t>An international registration does not automatically give worldwide protection.</w:t>
      </w:r>
    </w:p>
    <w:p w14:paraId="70D06EB1" w14:textId="77777777" w:rsidR="00663F33" w:rsidRDefault="00000000">
      <w:pPr>
        <w:pStyle w:val="ListParagraph"/>
        <w:numPr>
          <w:ilvl w:val="0"/>
          <w:numId w:val="2"/>
        </w:numPr>
      </w:pPr>
      <w:r>
        <w:t>Each designated jurisdiction examines the request under its own trademark law and may grant or refuse protection.</w:t>
      </w:r>
    </w:p>
    <w:p w14:paraId="0733740A" w14:textId="77777777" w:rsidR="00663F33" w:rsidRDefault="00000000">
      <w:pPr>
        <w:pStyle w:val="ListParagraph"/>
        <w:numPr>
          <w:ilvl w:val="0"/>
          <w:numId w:val="2"/>
        </w:numPr>
      </w:pPr>
      <w:r>
        <w:t>The Madrid System simplifies international filing and portfolio management. It does not replace national or regional examination requirements.</w:t>
      </w:r>
    </w:p>
    <w:p w14:paraId="5BF7614C" w14:textId="77777777" w:rsidR="00663F33" w:rsidRDefault="00000000">
      <w:pPr>
        <w:pStyle w:val="ListParagraph"/>
        <w:numPr>
          <w:ilvl w:val="0"/>
          <w:numId w:val="2"/>
        </w:numPr>
      </w:pPr>
      <w:r>
        <w:t>For Section 66(a) filings, a U.S.-licensed attorney is not needed at initial filing, but is required if the USPTO issues an Office Action or provisional refusal (see Section 7).</w:t>
      </w:r>
    </w:p>
    <w:p w14:paraId="3C5C8D42" w14:textId="77777777" w:rsidR="00663F33" w:rsidRDefault="00000000">
      <w:pPr>
        <w:pStyle w:val="Heading2"/>
      </w:pPr>
      <w:r>
        <w:t>3. Applicable Law and Authority</w:t>
      </w:r>
    </w:p>
    <w:p w14:paraId="45A3DEFD" w14:textId="77777777" w:rsidR="00663F33" w:rsidRDefault="00000000">
      <w:r>
        <w:t>U.S. trademark registration is governed by the Lanham Act (15 U.S.C. §§ 1051 et seq.) and administered by the USPTO.</w:t>
      </w:r>
    </w:p>
    <w:tbl>
      <w:tblPr>
        <w:tblStyle w:val="TableGrid"/>
        <w:tblW w:w="0" w:type="auto"/>
        <w:tblLayout w:type="fixed"/>
        <w:tblLook w:val="0420" w:firstRow="1" w:lastRow="0" w:firstColumn="0" w:lastColumn="0" w:noHBand="0" w:noVBand="1"/>
      </w:tblPr>
      <w:tblGrid>
        <w:gridCol w:w="4440"/>
        <w:gridCol w:w="4920"/>
      </w:tblGrid>
      <w:tr w:rsidR="00663F33" w14:paraId="6CABB533" w14:textId="77777777">
        <w:trPr>
          <w:tblHeader/>
        </w:trPr>
        <w:tc>
          <w:tcPr>
            <w:tcW w:w="4440" w:type="dxa"/>
            <w:shd w:val="clear" w:color="auto" w:fill="F2F2F2"/>
          </w:tcPr>
          <w:p w14:paraId="3AAE6AB9" w14:textId="77777777" w:rsidR="00663F33" w:rsidRDefault="00000000">
            <w:r>
              <w:t>Instrument / body</w:t>
            </w:r>
          </w:p>
        </w:tc>
        <w:tc>
          <w:tcPr>
            <w:tcW w:w="4920" w:type="dxa"/>
            <w:shd w:val="clear" w:color="auto" w:fill="F2F2F2"/>
          </w:tcPr>
          <w:p w14:paraId="50411ABD" w14:textId="77777777" w:rsidR="00663F33" w:rsidRDefault="00000000">
            <w:r>
              <w:t>Role</w:t>
            </w:r>
          </w:p>
        </w:tc>
      </w:tr>
      <w:tr w:rsidR="00663F33" w14:paraId="14312169" w14:textId="77777777">
        <w:tc>
          <w:tcPr>
            <w:tcW w:w="4440" w:type="dxa"/>
          </w:tcPr>
          <w:p w14:paraId="12535EFD" w14:textId="77777777" w:rsidR="00663F33" w:rsidRDefault="00000000">
            <w:r>
              <w:t>Lanham Act, 15 U.S.C. §§ 1051 et seq.</w:t>
            </w:r>
          </w:p>
        </w:tc>
        <w:tc>
          <w:tcPr>
            <w:tcW w:w="4920" w:type="dxa"/>
          </w:tcPr>
          <w:p w14:paraId="236FD452" w14:textId="77777777" w:rsidR="00663F33" w:rsidRDefault="00000000">
            <w:r>
              <w:t>Primary federal statute on trademark registration and protection. Includes the filing bases in Sections 1, 44 and 66</w:t>
            </w:r>
          </w:p>
        </w:tc>
      </w:tr>
      <w:tr w:rsidR="00663F33" w14:paraId="460DC8EA" w14:textId="77777777">
        <w:tc>
          <w:tcPr>
            <w:tcW w:w="4440" w:type="dxa"/>
          </w:tcPr>
          <w:p w14:paraId="3BDB87E5" w14:textId="77777777" w:rsidR="00663F33" w:rsidRDefault="00000000">
            <w:r>
              <w:t>Trademark Rules of Practice, 37 C.F.R. Part 2</w:t>
            </w:r>
          </w:p>
        </w:tc>
        <w:tc>
          <w:tcPr>
            <w:tcW w:w="4920" w:type="dxa"/>
          </w:tcPr>
          <w:p w14:paraId="6FF9325B" w14:textId="77777777" w:rsidR="00663F33" w:rsidRDefault="00000000">
            <w:r>
              <w:t>USPTO procedural rules for applications, examination and maintenance</w:t>
            </w:r>
          </w:p>
        </w:tc>
      </w:tr>
      <w:tr w:rsidR="00663F33" w14:paraId="7E03D409" w14:textId="77777777">
        <w:tc>
          <w:tcPr>
            <w:tcW w:w="4440" w:type="dxa"/>
          </w:tcPr>
          <w:p w14:paraId="19E19C97" w14:textId="77777777" w:rsidR="00663F33" w:rsidRDefault="00000000">
            <w:r>
              <w:t>Trademark Manual of Examining Procedure (TMEP)</w:t>
            </w:r>
          </w:p>
        </w:tc>
        <w:tc>
          <w:tcPr>
            <w:tcW w:w="4920" w:type="dxa"/>
          </w:tcPr>
          <w:p w14:paraId="7F410FB0" w14:textId="77777777" w:rsidR="00663F33" w:rsidRDefault="00000000">
            <w:r>
              <w:t>USPTO guide used by examining attorneys; a practical reference for applicants</w:t>
            </w:r>
          </w:p>
        </w:tc>
      </w:tr>
      <w:tr w:rsidR="00663F33" w14:paraId="15BD8793" w14:textId="77777777">
        <w:tc>
          <w:tcPr>
            <w:tcW w:w="4440" w:type="dxa"/>
          </w:tcPr>
          <w:p w14:paraId="73EA5C45" w14:textId="77777777" w:rsidR="00663F33" w:rsidRDefault="00000000">
            <w:r>
              <w:t>United States Patent and Trademark Office (USPTO)</w:t>
            </w:r>
          </w:p>
        </w:tc>
        <w:tc>
          <w:tcPr>
            <w:tcW w:w="4920" w:type="dxa"/>
          </w:tcPr>
          <w:p w14:paraId="00E2BEC7" w14:textId="77777777" w:rsidR="00663F33" w:rsidRDefault="00000000">
            <w:r>
              <w:t>Competent authority; receives, examines and registers applications</w:t>
            </w:r>
          </w:p>
        </w:tc>
      </w:tr>
      <w:tr w:rsidR="00663F33" w14:paraId="10798F3F" w14:textId="77777777">
        <w:tc>
          <w:tcPr>
            <w:tcW w:w="4440" w:type="dxa"/>
          </w:tcPr>
          <w:p w14:paraId="2306DD7C" w14:textId="77777777" w:rsidR="00663F33" w:rsidRDefault="00000000">
            <w:r>
              <w:t>Trademark Trial and Appeal Board (TTAB)</w:t>
            </w:r>
          </w:p>
        </w:tc>
        <w:tc>
          <w:tcPr>
            <w:tcW w:w="4920" w:type="dxa"/>
          </w:tcPr>
          <w:p w14:paraId="596B9D2C" w14:textId="77777777" w:rsidR="00663F33" w:rsidRDefault="00000000">
            <w:r>
              <w:t>USPTO tribunal for appeals from refusals and for opposition and cancellation proceedings</w:t>
            </w:r>
          </w:p>
        </w:tc>
      </w:tr>
      <w:tr w:rsidR="00663F33" w14:paraId="3C02A408" w14:textId="77777777">
        <w:tc>
          <w:tcPr>
            <w:tcW w:w="4440" w:type="dxa"/>
          </w:tcPr>
          <w:p w14:paraId="22790F0C" w14:textId="77777777" w:rsidR="00663F33" w:rsidRDefault="00000000">
            <w:r>
              <w:t>Nice Classification</w:t>
            </w:r>
          </w:p>
        </w:tc>
        <w:tc>
          <w:tcPr>
            <w:tcW w:w="4920" w:type="dxa"/>
          </w:tcPr>
          <w:p w14:paraId="19430AD1" w14:textId="77777777" w:rsidR="00663F33" w:rsidRDefault="00000000">
            <w:r>
              <w:t>International classification of goods and services used to select classes</w:t>
            </w:r>
          </w:p>
        </w:tc>
      </w:tr>
      <w:tr w:rsidR="00663F33" w14:paraId="4E7DDF7D" w14:textId="77777777">
        <w:tc>
          <w:tcPr>
            <w:tcW w:w="4440" w:type="dxa"/>
          </w:tcPr>
          <w:p w14:paraId="4C5B91E9" w14:textId="77777777" w:rsidR="00663F33" w:rsidRDefault="00000000">
            <w:r>
              <w:t>Madrid Protocol</w:t>
            </w:r>
          </w:p>
        </w:tc>
        <w:tc>
          <w:tcPr>
            <w:tcW w:w="4920" w:type="dxa"/>
          </w:tcPr>
          <w:p w14:paraId="6FF96AAA" w14:textId="77777777" w:rsidR="00663F33" w:rsidRDefault="00000000">
            <w:r>
              <w:t>International filing system administered by WIPO; the U.S. is a member (see Section 2)</w:t>
            </w:r>
          </w:p>
        </w:tc>
      </w:tr>
      <w:tr w:rsidR="00663F33" w14:paraId="083CB43F" w14:textId="77777777">
        <w:tc>
          <w:tcPr>
            <w:tcW w:w="4440" w:type="dxa"/>
          </w:tcPr>
          <w:p w14:paraId="4DF38F42" w14:textId="77777777" w:rsidR="00663F33" w:rsidRDefault="00000000">
            <w:r>
              <w:t>Common law</w:t>
            </w:r>
          </w:p>
        </w:tc>
        <w:tc>
          <w:tcPr>
            <w:tcW w:w="4920" w:type="dxa"/>
          </w:tcPr>
          <w:p w14:paraId="13CBB072" w14:textId="77777777" w:rsidR="00663F33" w:rsidRDefault="00000000">
            <w:r>
              <w:t>Governs use-based rights in unregistered marks, generally limited to the area of use</w:t>
            </w:r>
          </w:p>
        </w:tc>
      </w:tr>
    </w:tbl>
    <w:p w14:paraId="1BDB9C85" w14:textId="77777777" w:rsidR="00663F33" w:rsidRDefault="00000000">
      <w:pPr>
        <w:pStyle w:val="Heading2"/>
      </w:pPr>
      <w:r>
        <w:lastRenderedPageBreak/>
        <w:t>4. Steps of Filing</w:t>
      </w:r>
    </w:p>
    <w:p w14:paraId="531066AB" w14:textId="77777777" w:rsidR="00663F33" w:rsidRDefault="00000000">
      <w:r>
        <w:t>A U.S. application moves through seven stages, from the clearance search to registration or a Notice of Allowance.</w:t>
      </w:r>
    </w:p>
    <w:p w14:paraId="373F8B7C" w14:textId="77777777" w:rsidR="00663F33" w:rsidRDefault="00000000">
      <w:pPr>
        <w:pStyle w:val="Heading3"/>
      </w:pPr>
      <w:r>
        <w:t>4.1 Registration Process</w:t>
      </w:r>
    </w:p>
    <w:p w14:paraId="1BD6D3F7" w14:textId="77777777" w:rsidR="00663F33" w:rsidRDefault="00000000">
      <w:pPr>
        <w:pStyle w:val="ListParagraph"/>
        <w:numPr>
          <w:ilvl w:val="0"/>
          <w:numId w:val="3"/>
        </w:numPr>
      </w:pPr>
      <w:r>
        <w:rPr>
          <w:b/>
        </w:rPr>
        <w:t>Trademark search.</w:t>
      </w:r>
      <w:r>
        <w:t xml:space="preserve"> Search the USPTO database for identical or similar marks that could create a likelihood of confusion.</w:t>
      </w:r>
    </w:p>
    <w:p w14:paraId="1B8E5BE3" w14:textId="77777777" w:rsidR="00663F33" w:rsidRDefault="00000000">
      <w:pPr>
        <w:pStyle w:val="ListParagraph"/>
        <w:numPr>
          <w:ilvl w:val="0"/>
          <w:numId w:val="3"/>
        </w:numPr>
      </w:pPr>
      <w:r>
        <w:rPr>
          <w:b/>
        </w:rPr>
        <w:t>Identify the applicant and goods/services.</w:t>
      </w:r>
      <w:r>
        <w:t xml:space="preserve"> Fix the correct owner (individual or company), the mark format (word mark, logo, etc.) and the applicable Nice Classification classes.</w:t>
      </w:r>
    </w:p>
    <w:p w14:paraId="0C2DD2E1" w14:textId="77777777" w:rsidR="00663F33" w:rsidRDefault="00000000">
      <w:pPr>
        <w:pStyle w:val="ListParagraph"/>
        <w:numPr>
          <w:ilvl w:val="0"/>
          <w:numId w:val="3"/>
        </w:numPr>
      </w:pPr>
      <w:r>
        <w:rPr>
          <w:b/>
        </w:rPr>
        <w:t>File the application.</w:t>
      </w:r>
      <w:r>
        <w:t xml:space="preserve"> Submit through the USPTO's online trademark filing system with the applicant details, the mark, the goods/services, the filing basis and any required documents.</w:t>
      </w:r>
    </w:p>
    <w:p w14:paraId="54FFC459" w14:textId="07658D51" w:rsidR="00663F33" w:rsidRDefault="00000000">
      <w:pPr>
        <w:pStyle w:val="ListParagraph"/>
        <w:numPr>
          <w:ilvl w:val="0"/>
          <w:numId w:val="3"/>
        </w:numPr>
      </w:pPr>
      <w:r>
        <w:rPr>
          <w:b/>
        </w:rPr>
        <w:t>Examination by the USPTO.</w:t>
      </w:r>
      <w:r>
        <w:t xml:space="preserve"> An examining attorney reviews the application for legal and procedural compliance. If there are objections, the USPTO may issue an Office Action requiring a response within the stated deadline.</w:t>
      </w:r>
    </w:p>
    <w:p w14:paraId="731C7687" w14:textId="77777777" w:rsidR="00663F33" w:rsidRDefault="00000000">
      <w:pPr>
        <w:pStyle w:val="ListParagraph"/>
        <w:numPr>
          <w:ilvl w:val="0"/>
          <w:numId w:val="3"/>
        </w:numPr>
      </w:pPr>
      <w:r>
        <w:rPr>
          <w:b/>
        </w:rPr>
        <w:t>Publication for opposition.</w:t>
      </w:r>
      <w:r>
        <w:t xml:space="preserve"> An approved mark is published in the Official Gazette. Third parties generally have 30 days to oppose registration or request an extension of time to oppose.</w:t>
      </w:r>
    </w:p>
    <w:p w14:paraId="25FBFDF9" w14:textId="77777777" w:rsidR="00663F33" w:rsidRDefault="00000000">
      <w:pPr>
        <w:pStyle w:val="ListParagraph"/>
        <w:numPr>
          <w:ilvl w:val="0"/>
          <w:numId w:val="3"/>
        </w:numPr>
      </w:pPr>
      <w:r>
        <w:rPr>
          <w:b/>
        </w:rPr>
        <w:t>Registration or Notice of Allowance.</w:t>
      </w:r>
      <w:r>
        <w:t xml:space="preserve"> The outcome depends on the filing basis:</w:t>
      </w:r>
    </w:p>
    <w:p w14:paraId="4F4B06B5" w14:textId="77777777" w:rsidR="00663F33" w:rsidRDefault="00000000">
      <w:pPr>
        <w:pStyle w:val="ListParagraph"/>
        <w:numPr>
          <w:ilvl w:val="1"/>
          <w:numId w:val="4"/>
        </w:numPr>
      </w:pPr>
      <w:r>
        <w:t>Section 1(a), and qualifying Section 44 or 66(a) applications: registration generally follows successful completion of the opposition stage.</w:t>
      </w:r>
    </w:p>
    <w:p w14:paraId="0C4D3203" w14:textId="77777777" w:rsidR="00663F33" w:rsidRDefault="00000000">
      <w:pPr>
        <w:pStyle w:val="ListParagraph"/>
        <w:numPr>
          <w:ilvl w:val="1"/>
          <w:numId w:val="4"/>
        </w:numPr>
      </w:pPr>
      <w:r>
        <w:t>Section 1(b): the USPTO issues a Notice of Allowance. The applicant must then submit an acceptable Statement of Use, or request an extension, before registration can proceed.</w:t>
      </w:r>
    </w:p>
    <w:p w14:paraId="088451EB" w14:textId="77777777" w:rsidR="00663F33" w:rsidRDefault="00000000">
      <w:pPr>
        <w:pStyle w:val="Heading3"/>
      </w:pPr>
      <w:r>
        <w:t>4.2 Filing Bases</w:t>
      </w:r>
    </w:p>
    <w:tbl>
      <w:tblPr>
        <w:tblStyle w:val="TableGrid"/>
        <w:tblW w:w="0" w:type="auto"/>
        <w:tblLayout w:type="fixed"/>
        <w:tblLook w:val="0420" w:firstRow="1" w:lastRow="0" w:firstColumn="0" w:lastColumn="0" w:noHBand="0" w:noVBand="1"/>
      </w:tblPr>
      <w:tblGrid>
        <w:gridCol w:w="2319"/>
        <w:gridCol w:w="7040"/>
      </w:tblGrid>
      <w:tr w:rsidR="00663F33" w14:paraId="4E94BA15" w14:textId="77777777">
        <w:trPr>
          <w:tblHeader/>
        </w:trPr>
        <w:tc>
          <w:tcPr>
            <w:tcW w:w="2319" w:type="dxa"/>
            <w:shd w:val="clear" w:color="auto" w:fill="F2F2F2"/>
          </w:tcPr>
          <w:p w14:paraId="57475A05" w14:textId="77777777" w:rsidR="00663F33" w:rsidRDefault="00000000">
            <w:r>
              <w:t>Basis</w:t>
            </w:r>
          </w:p>
        </w:tc>
        <w:tc>
          <w:tcPr>
            <w:tcW w:w="7040" w:type="dxa"/>
            <w:shd w:val="clear" w:color="auto" w:fill="F2F2F2"/>
          </w:tcPr>
          <w:p w14:paraId="67554DC0" w14:textId="77777777" w:rsidR="00663F33" w:rsidRDefault="00000000">
            <w:r>
              <w:t>When it applies</w:t>
            </w:r>
          </w:p>
        </w:tc>
      </w:tr>
      <w:tr w:rsidR="00663F33" w14:paraId="10FF3930" w14:textId="77777777">
        <w:tc>
          <w:tcPr>
            <w:tcW w:w="2319" w:type="dxa"/>
          </w:tcPr>
          <w:p w14:paraId="3AB390B8" w14:textId="77777777" w:rsidR="00663F33" w:rsidRDefault="00000000">
            <w:r>
              <w:t>Section 1(a)</w:t>
            </w:r>
          </w:p>
        </w:tc>
        <w:tc>
          <w:tcPr>
            <w:tcW w:w="7040" w:type="dxa"/>
          </w:tcPr>
          <w:p w14:paraId="15C3BB90" w14:textId="77777777" w:rsidR="00663F33" w:rsidRDefault="00000000">
            <w:r>
              <w:t>The mark is already in use in U.S. commerce</w:t>
            </w:r>
          </w:p>
        </w:tc>
      </w:tr>
      <w:tr w:rsidR="00663F33" w14:paraId="17FF2409" w14:textId="77777777">
        <w:tc>
          <w:tcPr>
            <w:tcW w:w="2319" w:type="dxa"/>
          </w:tcPr>
          <w:p w14:paraId="2A41B0EB" w14:textId="77777777" w:rsidR="00663F33" w:rsidRDefault="00000000">
            <w:r>
              <w:t>Section 1(b)</w:t>
            </w:r>
          </w:p>
        </w:tc>
        <w:tc>
          <w:tcPr>
            <w:tcW w:w="7040" w:type="dxa"/>
          </w:tcPr>
          <w:p w14:paraId="352CEFFA" w14:textId="77777777" w:rsidR="00663F33" w:rsidRDefault="00000000">
            <w:r>
              <w:t>The applicant has a bona fide intention to use the mark in U.S. commerce</w:t>
            </w:r>
          </w:p>
        </w:tc>
      </w:tr>
      <w:tr w:rsidR="00663F33" w14:paraId="02CD86EB" w14:textId="77777777">
        <w:tc>
          <w:tcPr>
            <w:tcW w:w="2319" w:type="dxa"/>
          </w:tcPr>
          <w:p w14:paraId="32163B6C" w14:textId="77777777" w:rsidR="00663F33" w:rsidRDefault="00000000">
            <w:r>
              <w:t>Section 44(d)</w:t>
            </w:r>
          </w:p>
        </w:tc>
        <w:tc>
          <w:tcPr>
            <w:tcW w:w="7040" w:type="dxa"/>
          </w:tcPr>
          <w:p w14:paraId="19F26305" w14:textId="77777777" w:rsidR="00663F33" w:rsidRDefault="00000000">
            <w:r>
              <w:t>Based on a foreign application, filed within six months of its filing date</w:t>
            </w:r>
          </w:p>
        </w:tc>
      </w:tr>
      <w:tr w:rsidR="00663F33" w14:paraId="6AEBAB86" w14:textId="77777777">
        <w:tc>
          <w:tcPr>
            <w:tcW w:w="2319" w:type="dxa"/>
          </w:tcPr>
          <w:p w14:paraId="21BD9F85" w14:textId="77777777" w:rsidR="00663F33" w:rsidRDefault="00000000">
            <w:r>
              <w:t>Section 44(e)</w:t>
            </w:r>
          </w:p>
        </w:tc>
        <w:tc>
          <w:tcPr>
            <w:tcW w:w="7040" w:type="dxa"/>
          </w:tcPr>
          <w:p w14:paraId="029D6300" w14:textId="77777777" w:rsidR="00663F33" w:rsidRDefault="00000000">
            <w:r>
              <w:t>Based on a qualifying foreign registration</w:t>
            </w:r>
          </w:p>
        </w:tc>
      </w:tr>
      <w:tr w:rsidR="00663F33" w14:paraId="76269B10" w14:textId="77777777">
        <w:tc>
          <w:tcPr>
            <w:tcW w:w="2319" w:type="dxa"/>
          </w:tcPr>
          <w:p w14:paraId="6E201A2E" w14:textId="77777777" w:rsidR="00663F33" w:rsidRDefault="00000000">
            <w:r>
              <w:t>Section 66(a)</w:t>
            </w:r>
          </w:p>
        </w:tc>
        <w:tc>
          <w:tcPr>
            <w:tcW w:w="7040" w:type="dxa"/>
          </w:tcPr>
          <w:p w14:paraId="60995A35" w14:textId="77777777" w:rsidR="00663F33" w:rsidRDefault="00000000">
            <w:r>
              <w:t>International registration designating the USA through the Madrid Protocol</w:t>
            </w:r>
          </w:p>
        </w:tc>
      </w:tr>
    </w:tbl>
    <w:p w14:paraId="1F54F123" w14:textId="708DB0D8" w:rsidR="00663F33" w:rsidRDefault="00663F33" w:rsidP="00574DDD">
      <w:pPr>
        <w:pStyle w:val="Heading2"/>
      </w:pPr>
    </w:p>
    <w:p w14:paraId="7E2CEC07" w14:textId="77777777" w:rsidR="00574DDD" w:rsidRPr="00574DDD" w:rsidRDefault="00574DDD" w:rsidP="00574DDD"/>
    <w:p w14:paraId="1F3AF22B" w14:textId="77777777" w:rsidR="00574DDD" w:rsidRDefault="00574DDD"/>
    <w:p w14:paraId="6271CCDD" w14:textId="77777777" w:rsidR="00574DDD" w:rsidRDefault="00574DDD"/>
    <w:p w14:paraId="18B37DEB" w14:textId="5B57B3C4" w:rsidR="00663F33" w:rsidRDefault="00000000">
      <w:pPr>
        <w:pStyle w:val="Heading3"/>
      </w:pPr>
      <w:r>
        <w:lastRenderedPageBreak/>
        <w:t>5</w:t>
      </w:r>
      <w:r w:rsidR="00574DDD">
        <w:t xml:space="preserve">. </w:t>
      </w:r>
      <w:r>
        <w:t>Deadlines and Typical Durations</w:t>
      </w:r>
    </w:p>
    <w:tbl>
      <w:tblPr>
        <w:tblStyle w:val="TableGrid"/>
        <w:tblW w:w="0" w:type="auto"/>
        <w:tblLayout w:type="fixed"/>
        <w:tblLook w:val="0420" w:firstRow="1" w:lastRow="0" w:firstColumn="0" w:lastColumn="0" w:noHBand="0" w:noVBand="1"/>
      </w:tblPr>
      <w:tblGrid>
        <w:gridCol w:w="1986"/>
        <w:gridCol w:w="3923"/>
        <w:gridCol w:w="3451"/>
      </w:tblGrid>
      <w:tr w:rsidR="00663F33" w14:paraId="28FD8F6E" w14:textId="77777777">
        <w:trPr>
          <w:tblHeader/>
        </w:trPr>
        <w:tc>
          <w:tcPr>
            <w:tcW w:w="1986" w:type="dxa"/>
            <w:shd w:val="clear" w:color="auto" w:fill="F2F2F2"/>
          </w:tcPr>
          <w:p w14:paraId="38F26EAC" w14:textId="77777777" w:rsidR="00663F33" w:rsidRDefault="00000000">
            <w:r>
              <w:t>Stage</w:t>
            </w:r>
          </w:p>
        </w:tc>
        <w:tc>
          <w:tcPr>
            <w:tcW w:w="3923" w:type="dxa"/>
            <w:shd w:val="clear" w:color="auto" w:fill="F2F2F2"/>
          </w:tcPr>
          <w:p w14:paraId="478C8F34" w14:textId="77777777" w:rsidR="00663F33" w:rsidRDefault="00000000">
            <w:r>
              <w:t>Time limit or typical duration</w:t>
            </w:r>
          </w:p>
        </w:tc>
        <w:tc>
          <w:tcPr>
            <w:tcW w:w="3451" w:type="dxa"/>
            <w:shd w:val="clear" w:color="auto" w:fill="F2F2F2"/>
          </w:tcPr>
          <w:p w14:paraId="765EAC1B" w14:textId="77777777" w:rsidR="00663F33" w:rsidRDefault="00000000">
            <w:r>
              <w:t>Notes</w:t>
            </w:r>
          </w:p>
        </w:tc>
      </w:tr>
      <w:tr w:rsidR="00663F33" w14:paraId="79B57814" w14:textId="77777777">
        <w:tc>
          <w:tcPr>
            <w:tcW w:w="1986" w:type="dxa"/>
          </w:tcPr>
          <w:p w14:paraId="2274401C" w14:textId="77777777" w:rsidR="00663F33" w:rsidRDefault="00000000">
            <w:r>
              <w:t>Priority claim (Section 44(d))</w:t>
            </w:r>
          </w:p>
        </w:tc>
        <w:tc>
          <w:tcPr>
            <w:tcW w:w="3923" w:type="dxa"/>
          </w:tcPr>
          <w:p w14:paraId="60CC4125" w14:textId="77777777" w:rsidR="00663F33" w:rsidRDefault="00000000">
            <w:r>
              <w:t>Within 6 months of the foreign application's filing date</w:t>
            </w:r>
          </w:p>
        </w:tc>
        <w:tc>
          <w:tcPr>
            <w:tcW w:w="3451" w:type="dxa"/>
          </w:tcPr>
          <w:p w14:paraId="16EC1384" w14:textId="77777777" w:rsidR="00663F33" w:rsidRDefault="00000000">
            <w:r>
              <w:t>Applies only when claiming priority</w:t>
            </w:r>
          </w:p>
        </w:tc>
      </w:tr>
      <w:tr w:rsidR="00663F33" w14:paraId="369D7809" w14:textId="77777777">
        <w:tc>
          <w:tcPr>
            <w:tcW w:w="1986" w:type="dxa"/>
          </w:tcPr>
          <w:p w14:paraId="41CCA242" w14:textId="77777777" w:rsidR="00663F33" w:rsidRDefault="00000000">
            <w:r>
              <w:t>First examination</w:t>
            </w:r>
          </w:p>
        </w:tc>
        <w:tc>
          <w:tcPr>
            <w:tcW w:w="3923" w:type="dxa"/>
          </w:tcPr>
          <w:p w14:paraId="627995B7" w14:textId="77777777" w:rsidR="00663F33" w:rsidRDefault="00000000">
            <w:r>
              <w:t>About 4.45 months average first-action pendency (first half of FY 2026)</w:t>
            </w:r>
          </w:p>
        </w:tc>
        <w:tc>
          <w:tcPr>
            <w:tcW w:w="3451" w:type="dxa"/>
          </w:tcPr>
          <w:p w14:paraId="6D718237" w14:textId="4E985B04" w:rsidR="00663F33" w:rsidRDefault="00000000">
            <w:r>
              <w:t xml:space="preserve">USPTO average; indicative, not a guarantee. </w:t>
            </w:r>
          </w:p>
        </w:tc>
      </w:tr>
      <w:tr w:rsidR="00663F33" w14:paraId="0DA8F789" w14:textId="77777777">
        <w:tc>
          <w:tcPr>
            <w:tcW w:w="1986" w:type="dxa"/>
          </w:tcPr>
          <w:p w14:paraId="5212B514" w14:textId="77777777" w:rsidR="00663F33" w:rsidRDefault="00000000">
            <w:r>
              <w:t>Response to Office Action (standard)</w:t>
            </w:r>
          </w:p>
        </w:tc>
        <w:tc>
          <w:tcPr>
            <w:tcW w:w="3923" w:type="dxa"/>
          </w:tcPr>
          <w:p w14:paraId="32B9A8DE" w14:textId="77777777" w:rsidR="00663F33" w:rsidRDefault="00000000">
            <w:r>
              <w:t>3 months from issuance; one 3-month extension available on payment of the fee</w:t>
            </w:r>
          </w:p>
        </w:tc>
        <w:tc>
          <w:tcPr>
            <w:tcW w:w="3451" w:type="dxa"/>
          </w:tcPr>
          <w:p w14:paraId="17901602" w14:textId="77777777" w:rsidR="00663F33" w:rsidRDefault="00000000">
            <w:r>
              <w:t>Always check the deadline printed in the Office Action. Some prescribe shorter periods</w:t>
            </w:r>
          </w:p>
        </w:tc>
      </w:tr>
      <w:tr w:rsidR="00663F33" w14:paraId="3827E350" w14:textId="77777777">
        <w:tc>
          <w:tcPr>
            <w:tcW w:w="1986" w:type="dxa"/>
          </w:tcPr>
          <w:p w14:paraId="262D0E13" w14:textId="77777777" w:rsidR="00663F33" w:rsidRDefault="00000000">
            <w:r>
              <w:t>Response to Office Action (Section 66(a), Madrid)</w:t>
            </w:r>
          </w:p>
        </w:tc>
        <w:tc>
          <w:tcPr>
            <w:tcW w:w="3923" w:type="dxa"/>
          </w:tcPr>
          <w:p w14:paraId="2981B76F" w14:textId="77777777" w:rsidR="00663F33" w:rsidRDefault="00000000">
            <w:r>
              <w:t>6 months from issuance</w:t>
            </w:r>
          </w:p>
        </w:tc>
        <w:tc>
          <w:tcPr>
            <w:tcW w:w="3451" w:type="dxa"/>
          </w:tcPr>
          <w:p w14:paraId="7066F091" w14:textId="77777777" w:rsidR="00663F33" w:rsidRDefault="00000000">
            <w:r>
              <w:t>No extensions available</w:t>
            </w:r>
          </w:p>
        </w:tc>
      </w:tr>
      <w:tr w:rsidR="00663F33" w14:paraId="5634FF44" w14:textId="77777777">
        <w:tc>
          <w:tcPr>
            <w:tcW w:w="1986" w:type="dxa"/>
          </w:tcPr>
          <w:p w14:paraId="6D48389F" w14:textId="77777777" w:rsidR="00663F33" w:rsidRDefault="00000000">
            <w:r>
              <w:t>Opposition period after publication</w:t>
            </w:r>
          </w:p>
        </w:tc>
        <w:tc>
          <w:tcPr>
            <w:tcW w:w="3923" w:type="dxa"/>
          </w:tcPr>
          <w:p w14:paraId="06B10D52" w14:textId="77777777" w:rsidR="00663F33" w:rsidRDefault="00000000">
            <w:r>
              <w:t>30 days from publication in the Official Gazette</w:t>
            </w:r>
          </w:p>
        </w:tc>
        <w:tc>
          <w:tcPr>
            <w:tcW w:w="3451" w:type="dxa"/>
          </w:tcPr>
          <w:p w14:paraId="5158C972" w14:textId="77777777" w:rsidR="00663F33" w:rsidRDefault="00000000">
            <w:r>
              <w:t>A third party may instead request an extension of time to oppose</w:t>
            </w:r>
          </w:p>
        </w:tc>
      </w:tr>
      <w:tr w:rsidR="00663F33" w14:paraId="5ED18A14" w14:textId="77777777">
        <w:tc>
          <w:tcPr>
            <w:tcW w:w="1986" w:type="dxa"/>
          </w:tcPr>
          <w:p w14:paraId="4A31C046" w14:textId="77777777" w:rsidR="00663F33" w:rsidRDefault="00000000">
            <w:r>
              <w:t>Statement of Use (Section 1(b) only)</w:t>
            </w:r>
          </w:p>
        </w:tc>
        <w:tc>
          <w:tcPr>
            <w:tcW w:w="3923" w:type="dxa"/>
          </w:tcPr>
          <w:p w14:paraId="71AA1ED5" w14:textId="77777777" w:rsidR="00663F33" w:rsidRDefault="00000000">
            <w:r>
              <w:t>6 months from the Notice of Allowance, extendable in 6-month increments</w:t>
            </w:r>
          </w:p>
        </w:tc>
        <w:tc>
          <w:tcPr>
            <w:tcW w:w="3451" w:type="dxa"/>
          </w:tcPr>
          <w:p w14:paraId="266DD6AE" w14:textId="77777777" w:rsidR="00663F33" w:rsidRDefault="00000000">
            <w:r>
              <w:t>Each extension carries a fee (Section 6.3). Maximum 36 months from the Notice of Allowance</w:t>
            </w:r>
          </w:p>
        </w:tc>
      </w:tr>
      <w:tr w:rsidR="00663F33" w14:paraId="2314588F" w14:textId="77777777">
        <w:tc>
          <w:tcPr>
            <w:tcW w:w="1986" w:type="dxa"/>
          </w:tcPr>
          <w:p w14:paraId="3F27DD35" w14:textId="77777777" w:rsidR="00663F33" w:rsidRDefault="00000000">
            <w:r>
              <w:t>After registration</w:t>
            </w:r>
          </w:p>
        </w:tc>
        <w:tc>
          <w:tcPr>
            <w:tcW w:w="3923" w:type="dxa"/>
          </w:tcPr>
          <w:p w14:paraId="775E088D" w14:textId="77777777" w:rsidR="00663F33" w:rsidRDefault="00000000">
            <w:r>
              <w:t>Maintenance filings in years 5 to 6 and 9 to 10, then every 10 years</w:t>
            </w:r>
          </w:p>
        </w:tc>
        <w:tc>
          <w:tcPr>
            <w:tcW w:w="3451" w:type="dxa"/>
          </w:tcPr>
          <w:p w14:paraId="6D7B024E" w14:textId="77777777" w:rsidR="00663F33" w:rsidRDefault="00000000">
            <w:r>
              <w:t>See Section 8</w:t>
            </w:r>
          </w:p>
        </w:tc>
      </w:tr>
    </w:tbl>
    <w:p w14:paraId="700E0C95" w14:textId="77777777" w:rsidR="00663F33" w:rsidRDefault="00000000">
      <w:pPr>
        <w:pStyle w:val="Heading2"/>
      </w:pPr>
      <w:r>
        <w:t>6. Official Fees</w:t>
      </w:r>
    </w:p>
    <w:p w14:paraId="6605AD8F" w14:textId="364315F9" w:rsidR="00663F33" w:rsidRDefault="00000000">
      <w:r>
        <w:t xml:space="preserve">The base application fee is USD 350 per class, and surcharges can take a poorly prepared application to USD 550 or more per class. All amounts are in USD and charged per class unless stated otherwise. </w:t>
      </w:r>
    </w:p>
    <w:p w14:paraId="02E0237D" w14:textId="77777777" w:rsidR="00663F33" w:rsidRDefault="00000000">
      <w:pPr>
        <w:pStyle w:val="Heading3"/>
      </w:pPr>
      <w:r>
        <w:t>6.1 Application Stage</w:t>
      </w:r>
    </w:p>
    <w:tbl>
      <w:tblPr>
        <w:tblStyle w:val="TableGrid"/>
        <w:tblW w:w="0" w:type="auto"/>
        <w:tblLayout w:type="fixed"/>
        <w:tblLook w:val="0420" w:firstRow="1" w:lastRow="0" w:firstColumn="0" w:lastColumn="0" w:noHBand="0" w:noVBand="1"/>
      </w:tblPr>
      <w:tblGrid>
        <w:gridCol w:w="3099"/>
        <w:gridCol w:w="1341"/>
        <w:gridCol w:w="4920"/>
      </w:tblGrid>
      <w:tr w:rsidR="00663F33" w14:paraId="06D11B45" w14:textId="77777777">
        <w:trPr>
          <w:tblHeader/>
        </w:trPr>
        <w:tc>
          <w:tcPr>
            <w:tcW w:w="3099" w:type="dxa"/>
            <w:shd w:val="clear" w:color="auto" w:fill="F2F2F2"/>
          </w:tcPr>
          <w:p w14:paraId="6BBE3266" w14:textId="77777777" w:rsidR="00663F33" w:rsidRDefault="00000000">
            <w:r>
              <w:t>Item</w:t>
            </w:r>
          </w:p>
        </w:tc>
        <w:tc>
          <w:tcPr>
            <w:tcW w:w="1341" w:type="dxa"/>
            <w:shd w:val="clear" w:color="auto" w:fill="F2F2F2"/>
          </w:tcPr>
          <w:p w14:paraId="7AA0518A" w14:textId="77777777" w:rsidR="00663F33" w:rsidRDefault="00000000">
            <w:r>
              <w:t>Fee (USD)</w:t>
            </w:r>
          </w:p>
        </w:tc>
        <w:tc>
          <w:tcPr>
            <w:tcW w:w="4920" w:type="dxa"/>
            <w:shd w:val="clear" w:color="auto" w:fill="F2F2F2"/>
          </w:tcPr>
          <w:p w14:paraId="73650DD8" w14:textId="77777777" w:rsidR="00663F33" w:rsidRDefault="00000000">
            <w:r>
              <w:t>Notes</w:t>
            </w:r>
          </w:p>
        </w:tc>
      </w:tr>
      <w:tr w:rsidR="00663F33" w14:paraId="7E838808" w14:textId="77777777">
        <w:tc>
          <w:tcPr>
            <w:tcW w:w="3099" w:type="dxa"/>
          </w:tcPr>
          <w:p w14:paraId="1F0FED07" w14:textId="77777777" w:rsidR="00663F33" w:rsidRDefault="00000000">
            <w:r>
              <w:t>Base application (Section 1 or 44), electronic</w:t>
            </w:r>
          </w:p>
        </w:tc>
        <w:tc>
          <w:tcPr>
            <w:tcW w:w="1341" w:type="dxa"/>
          </w:tcPr>
          <w:p w14:paraId="4104D98B" w14:textId="77777777" w:rsidR="00663F33" w:rsidRDefault="00000000">
            <w:r>
              <w:t>350</w:t>
            </w:r>
          </w:p>
        </w:tc>
        <w:tc>
          <w:tcPr>
            <w:tcW w:w="4920" w:type="dxa"/>
          </w:tcPr>
          <w:p w14:paraId="721A8595" w14:textId="77777777" w:rsidR="00663F33" w:rsidRDefault="00000000">
            <w:r>
              <w:t>Complete application, with goods and services chosen from the ID Manual</w:t>
            </w:r>
          </w:p>
        </w:tc>
      </w:tr>
      <w:tr w:rsidR="00663F33" w14:paraId="7D10F4DA" w14:textId="77777777">
        <w:tc>
          <w:tcPr>
            <w:tcW w:w="3099" w:type="dxa"/>
          </w:tcPr>
          <w:p w14:paraId="1706921F" w14:textId="77777777" w:rsidR="00663F33" w:rsidRDefault="00000000">
            <w:r>
              <w:t>Insufficient information surcharge</w:t>
            </w:r>
          </w:p>
        </w:tc>
        <w:tc>
          <w:tcPr>
            <w:tcW w:w="1341" w:type="dxa"/>
          </w:tcPr>
          <w:p w14:paraId="7220626F" w14:textId="77777777" w:rsidR="00663F33" w:rsidRDefault="00000000">
            <w:r>
              <w:t>+100</w:t>
            </w:r>
          </w:p>
        </w:tc>
        <w:tc>
          <w:tcPr>
            <w:tcW w:w="4920" w:type="dxa"/>
          </w:tcPr>
          <w:p w14:paraId="5F6D3ED9" w14:textId="77777777" w:rsidR="00663F33" w:rsidRDefault="00000000">
            <w:r>
              <w:t>Required base information missing at filing</w:t>
            </w:r>
          </w:p>
        </w:tc>
      </w:tr>
      <w:tr w:rsidR="00663F33" w14:paraId="06E2BE9C" w14:textId="77777777">
        <w:tc>
          <w:tcPr>
            <w:tcW w:w="3099" w:type="dxa"/>
          </w:tcPr>
          <w:p w14:paraId="0E8E503A" w14:textId="77777777" w:rsidR="00663F33" w:rsidRDefault="00000000">
            <w:r>
              <w:t>Free-form goods/services text box</w:t>
            </w:r>
          </w:p>
        </w:tc>
        <w:tc>
          <w:tcPr>
            <w:tcW w:w="1341" w:type="dxa"/>
          </w:tcPr>
          <w:p w14:paraId="04A86C75" w14:textId="77777777" w:rsidR="00663F33" w:rsidRDefault="00000000">
            <w:r>
              <w:t>+200</w:t>
            </w:r>
          </w:p>
        </w:tc>
        <w:tc>
          <w:tcPr>
            <w:tcW w:w="4920" w:type="dxa"/>
          </w:tcPr>
          <w:p w14:paraId="4C557E7F" w14:textId="77777777" w:rsidR="00663F33" w:rsidRDefault="00000000">
            <w:r>
              <w:t>Custom wording, or ID Manual text pasted into the free-form box</w:t>
            </w:r>
          </w:p>
        </w:tc>
      </w:tr>
      <w:tr w:rsidR="00663F33" w14:paraId="2EF3193D" w14:textId="77777777">
        <w:tc>
          <w:tcPr>
            <w:tcW w:w="3099" w:type="dxa"/>
          </w:tcPr>
          <w:p w14:paraId="43B70C70" w14:textId="77777777" w:rsidR="00663F33" w:rsidRDefault="00000000">
            <w:r>
              <w:t>Excess characters</w:t>
            </w:r>
          </w:p>
        </w:tc>
        <w:tc>
          <w:tcPr>
            <w:tcW w:w="1341" w:type="dxa"/>
          </w:tcPr>
          <w:p w14:paraId="6064ED24" w14:textId="77777777" w:rsidR="00663F33" w:rsidRDefault="00000000">
            <w:r>
              <w:t>+200</w:t>
            </w:r>
          </w:p>
        </w:tc>
        <w:tc>
          <w:tcPr>
            <w:tcW w:w="4920" w:type="dxa"/>
          </w:tcPr>
          <w:p w14:paraId="1AEA70B9" w14:textId="77777777" w:rsidR="00663F33" w:rsidRDefault="00000000">
            <w:r>
              <w:t>For each extra 1,000 characters beyond the first 1,000 in a class's free-form text</w:t>
            </w:r>
          </w:p>
        </w:tc>
      </w:tr>
    </w:tbl>
    <w:p w14:paraId="3F1BFD32" w14:textId="77777777" w:rsidR="00663F33" w:rsidRDefault="00000000">
      <w:pPr>
        <w:pStyle w:val="Heading3"/>
      </w:pPr>
      <w:r>
        <w:lastRenderedPageBreak/>
        <w:t>6.2 Examination and Prosecution</w:t>
      </w:r>
    </w:p>
    <w:tbl>
      <w:tblPr>
        <w:tblStyle w:val="TableGrid"/>
        <w:tblW w:w="0" w:type="auto"/>
        <w:tblLayout w:type="fixed"/>
        <w:tblLook w:val="0420" w:firstRow="1" w:lastRow="0" w:firstColumn="0" w:lastColumn="0" w:noHBand="0" w:noVBand="1"/>
      </w:tblPr>
      <w:tblGrid>
        <w:gridCol w:w="3571"/>
        <w:gridCol w:w="1341"/>
        <w:gridCol w:w="4447"/>
      </w:tblGrid>
      <w:tr w:rsidR="00663F33" w14:paraId="49100165" w14:textId="77777777">
        <w:trPr>
          <w:tblHeader/>
        </w:trPr>
        <w:tc>
          <w:tcPr>
            <w:tcW w:w="3571" w:type="dxa"/>
            <w:shd w:val="clear" w:color="auto" w:fill="F2F2F2"/>
          </w:tcPr>
          <w:p w14:paraId="2FCD3E4F" w14:textId="77777777" w:rsidR="00663F33" w:rsidRDefault="00000000">
            <w:r>
              <w:t>Item</w:t>
            </w:r>
          </w:p>
        </w:tc>
        <w:tc>
          <w:tcPr>
            <w:tcW w:w="1341" w:type="dxa"/>
            <w:shd w:val="clear" w:color="auto" w:fill="F2F2F2"/>
          </w:tcPr>
          <w:p w14:paraId="6FDC19B0" w14:textId="77777777" w:rsidR="00663F33" w:rsidRDefault="00000000">
            <w:r>
              <w:t>Fee (USD)</w:t>
            </w:r>
          </w:p>
        </w:tc>
        <w:tc>
          <w:tcPr>
            <w:tcW w:w="4447" w:type="dxa"/>
            <w:shd w:val="clear" w:color="auto" w:fill="F2F2F2"/>
          </w:tcPr>
          <w:p w14:paraId="69D26F98" w14:textId="77777777" w:rsidR="00663F33" w:rsidRDefault="00000000">
            <w:r>
              <w:t>Notes</w:t>
            </w:r>
          </w:p>
        </w:tc>
      </w:tr>
      <w:tr w:rsidR="00663F33" w14:paraId="3EC257A0" w14:textId="77777777">
        <w:tc>
          <w:tcPr>
            <w:tcW w:w="3571" w:type="dxa"/>
          </w:tcPr>
          <w:p w14:paraId="06125E1B" w14:textId="77777777" w:rsidR="00663F33" w:rsidRDefault="00000000">
            <w:r>
              <w:t>Extension of time to respond to an Office Action</w:t>
            </w:r>
          </w:p>
        </w:tc>
        <w:tc>
          <w:tcPr>
            <w:tcW w:w="1341" w:type="dxa"/>
          </w:tcPr>
          <w:p w14:paraId="09B0E031" w14:textId="77777777" w:rsidR="00663F33" w:rsidRDefault="00000000">
            <w:r>
              <w:t>125</w:t>
            </w:r>
          </w:p>
        </w:tc>
        <w:tc>
          <w:tcPr>
            <w:tcW w:w="4447" w:type="dxa"/>
          </w:tcPr>
          <w:p w14:paraId="61957BFC" w14:textId="77777777" w:rsidR="00663F33" w:rsidRDefault="00000000">
            <w:r>
              <w:t>Once per action; extends the period from three months to six</w:t>
            </w:r>
          </w:p>
        </w:tc>
      </w:tr>
      <w:tr w:rsidR="00663F33" w14:paraId="71CEB1DE" w14:textId="77777777">
        <w:tc>
          <w:tcPr>
            <w:tcW w:w="3571" w:type="dxa"/>
          </w:tcPr>
          <w:p w14:paraId="40A8703D" w14:textId="77777777" w:rsidR="00663F33" w:rsidRDefault="00000000">
            <w:r>
              <w:t>Request to divide</w:t>
            </w:r>
          </w:p>
        </w:tc>
        <w:tc>
          <w:tcPr>
            <w:tcW w:w="1341" w:type="dxa"/>
          </w:tcPr>
          <w:p w14:paraId="18E6A935" w14:textId="77777777" w:rsidR="00663F33" w:rsidRDefault="00000000">
            <w:r>
              <w:t>100</w:t>
            </w:r>
          </w:p>
        </w:tc>
        <w:tc>
          <w:tcPr>
            <w:tcW w:w="4447" w:type="dxa"/>
          </w:tcPr>
          <w:p w14:paraId="63F60FF2" w14:textId="77777777" w:rsidR="00663F33" w:rsidRDefault="00000000">
            <w:r>
              <w:t>Per new application created</w:t>
            </w:r>
          </w:p>
        </w:tc>
      </w:tr>
      <w:tr w:rsidR="00663F33" w14:paraId="2889FC5D" w14:textId="77777777">
        <w:tc>
          <w:tcPr>
            <w:tcW w:w="3571" w:type="dxa"/>
          </w:tcPr>
          <w:p w14:paraId="218A94A0" w14:textId="77777777" w:rsidR="00663F33" w:rsidRDefault="00000000">
            <w:r>
              <w:t>Letter of protest</w:t>
            </w:r>
          </w:p>
        </w:tc>
        <w:tc>
          <w:tcPr>
            <w:tcW w:w="1341" w:type="dxa"/>
          </w:tcPr>
          <w:p w14:paraId="5C748515" w14:textId="77777777" w:rsidR="00663F33" w:rsidRDefault="00000000">
            <w:r>
              <w:t>150</w:t>
            </w:r>
          </w:p>
        </w:tc>
        <w:tc>
          <w:tcPr>
            <w:tcW w:w="4447" w:type="dxa"/>
          </w:tcPr>
          <w:p w14:paraId="7D2250FD" w14:textId="77777777" w:rsidR="00663F33" w:rsidRDefault="00000000">
            <w:r>
              <w:t>Per application</w:t>
            </w:r>
          </w:p>
        </w:tc>
      </w:tr>
    </w:tbl>
    <w:p w14:paraId="50A33867" w14:textId="77777777" w:rsidR="00663F33" w:rsidRDefault="00000000">
      <w:pPr>
        <w:pStyle w:val="Heading3"/>
      </w:pPr>
      <w:r>
        <w:t>6.3 Intent-to-Use (Section 1(b)) Filings</w:t>
      </w:r>
    </w:p>
    <w:tbl>
      <w:tblPr>
        <w:tblStyle w:val="TableGrid"/>
        <w:tblW w:w="0" w:type="auto"/>
        <w:tblLayout w:type="fixed"/>
        <w:tblLook w:val="0420" w:firstRow="1" w:lastRow="0" w:firstColumn="0" w:lastColumn="0" w:noHBand="0" w:noVBand="1"/>
      </w:tblPr>
      <w:tblGrid>
        <w:gridCol w:w="4575"/>
        <w:gridCol w:w="1341"/>
        <w:gridCol w:w="3443"/>
      </w:tblGrid>
      <w:tr w:rsidR="00663F33" w14:paraId="18187C6B" w14:textId="77777777">
        <w:trPr>
          <w:tblHeader/>
        </w:trPr>
        <w:tc>
          <w:tcPr>
            <w:tcW w:w="4575" w:type="dxa"/>
            <w:shd w:val="clear" w:color="auto" w:fill="F2F2F2"/>
          </w:tcPr>
          <w:p w14:paraId="20B79F3C" w14:textId="77777777" w:rsidR="00663F33" w:rsidRDefault="00000000">
            <w:r>
              <w:t>Item</w:t>
            </w:r>
          </w:p>
        </w:tc>
        <w:tc>
          <w:tcPr>
            <w:tcW w:w="1341" w:type="dxa"/>
            <w:shd w:val="clear" w:color="auto" w:fill="F2F2F2"/>
          </w:tcPr>
          <w:p w14:paraId="3F649624" w14:textId="77777777" w:rsidR="00663F33" w:rsidRDefault="00000000">
            <w:r>
              <w:t>Fee (USD)</w:t>
            </w:r>
          </w:p>
        </w:tc>
        <w:tc>
          <w:tcPr>
            <w:tcW w:w="3443" w:type="dxa"/>
            <w:shd w:val="clear" w:color="auto" w:fill="F2F2F2"/>
          </w:tcPr>
          <w:p w14:paraId="10E0B8A6" w14:textId="77777777" w:rsidR="00663F33" w:rsidRDefault="00000000">
            <w:r>
              <w:t>Notes</w:t>
            </w:r>
          </w:p>
        </w:tc>
      </w:tr>
      <w:tr w:rsidR="00663F33" w14:paraId="7C1F68C3" w14:textId="77777777">
        <w:tc>
          <w:tcPr>
            <w:tcW w:w="4575" w:type="dxa"/>
          </w:tcPr>
          <w:p w14:paraId="7E69CC9D" w14:textId="77777777" w:rsidR="00663F33" w:rsidRDefault="00000000">
            <w:r>
              <w:t>Amendment to allege use</w:t>
            </w:r>
          </w:p>
        </w:tc>
        <w:tc>
          <w:tcPr>
            <w:tcW w:w="1341" w:type="dxa"/>
          </w:tcPr>
          <w:p w14:paraId="3BDBA8A2" w14:textId="77777777" w:rsidR="00663F33" w:rsidRDefault="00000000">
            <w:r>
              <w:t>150</w:t>
            </w:r>
          </w:p>
        </w:tc>
        <w:tc>
          <w:tcPr>
            <w:tcW w:w="3443" w:type="dxa"/>
          </w:tcPr>
          <w:p w14:paraId="74E12398" w14:textId="77777777" w:rsidR="00663F33" w:rsidRDefault="00000000">
            <w:r>
              <w:t>Before approval for publication</w:t>
            </w:r>
          </w:p>
        </w:tc>
      </w:tr>
      <w:tr w:rsidR="00663F33" w14:paraId="3EB3E1AD" w14:textId="77777777">
        <w:tc>
          <w:tcPr>
            <w:tcW w:w="4575" w:type="dxa"/>
          </w:tcPr>
          <w:p w14:paraId="5C030C6E" w14:textId="77777777" w:rsidR="00663F33" w:rsidRDefault="00000000">
            <w:r>
              <w:t>Statement of use</w:t>
            </w:r>
          </w:p>
        </w:tc>
        <w:tc>
          <w:tcPr>
            <w:tcW w:w="1341" w:type="dxa"/>
          </w:tcPr>
          <w:p w14:paraId="7C00C115" w14:textId="77777777" w:rsidR="00663F33" w:rsidRDefault="00000000">
            <w:r>
              <w:t>150</w:t>
            </w:r>
          </w:p>
        </w:tc>
        <w:tc>
          <w:tcPr>
            <w:tcW w:w="3443" w:type="dxa"/>
          </w:tcPr>
          <w:p w14:paraId="43FC3CC3" w14:textId="77777777" w:rsidR="00663F33" w:rsidRDefault="00000000">
            <w:r>
              <w:t>After the Notice of Allowance</w:t>
            </w:r>
          </w:p>
        </w:tc>
      </w:tr>
      <w:tr w:rsidR="00663F33" w14:paraId="35A6C383" w14:textId="77777777">
        <w:tc>
          <w:tcPr>
            <w:tcW w:w="4575" w:type="dxa"/>
          </w:tcPr>
          <w:p w14:paraId="15E585B6" w14:textId="77777777" w:rsidR="00663F33" w:rsidRDefault="00000000">
            <w:r>
              <w:t>Extension of time to file Statement of Use</w:t>
            </w:r>
          </w:p>
        </w:tc>
        <w:tc>
          <w:tcPr>
            <w:tcW w:w="1341" w:type="dxa"/>
          </w:tcPr>
          <w:p w14:paraId="2147651F" w14:textId="77777777" w:rsidR="00663F33" w:rsidRDefault="00000000">
            <w:r>
              <w:t>125</w:t>
            </w:r>
          </w:p>
        </w:tc>
        <w:tc>
          <w:tcPr>
            <w:tcW w:w="3443" w:type="dxa"/>
          </w:tcPr>
          <w:p w14:paraId="4AFF0D1C" w14:textId="77777777" w:rsidR="00663F33" w:rsidRDefault="00000000">
            <w:r>
              <w:t>Each six-month extension</w:t>
            </w:r>
          </w:p>
        </w:tc>
      </w:tr>
    </w:tbl>
    <w:p w14:paraId="59A75859" w14:textId="77777777" w:rsidR="00663F33" w:rsidRDefault="00000000">
      <w:pPr>
        <w:pStyle w:val="Heading3"/>
      </w:pPr>
      <w:r>
        <w:t>6.4 After Registration</w:t>
      </w:r>
    </w:p>
    <w:p w14:paraId="03F52D6C" w14:textId="77777777" w:rsidR="00663F33" w:rsidRDefault="00000000">
      <w:r>
        <w:t>Section 8, 9, 15 and 71 maintenance fees are set out with their filing windows in Section 8.2.</w:t>
      </w:r>
    </w:p>
    <w:p w14:paraId="6FDC289A" w14:textId="77777777" w:rsidR="00663F33" w:rsidRDefault="00000000">
      <w:pPr>
        <w:pStyle w:val="Heading3"/>
      </w:pPr>
      <w:r>
        <w:t>6.5 Illustrative Minimum Cost (one class, official fees only)</w:t>
      </w:r>
    </w:p>
    <w:tbl>
      <w:tblPr>
        <w:tblStyle w:val="TableGrid"/>
        <w:tblW w:w="0" w:type="auto"/>
        <w:tblLayout w:type="fixed"/>
        <w:tblLook w:val="0420" w:firstRow="1" w:lastRow="0" w:firstColumn="0" w:lastColumn="0" w:noHBand="0" w:noVBand="1"/>
      </w:tblPr>
      <w:tblGrid>
        <w:gridCol w:w="3853"/>
        <w:gridCol w:w="5506"/>
      </w:tblGrid>
      <w:tr w:rsidR="00663F33" w14:paraId="0A219266" w14:textId="77777777">
        <w:trPr>
          <w:tblHeader/>
        </w:trPr>
        <w:tc>
          <w:tcPr>
            <w:tcW w:w="3853" w:type="dxa"/>
            <w:shd w:val="clear" w:color="auto" w:fill="F2F2F2"/>
          </w:tcPr>
          <w:p w14:paraId="6C0E87C4" w14:textId="77777777" w:rsidR="00663F33" w:rsidRDefault="00000000">
            <w:r>
              <w:t>Route</w:t>
            </w:r>
          </w:p>
        </w:tc>
        <w:tc>
          <w:tcPr>
            <w:tcW w:w="5506" w:type="dxa"/>
            <w:shd w:val="clear" w:color="auto" w:fill="F2F2F2"/>
          </w:tcPr>
          <w:p w14:paraId="047B52BB" w14:textId="77777777" w:rsidR="00663F33" w:rsidRDefault="00000000">
            <w:r>
              <w:t>Official fees (USD)</w:t>
            </w:r>
          </w:p>
        </w:tc>
      </w:tr>
      <w:tr w:rsidR="00663F33" w14:paraId="06A87D35" w14:textId="77777777">
        <w:tc>
          <w:tcPr>
            <w:tcW w:w="3853" w:type="dxa"/>
          </w:tcPr>
          <w:p w14:paraId="44FA0AF4" w14:textId="77777777" w:rsidR="00663F33" w:rsidRDefault="00000000">
            <w:r>
              <w:t>Section 1(a), clean application</w:t>
            </w:r>
          </w:p>
        </w:tc>
        <w:tc>
          <w:tcPr>
            <w:tcW w:w="5506" w:type="dxa"/>
          </w:tcPr>
          <w:p w14:paraId="4782F973" w14:textId="77777777" w:rsidR="00663F33" w:rsidRDefault="00000000">
            <w:r>
              <w:t>350</w:t>
            </w:r>
          </w:p>
        </w:tc>
      </w:tr>
      <w:tr w:rsidR="00663F33" w14:paraId="7DA14C63" w14:textId="77777777">
        <w:tc>
          <w:tcPr>
            <w:tcW w:w="3853" w:type="dxa"/>
          </w:tcPr>
          <w:p w14:paraId="08D81839" w14:textId="77777777" w:rsidR="00663F33" w:rsidRDefault="00000000">
            <w:r>
              <w:t>Section 1(b), no extensions</w:t>
            </w:r>
          </w:p>
        </w:tc>
        <w:tc>
          <w:tcPr>
            <w:tcW w:w="5506" w:type="dxa"/>
          </w:tcPr>
          <w:p w14:paraId="6525FE7F" w14:textId="77777777" w:rsidR="00663F33" w:rsidRDefault="00000000">
            <w:r>
              <w:t>500 (350 application + 150 Statement of Use)</w:t>
            </w:r>
          </w:p>
        </w:tc>
      </w:tr>
    </w:tbl>
    <w:p w14:paraId="03138907" w14:textId="77777777" w:rsidR="00663F33" w:rsidRDefault="00000000">
      <w:pPr>
        <w:pStyle w:val="Heading2"/>
      </w:pPr>
      <w:r>
        <w:t>7. Attorney Requirement</w:t>
      </w:r>
    </w:p>
    <w:p w14:paraId="1F7C9608" w14:textId="77777777" w:rsidR="00663F33" w:rsidRDefault="00000000">
      <w:r>
        <w:t>Foreign-domiciled applicants, including those based in India, must be represented by a U.S.-licensed attorney before the USPTO. U.S.-domiciled applicants are not required to hire one.</w:t>
      </w:r>
    </w:p>
    <w:tbl>
      <w:tblPr>
        <w:tblStyle w:val="TableGrid"/>
        <w:tblW w:w="0" w:type="auto"/>
        <w:tblLayout w:type="fixed"/>
        <w:tblLook w:val="0420" w:firstRow="1" w:lastRow="0" w:firstColumn="0" w:lastColumn="0" w:noHBand="0" w:noVBand="1"/>
      </w:tblPr>
      <w:tblGrid>
        <w:gridCol w:w="4920"/>
        <w:gridCol w:w="4440"/>
      </w:tblGrid>
      <w:tr w:rsidR="00663F33" w14:paraId="0AC45307" w14:textId="77777777">
        <w:trPr>
          <w:tblHeader/>
        </w:trPr>
        <w:tc>
          <w:tcPr>
            <w:tcW w:w="4920" w:type="dxa"/>
            <w:shd w:val="clear" w:color="auto" w:fill="F2F2F2"/>
          </w:tcPr>
          <w:p w14:paraId="09946523" w14:textId="77777777" w:rsidR="00663F33" w:rsidRDefault="00000000">
            <w:r>
              <w:t>Applicant / filing type</w:t>
            </w:r>
          </w:p>
        </w:tc>
        <w:tc>
          <w:tcPr>
            <w:tcW w:w="4440" w:type="dxa"/>
            <w:shd w:val="clear" w:color="auto" w:fill="F2F2F2"/>
          </w:tcPr>
          <w:p w14:paraId="1CF8AAFC" w14:textId="77777777" w:rsidR="00663F33" w:rsidRDefault="00000000">
            <w:r>
              <w:t>U.S.-licensed attorney required?</w:t>
            </w:r>
          </w:p>
        </w:tc>
      </w:tr>
      <w:tr w:rsidR="00663F33" w14:paraId="18F1BF14" w14:textId="77777777">
        <w:tc>
          <w:tcPr>
            <w:tcW w:w="4920" w:type="dxa"/>
          </w:tcPr>
          <w:p w14:paraId="28B1DFFA" w14:textId="77777777" w:rsidR="00663F33" w:rsidRDefault="00000000">
            <w:r>
              <w:t>Foreign-domiciled applicant, registrant or party (e.g. India)</w:t>
            </w:r>
          </w:p>
        </w:tc>
        <w:tc>
          <w:tcPr>
            <w:tcW w:w="4440" w:type="dxa"/>
          </w:tcPr>
          <w:p w14:paraId="4AEA48A5" w14:textId="77777777" w:rsidR="00663F33" w:rsidRDefault="00000000">
            <w:r>
              <w:t>Yes, for all trademark proceedings before the USPTO</w:t>
            </w:r>
          </w:p>
        </w:tc>
      </w:tr>
      <w:tr w:rsidR="00663F33" w14:paraId="648FEF6D" w14:textId="77777777">
        <w:tc>
          <w:tcPr>
            <w:tcW w:w="4920" w:type="dxa"/>
          </w:tcPr>
          <w:p w14:paraId="0D3C33A4" w14:textId="77777777" w:rsidR="00663F33" w:rsidRDefault="00000000">
            <w:r>
              <w:t>Applicant domiciled in the United States or its territories</w:t>
            </w:r>
          </w:p>
        </w:tc>
        <w:tc>
          <w:tcPr>
            <w:tcW w:w="4440" w:type="dxa"/>
          </w:tcPr>
          <w:p w14:paraId="5995D818" w14:textId="77777777" w:rsidR="00663F33" w:rsidRDefault="00000000">
            <w:r>
              <w:t>No, but recommended</w:t>
            </w:r>
          </w:p>
        </w:tc>
      </w:tr>
      <w:tr w:rsidR="00663F33" w14:paraId="1A79E594" w14:textId="77777777">
        <w:tc>
          <w:tcPr>
            <w:tcW w:w="4920" w:type="dxa"/>
          </w:tcPr>
          <w:p w14:paraId="00E11938" w14:textId="77777777" w:rsidR="00663F33" w:rsidRDefault="00000000">
            <w:r>
              <w:t>Madrid Protocol application (Section 66(a)), initial filing</w:t>
            </w:r>
          </w:p>
        </w:tc>
        <w:tc>
          <w:tcPr>
            <w:tcW w:w="4440" w:type="dxa"/>
          </w:tcPr>
          <w:p w14:paraId="56912D0B" w14:textId="77777777" w:rsidR="00663F33" w:rsidRDefault="00000000">
            <w:r>
              <w:t>No</w:t>
            </w:r>
          </w:p>
        </w:tc>
      </w:tr>
      <w:tr w:rsidR="00663F33" w14:paraId="651A3385" w14:textId="77777777">
        <w:tc>
          <w:tcPr>
            <w:tcW w:w="4920" w:type="dxa"/>
          </w:tcPr>
          <w:p w14:paraId="516910E4" w14:textId="77777777" w:rsidR="00663F33" w:rsidRDefault="00000000">
            <w:r>
              <w:t>Madrid Protocol application (Section 66(a)) after an Office Action or provisional refusal</w:t>
            </w:r>
          </w:p>
        </w:tc>
        <w:tc>
          <w:tcPr>
            <w:tcW w:w="4440" w:type="dxa"/>
          </w:tcPr>
          <w:p w14:paraId="46B9E886" w14:textId="77777777" w:rsidR="00663F33" w:rsidRDefault="00000000">
            <w:r>
              <w:t>Yes. A U.S.-licensed attorney must be appointed to handle the proceedings</w:t>
            </w:r>
          </w:p>
        </w:tc>
      </w:tr>
    </w:tbl>
    <w:p w14:paraId="39376329" w14:textId="77777777" w:rsidR="00663F33" w:rsidRDefault="00000000">
      <w:r>
        <w:rPr>
          <w:b/>
        </w:rPr>
        <w:lastRenderedPageBreak/>
        <w:t>What this means for Indian applicants:</w:t>
      </w:r>
      <w:r>
        <w:t xml:space="preserve"> appoint a U.S.-licensed attorney for any direct USPTO filing, and budget for one even on a Madrid route, since any refusal that needs a response triggers the requirement.</w:t>
      </w:r>
    </w:p>
    <w:p w14:paraId="1CE400AD" w14:textId="77777777" w:rsidR="00663F33" w:rsidRDefault="00000000">
      <w:pPr>
        <w:pStyle w:val="Heading2"/>
      </w:pPr>
      <w:r>
        <w:t>8. Validity, Maintenance and Renewal</w:t>
      </w:r>
    </w:p>
    <w:p w14:paraId="71FAAC16" w14:textId="77777777" w:rsidR="00663F33" w:rsidRDefault="00000000">
      <w:r>
        <w:t>A U.S. registration lasts ten years and can be renewed for successive ten-year periods, but it is cancelled if the Section 8 filings are missed.</w:t>
      </w:r>
    </w:p>
    <w:p w14:paraId="38A8AD85" w14:textId="77777777" w:rsidR="00663F33" w:rsidRDefault="00000000">
      <w:pPr>
        <w:pStyle w:val="Heading3"/>
      </w:pPr>
      <w:r>
        <w:t>8.1 Term</w:t>
      </w:r>
    </w:p>
    <w:p w14:paraId="3A15A5F4" w14:textId="77777777" w:rsidR="00663F33" w:rsidRDefault="00000000">
      <w:r>
        <w:t>A federal registration is valid for ten years and may be renewed for successive ten-year periods, provided the statutory requirements are met. The owner must file the required declarations of use or excusable non-use, and renewal documents, within the prescribed deadlines.</w:t>
      </w:r>
    </w:p>
    <w:p w14:paraId="6B8C44ED" w14:textId="77777777" w:rsidR="00663F33" w:rsidRDefault="00000000">
      <w:pPr>
        <w:pStyle w:val="Heading3"/>
      </w:pPr>
      <w:r>
        <w:t>8.2 Maintenance Filings and Fees</w:t>
      </w:r>
    </w:p>
    <w:tbl>
      <w:tblPr>
        <w:tblStyle w:val="TableGrid"/>
        <w:tblW w:w="0" w:type="auto"/>
        <w:tblLayout w:type="fixed"/>
        <w:tblLook w:val="0420" w:firstRow="1" w:lastRow="0" w:firstColumn="0" w:lastColumn="0" w:noHBand="0" w:noVBand="1"/>
      </w:tblPr>
      <w:tblGrid>
        <w:gridCol w:w="2345"/>
        <w:gridCol w:w="2899"/>
        <w:gridCol w:w="1306"/>
        <w:gridCol w:w="1306"/>
        <w:gridCol w:w="1504"/>
      </w:tblGrid>
      <w:tr w:rsidR="00663F33" w14:paraId="144A2057" w14:textId="77777777">
        <w:trPr>
          <w:tblHeader/>
        </w:trPr>
        <w:tc>
          <w:tcPr>
            <w:tcW w:w="2345" w:type="dxa"/>
            <w:shd w:val="clear" w:color="auto" w:fill="F2F2F2"/>
          </w:tcPr>
          <w:p w14:paraId="7F3D1647" w14:textId="77777777" w:rsidR="00663F33" w:rsidRDefault="00000000">
            <w:r>
              <w:t>Filing</w:t>
            </w:r>
          </w:p>
        </w:tc>
        <w:tc>
          <w:tcPr>
            <w:tcW w:w="2899" w:type="dxa"/>
            <w:shd w:val="clear" w:color="auto" w:fill="F2F2F2"/>
          </w:tcPr>
          <w:p w14:paraId="658CAE6E" w14:textId="77777777" w:rsidR="00663F33" w:rsidRDefault="00000000">
            <w:r>
              <w:t>Filing window</w:t>
            </w:r>
          </w:p>
        </w:tc>
        <w:tc>
          <w:tcPr>
            <w:tcW w:w="1306" w:type="dxa"/>
            <w:shd w:val="clear" w:color="auto" w:fill="F2F2F2"/>
          </w:tcPr>
          <w:p w14:paraId="610CAFEA" w14:textId="77777777" w:rsidR="00663F33" w:rsidRDefault="00000000">
            <w:r>
              <w:t>Fee per class (USD)</w:t>
            </w:r>
          </w:p>
        </w:tc>
        <w:tc>
          <w:tcPr>
            <w:tcW w:w="1306" w:type="dxa"/>
            <w:shd w:val="clear" w:color="auto" w:fill="F2F2F2"/>
          </w:tcPr>
          <w:p w14:paraId="3EC58ACF" w14:textId="77777777" w:rsidR="00663F33" w:rsidRDefault="00000000">
            <w:r>
              <w:t>Fee in 6-month grace period (USD)</w:t>
            </w:r>
          </w:p>
        </w:tc>
        <w:tc>
          <w:tcPr>
            <w:tcW w:w="1504" w:type="dxa"/>
            <w:shd w:val="clear" w:color="auto" w:fill="F2F2F2"/>
          </w:tcPr>
          <w:p w14:paraId="3B6B0922" w14:textId="77777777" w:rsidR="00663F33" w:rsidRDefault="00000000">
            <w:r>
              <w:t>Mandatory?</w:t>
            </w:r>
          </w:p>
        </w:tc>
      </w:tr>
      <w:tr w:rsidR="00663F33" w14:paraId="08A64CED" w14:textId="77777777">
        <w:tc>
          <w:tcPr>
            <w:tcW w:w="2345" w:type="dxa"/>
          </w:tcPr>
          <w:p w14:paraId="7AC76BEA" w14:textId="77777777" w:rsidR="00663F33" w:rsidRDefault="00000000">
            <w:r>
              <w:t>Section 8 Declaration of Use or Excusable Nonuse</w:t>
            </w:r>
          </w:p>
        </w:tc>
        <w:tc>
          <w:tcPr>
            <w:tcW w:w="2899" w:type="dxa"/>
          </w:tcPr>
          <w:p w14:paraId="4F83E6B2" w14:textId="77777777" w:rsidR="00663F33" w:rsidRDefault="00000000">
            <w:r>
              <w:t>Between the 5th and 6th year after registration</w:t>
            </w:r>
          </w:p>
        </w:tc>
        <w:tc>
          <w:tcPr>
            <w:tcW w:w="1306" w:type="dxa"/>
          </w:tcPr>
          <w:p w14:paraId="123609B7" w14:textId="77777777" w:rsidR="00663F33" w:rsidRDefault="00000000">
            <w:r>
              <w:t>325</w:t>
            </w:r>
          </w:p>
        </w:tc>
        <w:tc>
          <w:tcPr>
            <w:tcW w:w="1306" w:type="dxa"/>
          </w:tcPr>
          <w:p w14:paraId="3E1F7D29" w14:textId="77777777" w:rsidR="00663F33" w:rsidRDefault="00000000">
            <w:r>
              <w:t>425 (includes 100 surcharge)</w:t>
            </w:r>
          </w:p>
        </w:tc>
        <w:tc>
          <w:tcPr>
            <w:tcW w:w="1504" w:type="dxa"/>
          </w:tcPr>
          <w:p w14:paraId="591152E7" w14:textId="77777777" w:rsidR="00663F33" w:rsidRDefault="00000000">
            <w:r>
              <w:t>Yes. Failure leads to cancellation</w:t>
            </w:r>
          </w:p>
        </w:tc>
      </w:tr>
      <w:tr w:rsidR="00663F33" w14:paraId="04F38B9D" w14:textId="77777777">
        <w:tc>
          <w:tcPr>
            <w:tcW w:w="2345" w:type="dxa"/>
          </w:tcPr>
          <w:p w14:paraId="6EE1CDE0" w14:textId="77777777" w:rsidR="00663F33" w:rsidRDefault="00000000">
            <w:r>
              <w:t>Section 8 + Section 9 renewal</w:t>
            </w:r>
          </w:p>
        </w:tc>
        <w:tc>
          <w:tcPr>
            <w:tcW w:w="2899" w:type="dxa"/>
          </w:tcPr>
          <w:p w14:paraId="67A409E7" w14:textId="77777777" w:rsidR="00663F33" w:rsidRDefault="00000000">
            <w:r>
              <w:t>Between the 9th and 10th year after registration</w:t>
            </w:r>
          </w:p>
        </w:tc>
        <w:tc>
          <w:tcPr>
            <w:tcW w:w="1306" w:type="dxa"/>
          </w:tcPr>
          <w:p w14:paraId="1B1CC2C1" w14:textId="77777777" w:rsidR="00663F33" w:rsidRDefault="00000000">
            <w:r>
              <w:t>650</w:t>
            </w:r>
          </w:p>
        </w:tc>
        <w:tc>
          <w:tcPr>
            <w:tcW w:w="1306" w:type="dxa"/>
          </w:tcPr>
          <w:p w14:paraId="396825CE" w14:textId="77777777" w:rsidR="00663F33" w:rsidRDefault="00000000">
            <w:r>
              <w:t>850 (includes 200 surcharge)</w:t>
            </w:r>
          </w:p>
        </w:tc>
        <w:tc>
          <w:tcPr>
            <w:tcW w:w="1504" w:type="dxa"/>
          </w:tcPr>
          <w:p w14:paraId="6B7F1272" w14:textId="77777777" w:rsidR="00663F33" w:rsidRDefault="00000000">
            <w:r>
              <w:t>Yes</w:t>
            </w:r>
          </w:p>
        </w:tc>
      </w:tr>
      <w:tr w:rsidR="00663F33" w14:paraId="0FBF9570" w14:textId="77777777">
        <w:tc>
          <w:tcPr>
            <w:tcW w:w="2345" w:type="dxa"/>
          </w:tcPr>
          <w:p w14:paraId="0E3FC49B" w14:textId="77777777" w:rsidR="00663F33" w:rsidRDefault="00000000">
            <w:r>
              <w:t>Section 15 Declaration of incontestability</w:t>
            </w:r>
          </w:p>
        </w:tc>
        <w:tc>
          <w:tcPr>
            <w:tcW w:w="2899" w:type="dxa"/>
          </w:tcPr>
          <w:p w14:paraId="3F66151F" w14:textId="77777777" w:rsidR="00663F33" w:rsidRDefault="00000000">
            <w:proofErr w:type="gramStart"/>
            <w:r>
              <w:t>Generally</w:t>
            </w:r>
            <w:proofErr w:type="gramEnd"/>
            <w:r>
              <w:t xml:space="preserve"> within one year after five consecutive years of continuous use following registration</w:t>
            </w:r>
          </w:p>
        </w:tc>
        <w:tc>
          <w:tcPr>
            <w:tcW w:w="1306" w:type="dxa"/>
          </w:tcPr>
          <w:p w14:paraId="4A45238C" w14:textId="77777777" w:rsidR="00663F33" w:rsidRDefault="00000000">
            <w:r>
              <w:t>250 if filed separately</w:t>
            </w:r>
          </w:p>
        </w:tc>
        <w:tc>
          <w:tcPr>
            <w:tcW w:w="1306" w:type="dxa"/>
          </w:tcPr>
          <w:p w14:paraId="5971912B" w14:textId="77777777" w:rsidR="00663F33" w:rsidRDefault="00000000">
            <w:r>
              <w:t>n/a</w:t>
            </w:r>
          </w:p>
        </w:tc>
        <w:tc>
          <w:tcPr>
            <w:tcW w:w="1504" w:type="dxa"/>
          </w:tcPr>
          <w:p w14:paraId="74DAFA41" w14:textId="77777777" w:rsidR="00663F33" w:rsidRDefault="00000000">
            <w:r>
              <w:t>No. Failing to file it does not cancel the registration</w:t>
            </w:r>
          </w:p>
        </w:tc>
      </w:tr>
      <w:tr w:rsidR="00663F33" w14:paraId="3DD7B50E" w14:textId="77777777">
        <w:tc>
          <w:tcPr>
            <w:tcW w:w="2345" w:type="dxa"/>
          </w:tcPr>
          <w:p w14:paraId="43D4AD0C" w14:textId="77777777" w:rsidR="00663F33" w:rsidRDefault="00000000">
            <w:r>
              <w:t>Section 8 + Section 15 combined</w:t>
            </w:r>
          </w:p>
        </w:tc>
        <w:tc>
          <w:tcPr>
            <w:tcW w:w="2899" w:type="dxa"/>
          </w:tcPr>
          <w:p w14:paraId="50FF8A83" w14:textId="77777777" w:rsidR="00663F33" w:rsidRDefault="00000000">
            <w:r>
              <w:t>As for Section 8</w:t>
            </w:r>
          </w:p>
        </w:tc>
        <w:tc>
          <w:tcPr>
            <w:tcW w:w="1306" w:type="dxa"/>
          </w:tcPr>
          <w:p w14:paraId="7671A5AB" w14:textId="77777777" w:rsidR="00663F33" w:rsidRDefault="00000000">
            <w:r>
              <w:t>575</w:t>
            </w:r>
          </w:p>
        </w:tc>
        <w:tc>
          <w:tcPr>
            <w:tcW w:w="1306" w:type="dxa"/>
          </w:tcPr>
          <w:p w14:paraId="00ED8869" w14:textId="77777777" w:rsidR="00663F33" w:rsidRDefault="00000000">
            <w:r>
              <w:t>n/a</w:t>
            </w:r>
          </w:p>
        </w:tc>
        <w:tc>
          <w:tcPr>
            <w:tcW w:w="1504" w:type="dxa"/>
          </w:tcPr>
          <w:p w14:paraId="3396DE37" w14:textId="77777777" w:rsidR="00663F33" w:rsidRDefault="00000000">
            <w:r>
              <w:t>Section 8 part is mandatory</w:t>
            </w:r>
          </w:p>
        </w:tc>
      </w:tr>
      <w:tr w:rsidR="00663F33" w14:paraId="24180EA7" w14:textId="77777777">
        <w:tc>
          <w:tcPr>
            <w:tcW w:w="2345" w:type="dxa"/>
          </w:tcPr>
          <w:p w14:paraId="1749AD99" w14:textId="77777777" w:rsidR="00663F33" w:rsidRDefault="00000000">
            <w:r>
              <w:t>Subsequent renewals</w:t>
            </w:r>
          </w:p>
        </w:tc>
        <w:tc>
          <w:tcPr>
            <w:tcW w:w="2899" w:type="dxa"/>
          </w:tcPr>
          <w:p w14:paraId="009577BD" w14:textId="77777777" w:rsidR="00663F33" w:rsidRDefault="00000000">
            <w:r>
              <w:t>Every 10 years</w:t>
            </w:r>
          </w:p>
        </w:tc>
        <w:tc>
          <w:tcPr>
            <w:tcW w:w="1306" w:type="dxa"/>
          </w:tcPr>
          <w:p w14:paraId="011F4722" w14:textId="77777777" w:rsidR="00663F33" w:rsidRDefault="00000000">
            <w:r>
              <w:t>650 (Sections 8 + 9)</w:t>
            </w:r>
          </w:p>
        </w:tc>
        <w:tc>
          <w:tcPr>
            <w:tcW w:w="1306" w:type="dxa"/>
          </w:tcPr>
          <w:p w14:paraId="27F8A30B" w14:textId="77777777" w:rsidR="00663F33" w:rsidRDefault="00000000">
            <w:r>
              <w:t>850</w:t>
            </w:r>
          </w:p>
        </w:tc>
        <w:tc>
          <w:tcPr>
            <w:tcW w:w="1504" w:type="dxa"/>
          </w:tcPr>
          <w:p w14:paraId="0893AB1C" w14:textId="77777777" w:rsidR="00663F33" w:rsidRDefault="00000000">
            <w:r>
              <w:t>Yes</w:t>
            </w:r>
          </w:p>
        </w:tc>
      </w:tr>
      <w:tr w:rsidR="00663F33" w14:paraId="5928B92D" w14:textId="77777777">
        <w:tc>
          <w:tcPr>
            <w:tcW w:w="2345" w:type="dxa"/>
          </w:tcPr>
          <w:p w14:paraId="49F6E4B6" w14:textId="77777777" w:rsidR="00663F33" w:rsidRDefault="00000000">
            <w:r>
              <w:t>Section 71 Declaration (Madrid, Section 66(a) registrations)</w:t>
            </w:r>
          </w:p>
        </w:tc>
        <w:tc>
          <w:tcPr>
            <w:tcW w:w="2899" w:type="dxa"/>
          </w:tcPr>
          <w:p w14:paraId="1FB0F99E" w14:textId="77777777" w:rsidR="00663F33" w:rsidRDefault="00000000">
            <w:r>
              <w:t>Between the 5th and 6th year, and again between the 9th and 10th year</w:t>
            </w:r>
          </w:p>
        </w:tc>
        <w:tc>
          <w:tcPr>
            <w:tcW w:w="1306" w:type="dxa"/>
          </w:tcPr>
          <w:p w14:paraId="6364D5F3" w14:textId="77777777" w:rsidR="00663F33" w:rsidRDefault="00000000">
            <w:r>
              <w:t>325</w:t>
            </w:r>
          </w:p>
        </w:tc>
        <w:tc>
          <w:tcPr>
            <w:tcW w:w="1306" w:type="dxa"/>
          </w:tcPr>
          <w:p w14:paraId="2E70A3EB" w14:textId="77777777" w:rsidR="00663F33" w:rsidRDefault="00000000">
            <w:r>
              <w:t>n/a</w:t>
            </w:r>
          </w:p>
        </w:tc>
        <w:tc>
          <w:tcPr>
            <w:tcW w:w="1504" w:type="dxa"/>
          </w:tcPr>
          <w:p w14:paraId="324D43A4" w14:textId="77777777" w:rsidR="00663F33" w:rsidRDefault="00000000">
            <w:r>
              <w:t>Yes</w:t>
            </w:r>
          </w:p>
        </w:tc>
      </w:tr>
    </w:tbl>
    <w:p w14:paraId="756CB848" w14:textId="77777777" w:rsidR="00663F33" w:rsidRDefault="00000000">
      <w:pPr>
        <w:pStyle w:val="Heading3"/>
      </w:pPr>
      <w:r>
        <w:lastRenderedPageBreak/>
        <w:t>8.3 Section 15: Incontestability</w:t>
      </w:r>
    </w:p>
    <w:p w14:paraId="66E6AB46" w14:textId="77777777" w:rsidR="00663F33" w:rsidRDefault="00000000">
      <w:r>
        <w:t>Section 15 is an optional filing that claims incontestable status for a U.S. trademark after five consecutive years of continuous use in U.S. commerce, subject to statutory requirements. File it generally within one year after completing the five years of qualifying use following registration. Filed separately it costs USD 250 per class. Filed together with the Section 8 declaration it costs USD 575 per class, the sum of the two fees.</w:t>
      </w:r>
    </w:p>
    <w:p w14:paraId="399C0682" w14:textId="08F508A7" w:rsidR="00663F33" w:rsidRDefault="00C1475E" w:rsidP="00C1475E">
      <w:pPr>
        <w:pStyle w:val="Heading2"/>
      </w:pPr>
      <w:r>
        <w:t xml:space="preserve">  </w:t>
      </w:r>
    </w:p>
    <w:sectPr w:rsidR="00663F3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2F7"/>
    <w:multiLevelType w:val="hybridMultilevel"/>
    <w:tmpl w:val="C26AE1B0"/>
    <w:lvl w:ilvl="0" w:tplc="A45E40D0">
      <w:start w:val="1"/>
      <w:numFmt w:val="bullet"/>
      <w:lvlText w:val="•"/>
      <w:lvlJc w:val="left"/>
      <w:pPr>
        <w:ind w:left="720" w:hanging="360"/>
      </w:pPr>
    </w:lvl>
    <w:lvl w:ilvl="1" w:tplc="C4904D18">
      <w:start w:val="1"/>
      <w:numFmt w:val="bullet"/>
      <w:lvlText w:val="o"/>
      <w:lvlJc w:val="left"/>
      <w:pPr>
        <w:ind w:left="1440" w:hanging="360"/>
      </w:pPr>
    </w:lvl>
    <w:lvl w:ilvl="2" w:tplc="1074A040">
      <w:start w:val="1"/>
      <w:numFmt w:val="bullet"/>
      <w:lvlText w:val="▪"/>
      <w:lvlJc w:val="left"/>
      <w:pPr>
        <w:ind w:left="2160" w:hanging="360"/>
      </w:pPr>
    </w:lvl>
    <w:lvl w:ilvl="3" w:tplc="1F2C50E2">
      <w:start w:val="1"/>
      <w:numFmt w:val="bullet"/>
      <w:lvlText w:val="•"/>
      <w:lvlJc w:val="left"/>
      <w:pPr>
        <w:ind w:left="2880" w:hanging="360"/>
      </w:pPr>
    </w:lvl>
    <w:lvl w:ilvl="4" w:tplc="7AEE7A38">
      <w:start w:val="1"/>
      <w:numFmt w:val="bullet"/>
      <w:lvlText w:val="o"/>
      <w:lvlJc w:val="left"/>
      <w:pPr>
        <w:ind w:left="3600" w:hanging="360"/>
      </w:pPr>
    </w:lvl>
    <w:lvl w:ilvl="5" w:tplc="40FA0A3E">
      <w:start w:val="1"/>
      <w:numFmt w:val="bullet"/>
      <w:lvlText w:val="▪"/>
      <w:lvlJc w:val="left"/>
      <w:pPr>
        <w:ind w:left="4320" w:hanging="360"/>
      </w:pPr>
    </w:lvl>
    <w:lvl w:ilvl="6" w:tplc="60AE672E">
      <w:start w:val="1"/>
      <w:numFmt w:val="bullet"/>
      <w:lvlText w:val="•"/>
      <w:lvlJc w:val="left"/>
      <w:pPr>
        <w:ind w:left="5040" w:hanging="360"/>
      </w:pPr>
    </w:lvl>
    <w:lvl w:ilvl="7" w:tplc="AD566A8A">
      <w:start w:val="1"/>
      <w:numFmt w:val="bullet"/>
      <w:lvlText w:val="o"/>
      <w:lvlJc w:val="left"/>
      <w:pPr>
        <w:ind w:left="5760" w:hanging="360"/>
      </w:pPr>
    </w:lvl>
    <w:lvl w:ilvl="8" w:tplc="9DC038B6">
      <w:start w:val="1"/>
      <w:numFmt w:val="bullet"/>
      <w:lvlText w:val="▪"/>
      <w:lvlJc w:val="left"/>
      <w:pPr>
        <w:ind w:left="6480" w:hanging="360"/>
      </w:pPr>
    </w:lvl>
  </w:abstractNum>
  <w:abstractNum w:abstractNumId="1" w15:restartNumberingAfterBreak="0">
    <w:nsid w:val="475C6516"/>
    <w:multiLevelType w:val="hybridMultilevel"/>
    <w:tmpl w:val="766449A0"/>
    <w:lvl w:ilvl="0" w:tplc="EC68DD04">
      <w:start w:val="1"/>
      <w:numFmt w:val="decimal"/>
      <w:lvlText w:val="%1."/>
      <w:lvlJc w:val="left"/>
      <w:pPr>
        <w:ind w:left="720" w:hanging="360"/>
      </w:pPr>
    </w:lvl>
    <w:lvl w:ilvl="1" w:tplc="817CD4C4">
      <w:start w:val="1"/>
      <w:numFmt w:val="lowerLetter"/>
      <w:lvlText w:val="%2."/>
      <w:lvlJc w:val="left"/>
      <w:pPr>
        <w:ind w:left="1440" w:hanging="360"/>
      </w:pPr>
    </w:lvl>
    <w:lvl w:ilvl="2" w:tplc="20CEFA64">
      <w:start w:val="1"/>
      <w:numFmt w:val="lowerRoman"/>
      <w:lvlText w:val="%3."/>
      <w:lvlJc w:val="left"/>
      <w:pPr>
        <w:ind w:left="2160" w:hanging="360"/>
      </w:pPr>
    </w:lvl>
    <w:lvl w:ilvl="3" w:tplc="7878223C">
      <w:start w:val="1"/>
      <w:numFmt w:val="decimal"/>
      <w:lvlText w:val="%4."/>
      <w:lvlJc w:val="left"/>
      <w:pPr>
        <w:ind w:left="2880" w:hanging="360"/>
      </w:pPr>
    </w:lvl>
    <w:lvl w:ilvl="4" w:tplc="A3F6B6C0">
      <w:start w:val="1"/>
      <w:numFmt w:val="lowerLetter"/>
      <w:lvlText w:val="%5."/>
      <w:lvlJc w:val="left"/>
      <w:pPr>
        <w:ind w:left="3600" w:hanging="360"/>
      </w:pPr>
    </w:lvl>
    <w:lvl w:ilvl="5" w:tplc="93EA1384">
      <w:start w:val="1"/>
      <w:numFmt w:val="lowerRoman"/>
      <w:lvlText w:val="%6."/>
      <w:lvlJc w:val="left"/>
      <w:pPr>
        <w:ind w:left="4320" w:hanging="360"/>
      </w:pPr>
    </w:lvl>
    <w:lvl w:ilvl="6" w:tplc="1F0A1698">
      <w:start w:val="1"/>
      <w:numFmt w:val="decimal"/>
      <w:lvlText w:val="%7."/>
      <w:lvlJc w:val="left"/>
      <w:pPr>
        <w:ind w:left="5040" w:hanging="360"/>
      </w:pPr>
    </w:lvl>
    <w:lvl w:ilvl="7" w:tplc="333CFC2C">
      <w:start w:val="1"/>
      <w:numFmt w:val="lowerLetter"/>
      <w:lvlText w:val="%8."/>
      <w:lvlJc w:val="left"/>
      <w:pPr>
        <w:ind w:left="5760" w:hanging="360"/>
      </w:pPr>
    </w:lvl>
    <w:lvl w:ilvl="8" w:tplc="AC3E4F00">
      <w:start w:val="1"/>
      <w:numFmt w:val="lowerRoman"/>
      <w:lvlText w:val="%9."/>
      <w:lvlJc w:val="left"/>
      <w:pPr>
        <w:ind w:left="6480" w:hanging="360"/>
      </w:pPr>
    </w:lvl>
  </w:abstractNum>
  <w:num w:numId="1" w16cid:durableId="1773427348">
    <w:abstractNumId w:val="0"/>
  </w:num>
  <w:num w:numId="2" w16cid:durableId="1015689582">
    <w:abstractNumId w:val="0"/>
  </w:num>
  <w:num w:numId="3" w16cid:durableId="1983926778">
    <w:abstractNumId w:val="1"/>
    <w:lvlOverride w:ilvl="0">
      <w:startOverride w:val="1"/>
    </w:lvlOverride>
  </w:num>
  <w:num w:numId="4" w16cid:durableId="1143497292">
    <w:abstractNumId w:val="0"/>
  </w:num>
  <w:num w:numId="5" w16cid:durableId="237205986">
    <w:abstractNumId w:val="0"/>
  </w:num>
  <w:num w:numId="6" w16cid:durableId="875194351">
    <w:abstractNumId w:val="0"/>
  </w:num>
  <w:num w:numId="7" w16cid:durableId="729694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63F33"/>
    <w:rsid w:val="00574DDD"/>
    <w:rsid w:val="00663F33"/>
    <w:rsid w:val="00921CAD"/>
    <w:rsid w:val="00C1475E"/>
    <w:rsid w:val="00CB7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3E5A0"/>
  <w15:docId w15:val="{7F44B9DE-B762-43AE-B976-12E8A59CA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1897</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USA Trademark Registration Complete Country Practice Guide</vt:lpstr>
    </vt:vector>
  </TitlesOfParts>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 Trademark Registration Complete Country Practice Guide</dc:title>
  <dc:description>Claude Docs node/2bc9fe4e-e9cf@13 docx-w7</dc:description>
  <cp:lastModifiedBy>riyagupta0712@outlook.com</cp:lastModifiedBy>
  <cp:revision>15</cp:revision>
  <dcterms:created xsi:type="dcterms:W3CDTF">2026-10-20T14:16:00Z</dcterms:created>
  <dcterms:modified xsi:type="dcterms:W3CDTF">2026-10-20T14:29:00Z</dcterms:modified>
</cp:coreProperties>
</file>