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Client Intake Questionnaire</w:t>
      </w:r>
    </w:p>
    <w:p>
      <w:pPr>
        <w:spacing w:after="60"/>
        <w:jc w:val="center"/>
      </w:pPr>
      <w:r>
        <w:rPr>
          <w:b/>
          <w:bCs/>
        </w:rPr>
        <w:t xml:space="preserve">Single-Member LLC Operating Agreement — North Carolina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N.C. Gen. Stat. Ch. 57D (North Carolina Limited Liability Company Act)</w:t>
      </w:r>
    </w:p>
    <w:p>
      <w:pPr>
        <w:spacing w:after="160"/>
      </w:pPr>
      <w:r>
        <w:rPr>
          <w:i/>
          <w:iCs/>
        </w:rPr>
        <w:t xml:space="preserve">Instructions: Complete every applicable row in the “Client Answer” column. Each answer fills the matching {{variable}} in the companion Operating Agreement template. Leave a field blank only where the note says it is conditional. Return the completed form to your attorney; do not sign the Operating Agreement until it has been reviewed.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620"/>
        <w:gridCol w:w="5140"/>
        <w:gridCol w:w="3600"/>
      </w:tblGrid>
      <w:tr>
        <w:trPr>
          <w:tblHeader/>
        </w:trPr>
        <w:tc>
          <w:tcPr>
            <w:tcW w:type="dxa" w:w="6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14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/ Variable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 Answer</w:t>
            </w:r>
          </w:p>
        </w:tc>
      </w:tr>
      <w:tr>
        <w:tc>
          <w:tcPr>
            <w:gridSpan w:val="3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A.  COMPANY INFORMATION</w:t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Exact legal name of the LLC (as filed with the NC Secretary of State).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{{COMPANY_NAME}}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Must match Articles of Organization exactly, including “LLC”/“L.L.C.”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NC Secretary of State entity ID (SOSID) number.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{{SOSID}}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Date the Articles of Organization were (or will be) filed.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{{ARTICLES_FILING_DATE}}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Effective date of this Operating Agreement.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{{EFFECTIVE_DATE}}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Usually same as or after the formation date.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Principal office street address.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{{PRINCIPAL_OFFICE_ADDRESS}}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Registered agent name in North Carolina.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{{REGISTERED_AGENT_NAME}}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Registered office address in North Carolina.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{{REGISTERED_OFFICE_ADDRESS}}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Must be a NC street address (no P.O. box only).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Business purpose / description of activities.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{{BUSINESS_PURPOSE}}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Or use “any lawful purpose” if no restriction is desired.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Term/duration of the Company.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{{TERM}}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Default “perpetual” unless a fixed end date is required.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gridSpan w:val="3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B.  SOLE MEMBER INFORMATION</w:t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Full legal name of the sole Member.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{{MEMBER_NAME}}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Member type — individual or entity.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{{MEMBER_TYPE}}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If an entity, also give its state of formation.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If the Member is an entity, its state/type of formation.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{{MEMBER_ENTITY_STATE}}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Leave blank if Member is an individual.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Member's mailing address.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{{MEMBER_ADDRESS}}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gridSpan w:val="3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C.  CAPITAL</w:t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Initial capital contribution (dollar value).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{{INITIAL_CAPITAL_CONTRIBUTION}}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Form of the contribution (cash, property, services).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{{CONTRIBUTION_FORM}}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Describe any non-cash property and its agreed value.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gridSpan w:val="3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D.  MANAGEMENT</w:t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Management structure — Member-Managed or Manager-Managed.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{{MANAGEMENT_TYPE}}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Most single-member LLCs are Member-Managed.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If Manager-Managed, name of the initial Manager.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{{MANAGER_NAME}}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Leave blank if Member-Managed.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gridSpan w:val="3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E.  TAX &amp; ACCOUNTING</w:t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Federal tax classification.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{{TAX_CLASSIFICATION}}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Default for SMLLC = disregarded entity; or elect S-corp / C-corp.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Fiscal year end.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{{FISCAL_YEAR_END}}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Usually December 31.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gridSpan w:val="3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F.  SUCCESSION, DISSOLUTION &amp; NOTICES</w:t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Successor / transfer-on-death beneficiary of the membership interest.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{{SUCCESSOR_MEMBER}}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Who inherits/controls the interest on the Member's death or incapacity.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Events that should trigger dissolution (beyond statutory defaults).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{{DISSOLUTION_TRIGGER}}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Or “none beyond those in N.C. Gen. Stat. § 57D-6-01.”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Notice address for the Member.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{{NOTICE_ADDRESS}}</w:t>
            </w:r>
          </w:p>
          <w:p>
            <w:pPr>
              <w:spacing w:before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May be the same as the mailing address above.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Notice email for the Member.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{{NOTICE_EMAIL}}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gridSpan w:val="3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G.  EXECUTION</w:t>
            </w:r>
          </w:p>
        </w:tc>
      </w:tr>
      <w:tr>
        <w:tc>
          <w:tcPr>
            <w:tcW w:type="dxa" w:w="62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Date the Member will sign.</w:t>
            </w:r>
          </w:p>
          <w:p>
            <w:pPr>
              <w:spacing w:before="40"/>
            </w:pPr>
            <w:r>
              <w:rPr>
                <w:color w:val="595959"/>
                <w:sz w:val="18"/>
                <w:szCs w:val="18"/>
              </w:rPr>
              <w:t xml:space="preserve">Variable: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{{SIGNATURE_DATE}}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before="120"/>
      </w:pPr>
      <w:r>
        <w:rPr>
          <w:b/>
          <w:bCs/>
        </w:rPr>
        <w:t xml:space="preserve">Additional notes / special instructions:</w:t>
      </w:r>
    </w:p>
    <w:p>
      <w:pPr>
        <w:pBdr>
          <w:bottom w:val="single" w:color="AAAAAA" w:sz="4" w:space="6"/>
        </w:pBdr>
        <w:spacing w:before="200"/>
      </w:pPr>
      <w:r>
        <w:t xml:space="preserve"/>
      </w:r>
    </w:p>
    <w:p>
      <w:pPr>
        <w:pBdr>
          <w:bottom w:val="single" w:color="AAAAAA" w:sz="4" w:space="6"/>
        </w:pBdr>
        <w:spacing w:before="200"/>
      </w:pPr>
      <w:r>
        <w:t xml:space="preserve"/>
      </w:r>
    </w:p>
    <w:p>
      <w:pPr>
        <w:pBdr>
          <w:bottom w:val="single" w:color="AAAAAA" w:sz="4" w:space="6"/>
        </w:pBdr>
        <w:spacing w:before="200"/>
      </w:pPr>
      <w:r>
        <w:t xml:space="preserve"/>
      </w:r>
    </w:p>
    <w:p>
      <w:r>
        <w:t xml:space="preserve"/>
      </w:r>
    </w:p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This questionnaire and any resulting draft are preliminary attorney work product prepared for attorney review and do not constitute legal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PRIVILEGED &amp; CONFIDENTIAL — ATTORNEY-CLIENT / WORK PRODUCT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2026-06-22T16:32:19.845Z</dcterms:created>
  <dcterms:modified xsi:type="dcterms:W3CDTF">2026-06-22T16:32:19.846Z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