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rPr>
        <w:t>X</w:t>
      </w:r>
      <w:r>
        <w:rPr>
          <w:rFonts w:cs="Times New Roman" w:asciiTheme="majorEastAsia" w:hAnsiTheme="majorEastAsia" w:eastAsiaTheme="majorEastAsia"/>
          <w:b/>
          <w:sz w:val="44"/>
          <w:szCs w:val="44"/>
        </w:rPr>
        <w:t>XX</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cs="Times New Roman" w:asciiTheme="majorEastAsia" w:hAnsiTheme="majorEastAsia" w:eastAsiaTheme="majorEastAsia"/>
          <w:b/>
          <w:sz w:val="44"/>
          <w:szCs w:val="44"/>
        </w:rPr>
        <w:t>XXXX</w:t>
      </w:r>
      <w:r>
        <w:rPr>
          <w:rFonts w:hint="eastAsia" w:cs="Times New Roman" w:asciiTheme="majorEastAsia" w:hAnsiTheme="majorEastAsia" w:eastAsiaTheme="majorEastAsia"/>
          <w:b/>
          <w:sz w:val="44"/>
          <w:szCs w:val="44"/>
        </w:rPr>
        <w:t>年第X季度运行性能评估分析报告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cs="Times New Roman" w:asciiTheme="majorEastAsia" w:hAnsiTheme="majorEastAsia" w:eastAsiaTheme="majorEastAsia"/>
          <w:b/>
          <w:sz w:val="32"/>
        </w:rPr>
        <w:t>XXXX</w:t>
      </w:r>
      <w:r>
        <w:rPr>
          <w:rFonts w:hint="eastAsia" w:cs="Times New Roman" w:asciiTheme="majorEastAsia" w:hAnsiTheme="majorEastAsia" w:eastAsiaTheme="majorEastAsia"/>
          <w:b/>
          <w:sz w:val="32"/>
        </w:rPr>
        <w:t>年</w:t>
      </w:r>
      <w:r>
        <w:rPr>
          <w:rFonts w:cs="Times New Roman" w:asciiTheme="majorEastAsia" w:hAnsiTheme="majorEastAsia" w:eastAsiaTheme="majorEastAsia"/>
          <w:b/>
          <w:sz w:val="32"/>
        </w:rPr>
        <w:t>XX</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风电场接入大数据平台的风电机组装机容量为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MW，其中包括</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，及</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。报告评估的时间周期为</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风电场年度等效利用小时数为XX小时，在冀北地区的风电场中排名XXX，在XX市的风电场中排名XXX；本季度的总发电量为X</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cs="Times New Roman" w:asciiTheme="majorEastAsia" w:hAnsiTheme="majorEastAsia" w:eastAsiaTheme="majorEastAsia"/>
          <w:sz w:val="28"/>
          <w:szCs w:val="28"/>
        </w:rPr>
      </w:pPr>
      <w:r>
        <w:drawing>
          <wp:inline distT="0" distB="0" distL="114300" distR="114300">
            <wp:extent cx="5269865" cy="1627505"/>
            <wp:effectExtent l="0" t="0" r="6985" b="1079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6"/>
                    <a:stretch>
                      <a:fillRect/>
                    </a:stretch>
                  </pic:blipFill>
                  <pic:spPr>
                    <a:xfrm>
                      <a:off x="0" y="0"/>
                      <a:ext cx="5269865" cy="162750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rPr>
        <w:t>XXX风电场发电量月度分析（改图）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风电机组发电量前十位及后十位排名如下图所示。其中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机组发电量为最优，发电量为XXMWh；</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机组发电量为最差,发电量为XXMWh，发电量最大偏差为XXMWh。</w:t>
      </w:r>
    </w:p>
    <w:p>
      <w:pPr>
        <w:spacing w:line="360" w:lineRule="auto"/>
        <w:rPr>
          <w:rFonts w:cs="Times New Roman" w:asciiTheme="majorEastAsia" w:hAnsiTheme="majorEastAsia" w:eastAsiaTheme="majorEastAsia"/>
          <w:sz w:val="28"/>
          <w:szCs w:val="28"/>
        </w:rPr>
      </w:pPr>
      <w:r>
        <w:drawing>
          <wp:inline distT="0" distB="0" distL="114300" distR="114300">
            <wp:extent cx="5272405" cy="1752600"/>
            <wp:effectExtent l="0" t="0" r="4445" b="0"/>
            <wp:docPr id="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
                    <pic:cNvPicPr>
                      <a:picLocks noChangeAspect="1"/>
                    </pic:cNvPicPr>
                  </pic:nvPicPr>
                  <pic:blipFill>
                    <a:blip r:embed="rId7"/>
                    <a:stretch>
                      <a:fillRect/>
                    </a:stretch>
                  </pic:blipFill>
                  <pic:spPr>
                    <a:xfrm>
                      <a:off x="0" y="0"/>
                      <a:ext cx="5272405" cy="175260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drawing>
          <wp:inline distT="0" distB="0" distL="114300" distR="114300">
            <wp:extent cx="5272405" cy="1750060"/>
            <wp:effectExtent l="0" t="0" r="4445" b="2540"/>
            <wp:docPr id="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
                    <pic:cNvPicPr>
                      <a:picLocks noChangeAspect="1"/>
                    </pic:cNvPicPr>
                  </pic:nvPicPr>
                  <pic:blipFill>
                    <a:blip r:embed="rId8"/>
                    <a:stretch>
                      <a:fillRect/>
                    </a:stretch>
                  </pic:blipFill>
                  <pic:spPr>
                    <a:xfrm>
                      <a:off x="0" y="0"/>
                      <a:ext cx="5272405" cy="175006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pPr>
      <w:bookmarkStart w:id="5" w:name="_Toc93583521"/>
      <w:r>
        <w:t>2.</w:t>
      </w:r>
      <w:r>
        <w:rPr>
          <w:rFonts w:hint="eastAsia"/>
        </w:rPr>
        <w:t>1</w:t>
      </w:r>
      <w:r>
        <w:t>.2</w:t>
      </w:r>
      <w:r>
        <w:rPr>
          <w:rFonts w:hint="eastAsia"/>
        </w:rPr>
        <w:t>机组发电量排名</w:t>
      </w:r>
      <w:bookmarkEnd w:id="5"/>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889"/>
        <w:gridCol w:w="1621"/>
        <w:gridCol w:w="1621"/>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162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88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543"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6" w:name="_Toc93583522"/>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1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
                    <pic:cNvPicPr>
                      <a:picLocks noChangeAspect="1"/>
                    </pic:cNvPicPr>
                  </pic:nvPicPr>
                  <pic:blipFill>
                    <a:blip r:embed="rId9"/>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1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
                    <pic:cNvPicPr>
                      <a:picLocks noChangeAspect="1"/>
                    </pic:cNvPicPr>
                  </pic:nvPicPr>
                  <pic:blipFill>
                    <a:blip r:embed="rId10"/>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657"/>
        <w:gridCol w:w="1039"/>
        <w:gridCol w:w="972"/>
        <w:gridCol w:w="1055"/>
        <w:gridCol w:w="950"/>
        <w:gridCol w:w="831"/>
        <w:gridCol w:w="831"/>
        <w:gridCol w:w="982"/>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rPr>
        <w:t>XXX风电场本季度共计发生风电机组故障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
                    <pic:cNvPicPr>
                      <a:picLocks noChangeAspect="1"/>
                    </pic:cNvPicPr>
                  </pic:nvPicPr>
                  <pic:blipFill>
                    <a:blip r:embed="rId11"/>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
                    <pic:cNvPicPr>
                      <a:picLocks noChangeAspect="1"/>
                    </pic:cNvPicPr>
                  </pic:nvPicPr>
                  <pic:blipFill>
                    <a:blip r:embed="rId12"/>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机组发生故障次数最多，为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2671"/>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300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143500" cy="2819400"/>
                    </a:xfrm>
                    <a:prstGeom prst="rect">
                      <a:avLst/>
                    </a:prstGeom>
                    <a:noFill/>
                    <a:ln>
                      <a:noFill/>
                    </a:ln>
                  </pic:spPr>
                </pic:pic>
              </a:graphicData>
            </a:graphic>
          </wp:inline>
        </w:drawing>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XX风电场损失电量占比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4"/>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XX风电场月度损失电量统计</w:t>
      </w:r>
      <w:bookmarkEnd w:id="14"/>
    </w:p>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本章从发电量、运行小时数、机组故障、损失电量四方面对XXX风电场的整体情况及各风电机组进行了分析。由分析结果可知，在发电量方面，本季度风电场发电量最高月份为X月，发电量X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机组发电量最高，编号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机组发电量最低，机组间发电量的最大偏差为XXMWh。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在运行小时数方面，本季度风电场正常运行小时数最高月份为X月，正常运行小时占比为X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。本季度限功率运行小数占比为XX%，机组停机时间占比为XX%，其中导致机组停机时间最长的原因为：“XX”占比为XX%。</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风电场故障次数最多部件为X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，共发生故障X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机组故障次数最多，编号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机组累计故障时间最长，在下一阶段例行维护与日常巡检过程中应重点关注。；风电场平均无故障运行时间为XX小时，可利用率为XX%，其中编号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机组平均可利用率最高，为X</w:t>
      </w:r>
      <w:r>
        <w:rPr>
          <w:rFonts w:cs="Times New Roman" w:asciiTheme="majorEastAsia" w:hAnsiTheme="majorEastAsia" w:eastAsiaTheme="majorEastAsia"/>
          <w:sz w:val="28"/>
          <w:szCs w:val="28"/>
        </w:rPr>
        <w:t>X% ,</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 xml:space="preserve">平均可利用率最差,为XX%；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在损失电量方面，“XX”原因导致的损失电量占比最高，请结合现场实际情况对损失电量原因进一步核实。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XXX风电场各台机组的功率特性曲线，通过机组间功率特性曲线的横向对比，分析风电场运行机组发电特性的差异程度，下图为XX风电场XX型号风电机组最优功率特性曲线及最差功率特性曲线的分析。</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（1）X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cs="Times New Roman" w:asciiTheme="majorEastAsia" w:hAnsiTheme="majorEastAsia" w:eastAsiaTheme="majorEastAsia"/>
          <w:sz w:val="28"/>
          <w:szCs w:val="28"/>
        </w:rPr>
      </w:pPr>
      <w:r>
        <w:drawing>
          <wp:inline distT="0" distB="0" distL="0" distR="0">
            <wp:extent cx="5274310" cy="2689860"/>
            <wp:effectExtent l="0" t="0" r="254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经计算，XXX风电场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风电机组的功率特性曲线分类的占比如图2-</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所示。其中，性能评价为“优”的有</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；“良”为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%；“中”为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drawing>
          <wp:inline distT="0" distB="0" distL="0" distR="0">
            <wp:extent cx="5274310" cy="3076575"/>
            <wp:effectExtent l="0" t="0" r="254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XXX风电场风电机组的功率曲线分类</w:t>
      </w:r>
    </w:p>
    <w:tbl>
      <w:tblPr>
        <w:tblStyle w:val="38"/>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2140"/>
        <w:gridCol w:w="1551"/>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风电场名称</w:t>
            </w:r>
          </w:p>
        </w:tc>
        <w:tc>
          <w:tcPr>
            <w:tcW w:w="2140"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1551"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206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bl>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（2）X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（多个机组型号出多个图）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8" w:name="_Toc93583531"/>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1</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cs="Times New Roman" w:asciiTheme="majorEastAsia" w:hAnsiTheme="majorEastAsia" w:eastAsiaTheme="majorEastAsia"/>
          <w:sz w:val="28"/>
          <w:szCs w:val="28"/>
        </w:rPr>
      </w:pPr>
      <w:r>
        <w:drawing>
          <wp:inline distT="0" distB="0" distL="0" distR="0">
            <wp:extent cx="5037455" cy="2599055"/>
            <wp:effectExtent l="0" t="0" r="10795" b="10795"/>
            <wp:docPr id="152" name="图表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，最差的的机组为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XXX风电场的2.5MW机组发电能力指标Fg（正序）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bl>
    <w:p/>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2</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ind w:firstLine="420" w:firstLineChars="200"/>
      </w:pP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19" o:title=""/>
            <o:lock v:ext="edit" aspectratio="t"/>
            <w10:wrap type="none"/>
            <w10:anchorlock/>
          </v:shape>
          <o:OLEObject Type="Embed" ProgID="Visio.Drawing.15" ShapeID="_x0000_i1025" DrawAspect="Content" ObjectID="_1468075725" r:id="rId18">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XXX风电场机组的静态偏差分布范围为XX°（最大负偏差-最大正偏差），平均偏差值为X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cs="Times New Roman" w:asciiTheme="majorEastAsia" w:hAnsiTheme="majorEastAsia" w:eastAsiaTheme="majorEastAsia"/>
          <w:sz w:val="28"/>
          <w:szCs w:val="28"/>
        </w:rPr>
      </w:pPr>
      <w:r>
        <w:drawing>
          <wp:inline distT="0" distB="0" distL="114300" distR="114300">
            <wp:extent cx="5334000" cy="2898775"/>
            <wp:effectExtent l="0" t="0" r="0" b="15875"/>
            <wp:docPr id="124"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°认为对风电机组的发电性能会产生较大的影响。其中XX台机组存在偏航静态偏差缺陷，可能导致风电机组发电性能的损失，其中XX机组偏航静态偏差最大，为XX°，详细情况如下图所示。</w:t>
      </w:r>
    </w:p>
    <w:p>
      <w:pPr>
        <w:spacing w:line="360" w:lineRule="auto"/>
        <w:rPr>
          <w:rFonts w:cs="Times New Roman" w:asciiTheme="majorEastAsia" w:hAnsiTheme="majorEastAsia" w:eastAsiaTheme="majorEastAsia"/>
          <w:sz w:val="28"/>
          <w:szCs w:val="28"/>
        </w:rPr>
      </w:pPr>
      <w:r>
        <w:drawing>
          <wp:inline distT="0" distB="0" distL="114300" distR="114300">
            <wp:extent cx="5095240" cy="2743200"/>
            <wp:effectExtent l="0" t="0" r="0" b="0"/>
            <wp:docPr id="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
                    <pic:cNvPicPr>
                      <a:picLocks noChangeAspect="1"/>
                    </pic:cNvPicPr>
                  </pic:nvPicPr>
                  <pic:blipFill>
                    <a:blip r:embed="rId21"/>
                    <a:srcRect b="14286"/>
                    <a:stretch>
                      <a:fillRect/>
                    </a:stretch>
                  </pic:blipFill>
                  <pic:spPr>
                    <a:xfrm>
                      <a:off x="0" y="0"/>
                      <a:ext cx="5102277" cy="2746989"/>
                    </a:xfrm>
                    <a:prstGeom prst="rect">
                      <a:avLst/>
                    </a:prstGeom>
                    <a:noFill/>
                    <a:ln>
                      <a:noFill/>
                    </a:ln>
                  </pic:spPr>
                </pic:pic>
              </a:graphicData>
            </a:graphic>
          </wp:inline>
        </w:drawing>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为了评价风电机组的偏航性能，根据偏航静态偏差的大小，将风电机组的偏航性能定义为“偏航正常”、“偏航预警”、“偏航异常”三种状态。XXX风电场各风电机组偏航静差角度及偏航评价如下表所示。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XXX风电场各风电机组偏航角度及偏航评价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本章从发电性能一致性、发电能力指标、偏航静态偏差情况三部分对XXX风电场的整体情况及各风电机组进行了分析。由分析结果可得，在发电性能方面，编号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的风电机组发电性能最佳，编号X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图4-1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图4-2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1月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图4-3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图4-4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2月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sz w:val="28"/>
          <w:szCs w:val="28"/>
        </w:rPr>
      </w:pP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图4-6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日AGC控制精度最佳，达到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71675"/>
            <wp:effectExtent l="0" t="0" r="1143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65420" cy="197167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日AGC控制精度最差，达到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80565"/>
            <wp:effectExtent l="0" t="0" r="1143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5265420" cy="198056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8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 X</w:t>
      </w:r>
      <w:r>
        <w:rPr>
          <w:rFonts w:hint="eastAsia" w:ascii="Times New Roman" w:hAnsi="Times New Roman" w:eastAsia="宋体" w:cs="Times New Roman"/>
          <w:sz w:val="28"/>
          <w:szCs w:val="28"/>
        </w:rPr>
        <w:t>XX风电场XX年第X季度AVC性能指标统计表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X+1月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X+2月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XXX风电场XX年X月至X月AVC日控制偏差和合格率进行统计结果如下</w:t>
      </w:r>
      <w:r>
        <w:rPr>
          <w:rFonts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09540" cy="32378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5209540" cy="3237865"/>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38725" cy="3543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5038725" cy="35433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10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29200" cy="3495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5029200" cy="34956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X月电压合格天数为X天，同比增长/下降X%，环比增长/下降X%。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7960" cy="1559560"/>
            <wp:effectExtent l="0" t="0" r="889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0"/>
                    <a:stretch>
                      <a:fillRect/>
                    </a:stretch>
                  </pic:blipFill>
                  <pic:spPr>
                    <a:xfrm>
                      <a:off x="0" y="0"/>
                      <a:ext cx="5267960" cy="1559560"/>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8595" cy="1858010"/>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268595" cy="18580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1"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1"/>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2"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2"/>
    </w:p>
    <w:p>
      <w:pPr>
        <w:ind w:firstLine="560" w:firstLineChars="200"/>
        <w:rPr>
          <w:rFonts w:ascii="Times New Roman" w:hAnsi="Times New Roman" w:eastAsia="宋体" w:cs="Times New Roman"/>
          <w:sz w:val="28"/>
          <w:szCs w:val="28"/>
        </w:rPr>
      </w:pPr>
      <w:bookmarkStart w:id="33" w:name="_Toc91506139"/>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风电场XX年第X季度SVG每日控制偏差情况统计表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ascii="Calibri" w:hAnsi="Calibri"/>
                <w:sz w:val="28"/>
                <w:szCs w:val="28"/>
              </w:rPr>
            </w:pP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X+1月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X+2月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风电场XX年X月至X月SVG日控制偏差进行统计，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542155" cy="30416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2"/>
                    <a:stretch>
                      <a:fillRect/>
                    </a:stretch>
                  </pic:blipFill>
                  <pic:spPr>
                    <a:xfrm>
                      <a:off x="0" y="0"/>
                      <a:ext cx="4549466" cy="3046683"/>
                    </a:xfrm>
                    <a:prstGeom prst="rect">
                      <a:avLst/>
                    </a:prstGeom>
                    <a:noFill/>
                    <a:ln w="9525">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风电场XX年X月SVG控制偏差平均值为X%，同比增长/下降X%，环比增长/下降X%。</w:t>
      </w:r>
    </w:p>
    <w:p>
      <w:pPr>
        <w:jc w:val="center"/>
        <w:rPr>
          <w:rFonts w:ascii="Times New Roman" w:hAnsi="Times New Roman" w:eastAsia="宋体" w:cs="Times New Roman"/>
          <w:sz w:val="24"/>
          <w:szCs w:val="24"/>
        </w:rPr>
      </w:pP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693285" cy="32048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stretch>
                      <a:fillRect/>
                    </a:stretch>
                  </pic:blipFill>
                  <pic:spPr>
                    <a:xfrm>
                      <a:off x="0" y="0"/>
                      <a:ext cx="4699414" cy="3208929"/>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16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4617085" cy="31603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4"/>
                    <a:stretch>
                      <a:fillRect/>
                    </a:stretch>
                  </pic:blipFill>
                  <pic:spPr>
                    <a:xfrm>
                      <a:off x="0" y="0"/>
                      <a:ext cx="4622651" cy="3164672"/>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3"/>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p>
    <w:bookmarkEnd w:id="39"/>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0" w:name="_Toc93481874"/>
      <w:r>
        <w:t>5.1.1</w:t>
      </w:r>
      <w:r>
        <w:rPr>
          <w:rFonts w:hint="eastAsia"/>
        </w:rPr>
        <w:t>功率预测月度跟踪评价</w:t>
      </w:r>
      <w:bookmarkEnd w:id="40"/>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XX年X月功率预测精度平均为X%，同比增长/下降X%，环比增长/下降X%，在冀北电网排名为XX，在XXX（地市）电网排名为XX。预测精度最高为XX%，预测精度最低为XX%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commentRangeStart w:id="0"/>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月考核电量最高，为</w:t>
      </w:r>
      <w:r>
        <w:rPr>
          <w:rFonts w:cs="Times New Roman" w:asciiTheme="majorEastAsia" w:hAnsiTheme="majorEastAsia" w:eastAsiaTheme="majorEastAsia"/>
          <w:sz w:val="28"/>
          <w:szCs w:val="24"/>
        </w:rPr>
        <w:t>XXMW</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X月考核电量最低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为XXMW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42" w:name="_Toc93481876"/>
      <w:r>
        <w:rPr>
          <w:rStyle w:val="47"/>
        </w:rPr>
        <w:commentReference w:id="0"/>
      </w:r>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针对XXX风电场XX年</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highlight w:val="yellow"/>
        </w:rPr>
        <w:drawing>
          <wp:inline distT="0" distB="0" distL="0" distR="0">
            <wp:extent cx="3956050" cy="2159635"/>
            <wp:effectExtent l="0" t="0" r="6350" b="0"/>
            <wp:docPr id="33" name="图片 33" descr="C:\Users\qy\Notebook\冀北工作算例\数据平台算例\202009-平台WPF准确率验证\Output Figures\new-修正前后不同月份的考核电量-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qy\Notebook\冀北工作算例\数据平台算例\202009-平台WPF准确率验证\Output Figures\new-修正前后不同月份的考核电量-鲁能迎峰岭风电场.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3956586" cy="21600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考核电量，降低值分别为XXMW、XXMW、XXMW；X月份的考核电量基本维持不变；X月份的考核略有增加，增加值为XX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共计X个月份的考核电量平均每月降低了XX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考核金额平均降低XX%，X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drawing>
          <wp:inline distT="0" distB="0" distL="0" distR="0">
            <wp:extent cx="5039995" cy="1864360"/>
            <wp:effectExtent l="0" t="0" r="8255" b="2540"/>
            <wp:docPr id="34" name="图片 34" descr="C:\Users\qy\Notebook\冀北工作算例\数据平台算例\202009-平台WPF准确率验证\Output Figures\new-修正前后功率预测准确率-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qy\Notebook\冀北工作算例\数据平台算例\202009-平台WPF准确率验证\Output Figures\new-修正前后功率预测准确率-鲁能迎峰岭风电场.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40000" cy="1864442"/>
                    </a:xfrm>
                    <a:prstGeom prst="rect">
                      <a:avLst/>
                    </a:prstGeom>
                    <a:noFill/>
                    <a:ln>
                      <a:noFill/>
                    </a:ln>
                  </pic:spPr>
                </pic:pic>
              </a:graphicData>
            </a:graphic>
          </wp:inline>
        </w:drawing>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功率预测准确率获得提升的天数分别为XX天、XX天、XX天、XX天、XX天，平均每月获得功率预测准确率提升的天数约为XX天，功率预测精度提升效果显著。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本章从风功率预测精度跟踪评价、风功率预测优化两方面进行了分析。通过对XX风电场本季度的风功率预测精度评价可知，风功率预测精度X月最佳，X月最差，其中X月X日风功率预测精度最高，达到X</w:t>
      </w:r>
      <w:r>
        <w:rPr>
          <w:rFonts w:ascii="Times New Roman" w:hAnsi="Times New Roman" w:eastAsia="宋体" w:cs="Times New Roman"/>
          <w:sz w:val="28"/>
          <w:szCs w:val="28"/>
        </w:rPr>
        <w:t>%</w:t>
      </w:r>
      <w:r>
        <w:rPr>
          <w:rFonts w:hint="eastAsia" w:ascii="Times New Roman" w:hAnsi="Times New Roman" w:eastAsia="宋体" w:cs="Times New Roman"/>
          <w:sz w:val="28"/>
          <w:szCs w:val="28"/>
        </w:rPr>
        <w:t>；X月X日风功率预测精度最低，为X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考核金额平均可降低XX%，</w:t>
      </w:r>
      <w:r>
        <w:rPr>
          <w:rFonts w:hint="eastAsia" w:cs="Times New Roman" w:asciiTheme="majorEastAsia" w:hAnsiTheme="majorEastAsia" w:eastAsiaTheme="majorEastAsia"/>
          <w:sz w:val="28"/>
          <w:szCs w:val="24"/>
        </w:rPr>
        <w:t>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为了全方位深入评价单机的运行特性，附件部分对X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bookmarkStart w:id="48" w:name="_GoBack"/>
      <w:bookmarkEnd w:id="48"/>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rPr>
        <w:t>1.</w:t>
      </w:r>
      <w:r>
        <w:rPr>
          <w:rFonts w:cs="Times New Roman" w:asciiTheme="majorEastAsia" w:hAnsiTheme="majorEastAsia" w:eastAsiaTheme="majorEastAsia"/>
          <w:b/>
          <w:bCs/>
          <w:sz w:val="28"/>
          <w:szCs w:val="28"/>
        </w:rPr>
        <w:t>XX</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通过对机组的运行情况、故障性能、发电性能等多个方面的综合分析，对机组进行整体评价， 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风电机组综合得分为XX，整体评价为：X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drawing>
          <wp:inline distT="0" distB="0" distL="0" distR="0">
            <wp:extent cx="3324860" cy="263398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330654" cy="2638400"/>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1 XX</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风电机组在该型号风电机组中发电能力排名为第X名，一致性排名为第X名，发电时长排名为第X名，发电量排名为第X名，可靠性排名为第X名。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9"/>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0"/>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XX机组</w:t>
      </w:r>
      <w:r>
        <w:rPr>
          <w:rFonts w:hint="eastAsia" w:cs="Times New Roman" w:asciiTheme="majorEastAsia" w:hAnsiTheme="majorEastAsia" w:eastAsiaTheme="majorEastAsia"/>
          <w:sz w:val="28"/>
          <w:szCs w:val="28"/>
        </w:rPr>
        <w:t>正常运行时间占总时间的比重为</w:t>
      </w:r>
      <w:r>
        <w:rPr>
          <w:rFonts w:cs="Times New Roman" w:asciiTheme="majorEastAsia" w:hAnsiTheme="majorEastAsia" w:eastAsiaTheme="majorEastAsia"/>
          <w:sz w:val="28"/>
          <w:szCs w:val="28"/>
        </w:rPr>
        <w:t>XX%，停运时间占比为XX%。对各种原因导致的</w:t>
      </w:r>
      <w:r>
        <w:rPr>
          <w:rFonts w:hint="eastAsia" w:cs="Times New Roman" w:asciiTheme="majorEastAsia" w:hAnsiTheme="majorEastAsia" w:eastAsiaTheme="majorEastAsia"/>
          <w:sz w:val="28"/>
          <w:szCs w:val="28"/>
        </w:rPr>
        <w:t>机组停运时间进行分析，所得结果如下图所示。其中XX原因导致XX机组停运的时间最长，占总停机时间为XX%。</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XXX风电机组本季度共计发生故障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小时，可结合巡检或定期检修计划对该类部件进行检查，确定导致该部件故障频发的原因，并及时解决。XX风电机组按部件进行故障情况分析结果如下图所示（注：图中“其他”指未知故障）。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1"/>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2"/>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进一步按照故障代码对XX风电机组故障情况进行详细分析，得出本季度故障代码发生次数TOP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机组的发电量为</w:t>
      </w:r>
      <w:r>
        <w:rPr>
          <w:rFonts w:cs="Times New Roman" w:asciiTheme="majorEastAsia" w:hAnsiTheme="majorEastAsia" w:eastAsiaTheme="majorEastAsia"/>
          <w:sz w:val="28"/>
          <w:szCs w:val="28"/>
        </w:rPr>
        <w:t>XX MW</w:t>
      </w:r>
      <w:r>
        <w:rPr>
          <w:rFonts w:hint="eastAsia" w:cs="Times New Roman" w:asciiTheme="majorEastAsia" w:hAnsiTheme="majorEastAsia" w:eastAsiaTheme="majorEastAsia"/>
          <w:sz w:val="28"/>
          <w:szCs w:val="28"/>
        </w:rPr>
        <w:t>h，最大风速为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m/s，平均风速为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m/s，在同型号机组中发电量排名为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名。X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XXX风电机组损失电量分析结果如下图所示，其中造成损失电量较大的原因主要包括：</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3"/>
                    <a:stretch>
                      <a:fillRect/>
                    </a:stretch>
                  </pic:blipFill>
                  <pic:spPr>
                    <a:xfrm>
                      <a:off x="0" y="0"/>
                      <a:ext cx="5143500" cy="281940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 XX风电机组损失电量占比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4"/>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图XX风电机组月度损失电量统计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机组的运行功率特性曲线分析如下图所示。</w:t>
      </w:r>
    </w:p>
    <w:p>
      <w:pPr>
        <w:ind w:firstLine="210" w:firstLineChars="100"/>
        <w:rPr>
          <w:rFonts w:cs="Times New Roman" w:asciiTheme="majorEastAsia" w:hAnsiTheme="majorEastAsia" w:eastAsiaTheme="majorEastAsia"/>
          <w:sz w:val="28"/>
          <w:szCs w:val="28"/>
        </w:rPr>
      </w:pPr>
      <w:r>
        <w:drawing>
          <wp:inline distT="0" distB="0" distL="0" distR="0">
            <wp:extent cx="5274310" cy="2591435"/>
            <wp:effectExtent l="0" t="0" r="2540" b="1841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机组在本季度的运行性能分类为：X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，在同型号风电机组中排行2</w:t>
      </w:r>
      <w:r>
        <w:rPr>
          <w:rFonts w:cs="Times New Roman" w:asciiTheme="majorEastAsia" w:hAnsiTheme="majorEastAsia" w:eastAsiaTheme="majorEastAsia"/>
          <w:sz w:val="28"/>
          <w:szCs w:val="28"/>
        </w:rPr>
        <w:t>1</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机组的偏航静态偏差为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°，判定该机组的偏航系统处于X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（正常/告警/异常）状态。</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489A31D4">
      <w:pPr>
        <w:pStyle w:val="14"/>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9A31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roman"/>
    <w:pitch w:val="default"/>
    <w:sig w:usb0="00000287" w:usb1="00000000" w:usb2="00000000" w:usb3="00000000" w:csb0="0000009F" w:csb1="DFD7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6B2943"/>
    <w:rsid w:val="031879D2"/>
    <w:rsid w:val="03B37636"/>
    <w:rsid w:val="0515590D"/>
    <w:rsid w:val="065D264A"/>
    <w:rsid w:val="06866404"/>
    <w:rsid w:val="07321AC2"/>
    <w:rsid w:val="0A523D07"/>
    <w:rsid w:val="0AC63641"/>
    <w:rsid w:val="0B9F483B"/>
    <w:rsid w:val="0DC5206E"/>
    <w:rsid w:val="0E46633A"/>
    <w:rsid w:val="0E69047E"/>
    <w:rsid w:val="0FEE6659"/>
    <w:rsid w:val="106126DE"/>
    <w:rsid w:val="116E0626"/>
    <w:rsid w:val="11F2013B"/>
    <w:rsid w:val="12E53474"/>
    <w:rsid w:val="1438553B"/>
    <w:rsid w:val="147F1CE7"/>
    <w:rsid w:val="158D6093"/>
    <w:rsid w:val="17D4664A"/>
    <w:rsid w:val="186C49E2"/>
    <w:rsid w:val="19887664"/>
    <w:rsid w:val="1BFC11BA"/>
    <w:rsid w:val="1D444F59"/>
    <w:rsid w:val="1D9024F2"/>
    <w:rsid w:val="1E505C5E"/>
    <w:rsid w:val="1F125618"/>
    <w:rsid w:val="1F46151D"/>
    <w:rsid w:val="1F7E450E"/>
    <w:rsid w:val="1F8719FC"/>
    <w:rsid w:val="1FB463CE"/>
    <w:rsid w:val="20CD59C3"/>
    <w:rsid w:val="20F776F9"/>
    <w:rsid w:val="21EB2C11"/>
    <w:rsid w:val="23CA274F"/>
    <w:rsid w:val="250E683D"/>
    <w:rsid w:val="2540454E"/>
    <w:rsid w:val="261E7515"/>
    <w:rsid w:val="27846DFD"/>
    <w:rsid w:val="27D7227E"/>
    <w:rsid w:val="29D04765"/>
    <w:rsid w:val="2A1F5714"/>
    <w:rsid w:val="2A8B2B3E"/>
    <w:rsid w:val="2AE3634B"/>
    <w:rsid w:val="2AEC241E"/>
    <w:rsid w:val="2B06377F"/>
    <w:rsid w:val="2B147CB1"/>
    <w:rsid w:val="2D933EB8"/>
    <w:rsid w:val="2DA648C9"/>
    <w:rsid w:val="2F521871"/>
    <w:rsid w:val="2F6C3826"/>
    <w:rsid w:val="2FB4690E"/>
    <w:rsid w:val="302C28AB"/>
    <w:rsid w:val="30722F95"/>
    <w:rsid w:val="30FC0F41"/>
    <w:rsid w:val="31034860"/>
    <w:rsid w:val="312912D7"/>
    <w:rsid w:val="330D357E"/>
    <w:rsid w:val="33842B5C"/>
    <w:rsid w:val="34486755"/>
    <w:rsid w:val="36A810FC"/>
    <w:rsid w:val="3710238D"/>
    <w:rsid w:val="37384839"/>
    <w:rsid w:val="37DC649C"/>
    <w:rsid w:val="380E2C65"/>
    <w:rsid w:val="38927FD0"/>
    <w:rsid w:val="3A1B49D8"/>
    <w:rsid w:val="3B042658"/>
    <w:rsid w:val="3B6356E3"/>
    <w:rsid w:val="3DFF2049"/>
    <w:rsid w:val="3F6F3D2C"/>
    <w:rsid w:val="3FF27007"/>
    <w:rsid w:val="40007E0F"/>
    <w:rsid w:val="4085168F"/>
    <w:rsid w:val="41150DC3"/>
    <w:rsid w:val="42362E0A"/>
    <w:rsid w:val="427A071E"/>
    <w:rsid w:val="42926086"/>
    <w:rsid w:val="42AB5B86"/>
    <w:rsid w:val="43230D4F"/>
    <w:rsid w:val="43DF447E"/>
    <w:rsid w:val="447F742A"/>
    <w:rsid w:val="453633F7"/>
    <w:rsid w:val="45E342F9"/>
    <w:rsid w:val="462F3900"/>
    <w:rsid w:val="472846A3"/>
    <w:rsid w:val="47511FEB"/>
    <w:rsid w:val="47515C79"/>
    <w:rsid w:val="4A616050"/>
    <w:rsid w:val="4DA32386"/>
    <w:rsid w:val="4E355370"/>
    <w:rsid w:val="4F254D9C"/>
    <w:rsid w:val="4F346E9F"/>
    <w:rsid w:val="4F8A1DD6"/>
    <w:rsid w:val="504767A8"/>
    <w:rsid w:val="51465A14"/>
    <w:rsid w:val="515511DE"/>
    <w:rsid w:val="544D708E"/>
    <w:rsid w:val="54B371F0"/>
    <w:rsid w:val="55906A09"/>
    <w:rsid w:val="571D63ED"/>
    <w:rsid w:val="57CC7C7A"/>
    <w:rsid w:val="57EE6E6D"/>
    <w:rsid w:val="58963F3F"/>
    <w:rsid w:val="58A81ACA"/>
    <w:rsid w:val="590F4EFE"/>
    <w:rsid w:val="59186C94"/>
    <w:rsid w:val="5BB631AD"/>
    <w:rsid w:val="5C4C7679"/>
    <w:rsid w:val="5D617D33"/>
    <w:rsid w:val="5E5D3E4E"/>
    <w:rsid w:val="5F450C7B"/>
    <w:rsid w:val="5F587CED"/>
    <w:rsid w:val="5FF72C1C"/>
    <w:rsid w:val="61217544"/>
    <w:rsid w:val="61264356"/>
    <w:rsid w:val="61484084"/>
    <w:rsid w:val="63431CC1"/>
    <w:rsid w:val="65CB4FB3"/>
    <w:rsid w:val="661D1218"/>
    <w:rsid w:val="67C359C3"/>
    <w:rsid w:val="67E54BF0"/>
    <w:rsid w:val="67F35BD2"/>
    <w:rsid w:val="689D743B"/>
    <w:rsid w:val="697022D3"/>
    <w:rsid w:val="6AFA6A65"/>
    <w:rsid w:val="6B080EB6"/>
    <w:rsid w:val="6B7C6988"/>
    <w:rsid w:val="6BA603C5"/>
    <w:rsid w:val="6BE11825"/>
    <w:rsid w:val="6C593A8D"/>
    <w:rsid w:val="6C5B3D08"/>
    <w:rsid w:val="6C5F6DE2"/>
    <w:rsid w:val="6E86047B"/>
    <w:rsid w:val="6E9C2B2B"/>
    <w:rsid w:val="6F7650B7"/>
    <w:rsid w:val="70EC04D5"/>
    <w:rsid w:val="714424B4"/>
    <w:rsid w:val="714672B4"/>
    <w:rsid w:val="72880220"/>
    <w:rsid w:val="72F54365"/>
    <w:rsid w:val="745669EC"/>
    <w:rsid w:val="75C57CFD"/>
    <w:rsid w:val="76701CB2"/>
    <w:rsid w:val="77B337DE"/>
    <w:rsid w:val="784E717D"/>
    <w:rsid w:val="786E5C0A"/>
    <w:rsid w:val="79244EF1"/>
    <w:rsid w:val="7A1D0D98"/>
    <w:rsid w:val="7A507E75"/>
    <w:rsid w:val="7AF65B4C"/>
    <w:rsid w:val="7B1B6576"/>
    <w:rsid w:val="7B577410"/>
    <w:rsid w:val="7B8B6D83"/>
    <w:rsid w:val="7C1C71D5"/>
    <w:rsid w:val="7D1660A5"/>
    <w:rsid w:val="7DF84A30"/>
    <w:rsid w:val="7E7B3A58"/>
    <w:rsid w:val="7F762711"/>
    <w:rsid w:val="7FCA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semiHidden/>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semiHidden/>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semiHidden/>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uiPriority w:val="0"/>
    <w:pPr>
      <w:outlineLvl w:val="3"/>
    </w:pPr>
    <w:rPr>
      <w:rFonts w:cs="Times New Roman"/>
    </w:rPr>
  </w:style>
  <w:style w:type="paragraph" w:customStyle="1" w:styleId="86">
    <w:name w:val="*8. General Text"/>
    <w:basedOn w:val="1"/>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semiHidden/>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chart" Target="charts/chart5.xml"/><Relationship Id="rId4" Type="http://schemas.microsoft.com/office/2011/relationships/commentsExtended" Target="commentsExtended.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package" Target="embeddings/Microsoft_Visio___1.vsdx"/><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30984\Desktop\&#22823;&#25968;&#25454;&#26448;&#26009;\&#37329;&#38451;&#39118;&#20809;&#20648;&#21151;&#29575;&#26354;&#3244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LENOVO\Desktop\&#20864;&#21271;&#30456;&#20851;&#25991;&#26723;&#21512;&#24182;2021-08-11\&#21508;&#22330;&#31449;&#29702;&#35770;&#39118;&#21151;&#29575;&#26354;&#32447;&#65288;&#21378;&#23478;&#25552;&#20379;&#65289;.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30984\Documents\WeChat%20Files\wxid_6cyp71eri3bg\FileStorage\File\2021-12\&#37329;&#38451;&#39118;&#20809;&#20648;&#21151;&#29575;&#26354;&#3244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zh-CN" altLang="en-US"/>
          </a:p>
        </c:rich>
      </c:tx>
      <c:layout/>
      <c:overlay val="0"/>
      <c:spPr>
        <a:noFill/>
        <a:ln>
          <a:noFill/>
        </a:ln>
        <a:effectLst/>
      </c:spPr>
    </c:title>
    <c:autoTitleDeleted val="0"/>
    <c:plotArea>
      <c:layout>
        <c:manualLayout>
          <c:layoutTarget val="inner"/>
          <c:xMode val="edge"/>
          <c:yMode val="edge"/>
          <c:x val="0.132649010012684"/>
          <c:y val="0.137865911237016"/>
          <c:w val="0.829884098583511"/>
          <c:h val="0.658765883726291"/>
        </c:manualLayout>
      </c:layout>
      <c:scatterChart>
        <c:scatterStyle val="smoothMarker"/>
        <c:varyColors val="0"/>
        <c:ser>
          <c:idx val="0"/>
          <c:order val="0"/>
          <c:tx>
            <c:strRef>
              <c:f>最优曲线</c:f>
              <c:strCache>
                <c:ptCount val="1"/>
                <c:pt idx="0">
                  <c:v>最优曲线</c:v>
                </c:pt>
              </c:strCache>
            </c:strRef>
          </c:tx>
          <c:spPr>
            <a:ln w="19050" cap="rnd">
              <a:solidFill>
                <a:schemeClr val="accent1"/>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Sheet2!$B$2:$B$51</c:f>
              <c:numCache>
                <c:formatCode>General</c:formatCode>
                <c:ptCount val="50"/>
                <c:pt idx="0">
                  <c:v>0</c:v>
                </c:pt>
                <c:pt idx="1">
                  <c:v>19.6</c:v>
                </c:pt>
                <c:pt idx="2">
                  <c:v>44.04</c:v>
                </c:pt>
                <c:pt idx="3">
                  <c:v>51.33</c:v>
                </c:pt>
                <c:pt idx="4">
                  <c:v>72.98</c:v>
                </c:pt>
                <c:pt idx="5">
                  <c:v>98.4</c:v>
                </c:pt>
                <c:pt idx="6">
                  <c:v>139.54</c:v>
                </c:pt>
                <c:pt idx="7">
                  <c:v>202.85</c:v>
                </c:pt>
                <c:pt idx="8">
                  <c:v>296.37</c:v>
                </c:pt>
                <c:pt idx="9">
                  <c:v>423.36</c:v>
                </c:pt>
                <c:pt idx="10">
                  <c:v>576.02</c:v>
                </c:pt>
                <c:pt idx="11">
                  <c:v>766.43</c:v>
                </c:pt>
                <c:pt idx="12">
                  <c:v>970.9</c:v>
                </c:pt>
                <c:pt idx="13">
                  <c:v>1182.39</c:v>
                </c:pt>
                <c:pt idx="14">
                  <c:v>1370.71</c:v>
                </c:pt>
                <c:pt idx="15">
                  <c:v>1613.06</c:v>
                </c:pt>
                <c:pt idx="16">
                  <c:v>1802.68</c:v>
                </c:pt>
                <c:pt idx="17">
                  <c:v>2019.73</c:v>
                </c:pt>
                <c:pt idx="18">
                  <c:v>2221.44</c:v>
                </c:pt>
                <c:pt idx="19">
                  <c:v>2371.92</c:v>
                </c:pt>
                <c:pt idx="20">
                  <c:v>2460.15</c:v>
                </c:pt>
                <c:pt idx="21">
                  <c:v>2501.85</c:v>
                </c:pt>
                <c:pt idx="22">
                  <c:v>2540.9</c:v>
                </c:pt>
                <c:pt idx="23">
                  <c:v>2539.57</c:v>
                </c:pt>
                <c:pt idx="24">
                  <c:v>2545.07</c:v>
                </c:pt>
                <c:pt idx="25">
                  <c:v>2541.3</c:v>
                </c:pt>
                <c:pt idx="26">
                  <c:v>2547.85</c:v>
                </c:pt>
                <c:pt idx="27">
                  <c:v>2548.28</c:v>
                </c:pt>
                <c:pt idx="28">
                  <c:v>2539.93</c:v>
                </c:pt>
                <c:pt idx="29">
                  <c:v>2541.37</c:v>
                </c:pt>
                <c:pt idx="30">
                  <c:v>2539.31</c:v>
                </c:pt>
                <c:pt idx="31">
                  <c:v>2536.75</c:v>
                </c:pt>
                <c:pt idx="32">
                  <c:v>2537.58</c:v>
                </c:pt>
                <c:pt idx="33">
                  <c:v>2531.19</c:v>
                </c:pt>
                <c:pt idx="34">
                  <c:v>2531.98</c:v>
                </c:pt>
                <c:pt idx="35">
                  <c:v>2535.04</c:v>
                </c:pt>
                <c:pt idx="36">
                  <c:v>2532.36</c:v>
                </c:pt>
                <c:pt idx="37">
                  <c:v>2525.5</c:v>
                </c:pt>
                <c:pt idx="38">
                  <c:v>2521.66</c:v>
                </c:pt>
                <c:pt idx="39">
                  <c:v>2521.9</c:v>
                </c:pt>
                <c:pt idx="40">
                  <c:v>2525.42</c:v>
                </c:pt>
                <c:pt idx="41">
                  <c:v>2526.56</c:v>
                </c:pt>
                <c:pt idx="42">
                  <c:v>2529.73</c:v>
                </c:pt>
                <c:pt idx="43">
                  <c:v>2528.44</c:v>
                </c:pt>
                <c:pt idx="44">
                  <c:v>2524.68</c:v>
                </c:pt>
                <c:pt idx="45">
                  <c:v>2524.25</c:v>
                </c:pt>
                <c:pt idx="46">
                  <c:v>2524.38</c:v>
                </c:pt>
                <c:pt idx="47">
                  <c:v>2524.35</c:v>
                </c:pt>
                <c:pt idx="48">
                  <c:v>2524.35</c:v>
                </c:pt>
                <c:pt idx="49">
                  <c:v>2524.35</c:v>
                </c:pt>
              </c:numCache>
            </c:numRef>
          </c:yVal>
          <c:smooth val="1"/>
        </c:ser>
        <c:ser>
          <c:idx val="1"/>
          <c:order val="1"/>
          <c:tx>
            <c:strRef>
              <c:f>最差曲线</c:f>
              <c:strCache>
                <c:ptCount val="1"/>
                <c:pt idx="0">
                  <c:v>最差曲线</c:v>
                </c:pt>
              </c:strCache>
            </c:strRef>
          </c:tx>
          <c:spPr>
            <a:ln w="19050" cap="rnd">
              <a:solidFill>
                <a:schemeClr val="accent2"/>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Sheet2!$C$2:$C$51</c:f>
              <c:numCache>
                <c:formatCode>General</c:formatCode>
                <c:ptCount val="50"/>
                <c:pt idx="0">
                  <c:v>0</c:v>
                </c:pt>
                <c:pt idx="1">
                  <c:v>19.6</c:v>
                </c:pt>
                <c:pt idx="2">
                  <c:v>44.04</c:v>
                </c:pt>
                <c:pt idx="3">
                  <c:v>30.58</c:v>
                </c:pt>
                <c:pt idx="4">
                  <c:v>55.74</c:v>
                </c:pt>
                <c:pt idx="5">
                  <c:v>72.33</c:v>
                </c:pt>
                <c:pt idx="6">
                  <c:v>112.11</c:v>
                </c:pt>
                <c:pt idx="7">
                  <c:v>137.46</c:v>
                </c:pt>
                <c:pt idx="8">
                  <c:v>185.71</c:v>
                </c:pt>
                <c:pt idx="9">
                  <c:v>250.92</c:v>
                </c:pt>
                <c:pt idx="10">
                  <c:v>349.48</c:v>
                </c:pt>
                <c:pt idx="11">
                  <c:v>437.15</c:v>
                </c:pt>
                <c:pt idx="12">
                  <c:v>556.27</c:v>
                </c:pt>
                <c:pt idx="13">
                  <c:v>706.26</c:v>
                </c:pt>
                <c:pt idx="14">
                  <c:v>859.81</c:v>
                </c:pt>
                <c:pt idx="15">
                  <c:v>1054.94</c:v>
                </c:pt>
                <c:pt idx="16">
                  <c:v>1247.13</c:v>
                </c:pt>
                <c:pt idx="17">
                  <c:v>1460.77</c:v>
                </c:pt>
                <c:pt idx="18">
                  <c:v>1676.63</c:v>
                </c:pt>
                <c:pt idx="19">
                  <c:v>1886.87</c:v>
                </c:pt>
                <c:pt idx="20">
                  <c:v>2041.39</c:v>
                </c:pt>
                <c:pt idx="21">
                  <c:v>2160.27</c:v>
                </c:pt>
                <c:pt idx="22">
                  <c:v>2386.01</c:v>
                </c:pt>
                <c:pt idx="23">
                  <c:v>2440.87</c:v>
                </c:pt>
                <c:pt idx="24">
                  <c:v>2478.01</c:v>
                </c:pt>
                <c:pt idx="25">
                  <c:v>2506.19</c:v>
                </c:pt>
                <c:pt idx="26">
                  <c:v>2507.23</c:v>
                </c:pt>
                <c:pt idx="27">
                  <c:v>2510.96</c:v>
                </c:pt>
                <c:pt idx="28">
                  <c:v>2510.56</c:v>
                </c:pt>
                <c:pt idx="29">
                  <c:v>2510.76</c:v>
                </c:pt>
                <c:pt idx="30">
                  <c:v>2511.84</c:v>
                </c:pt>
                <c:pt idx="31">
                  <c:v>2511.99</c:v>
                </c:pt>
                <c:pt idx="32">
                  <c:v>2512.39</c:v>
                </c:pt>
                <c:pt idx="33">
                  <c:v>2492.28</c:v>
                </c:pt>
                <c:pt idx="34">
                  <c:v>2455.1</c:v>
                </c:pt>
                <c:pt idx="35">
                  <c:v>2459.33</c:v>
                </c:pt>
                <c:pt idx="36">
                  <c:v>2508.23</c:v>
                </c:pt>
                <c:pt idx="37">
                  <c:v>2505.19</c:v>
                </c:pt>
                <c:pt idx="38">
                  <c:v>2476.5</c:v>
                </c:pt>
                <c:pt idx="39">
                  <c:v>2462.92</c:v>
                </c:pt>
                <c:pt idx="40">
                  <c:v>2455.1</c:v>
                </c:pt>
                <c:pt idx="41">
                  <c:v>2500.46</c:v>
                </c:pt>
                <c:pt idx="42">
                  <c:v>2497.7</c:v>
                </c:pt>
                <c:pt idx="43">
                  <c:v>2520.35</c:v>
                </c:pt>
                <c:pt idx="44">
                  <c:v>2520.84</c:v>
                </c:pt>
                <c:pt idx="45">
                  <c:v>2516.27</c:v>
                </c:pt>
                <c:pt idx="46">
                  <c:v>2517.46</c:v>
                </c:pt>
                <c:pt idx="47">
                  <c:v>2524.35</c:v>
                </c:pt>
                <c:pt idx="48">
                  <c:v>2524.35</c:v>
                </c:pt>
                <c:pt idx="49">
                  <c:v>2524.35</c:v>
                </c:pt>
              </c:numCache>
            </c:numRef>
          </c:yVal>
          <c:smooth val="1"/>
        </c:ser>
        <c:dLbls>
          <c:showLegendKey val="0"/>
          <c:showVal val="0"/>
          <c:showCatName val="0"/>
          <c:showSerName val="0"/>
          <c:showPercent val="0"/>
          <c:showBubbleSize val="0"/>
        </c:dLbls>
        <c:axId val="1767501295"/>
        <c:axId val="1767498799"/>
      </c:scatterChart>
      <c:valAx>
        <c:axId val="176750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m/s</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498799"/>
        <c:crosses val="autoZero"/>
        <c:crossBetween val="midCat"/>
      </c:valAx>
      <c:valAx>
        <c:axId val="17674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501295"/>
        <c:crosses val="autoZero"/>
        <c:crossBetween val="midCat"/>
      </c:valAx>
      <c:spPr>
        <a:noFill/>
        <a:ln>
          <a:noFill/>
        </a:ln>
        <a:effectLst/>
      </c:spPr>
    </c:plotArea>
    <c:legend>
      <c:legendPos val="b"/>
      <c:layout>
        <c:manualLayout>
          <c:xMode val="edge"/>
          <c:yMode val="edge"/>
          <c:x val="0.608355405730797"/>
          <c:y val="0.549262206835406"/>
          <c:w val="0.34673729833855"/>
          <c:h val="0.0754026725211627"/>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manualLayout>
          <c:xMode val="edge"/>
          <c:yMode val="edge"/>
          <c:x val="0.40831919246309"/>
          <c:y val="0.0247678018575851"/>
        </c:manualLayout>
      </c:layout>
      <c:overlay val="0"/>
      <c:spPr>
        <a:noFill/>
        <a:ln>
          <a:noFill/>
        </a:ln>
        <a:effectLst/>
      </c:spPr>
    </c:title>
    <c:autoTitleDeleted val="0"/>
    <c:plotArea>
      <c:layout>
        <c:manualLayout>
          <c:layoutTarget val="inner"/>
          <c:xMode val="edge"/>
          <c:yMode val="edge"/>
          <c:x val="0.301511287732424"/>
          <c:y val="0.131406190325281"/>
          <c:w val="0.411424811965925"/>
          <c:h val="0.705323939770687"/>
        </c:manualLayout>
      </c:layout>
      <c:pieChart>
        <c:varyColors val="1"/>
        <c:ser>
          <c:idx val="0"/>
          <c:order val="0"/>
          <c:tx>
            <c:strRef>
              <c:f>Sheet1!$B$1</c:f>
              <c:strCache>
                <c:ptCount val="1"/>
                <c:pt idx="0">
                  <c:v>2.5MW</c:v>
                </c:pt>
              </c:strCache>
            </c:strRef>
          </c:tx>
          <c:spPr/>
          <c:explosion val="0"/>
          <c:dPt>
            <c:idx val="0"/>
            <c:bubble3D val="0"/>
            <c:spPr>
              <a:solidFill>
                <a:schemeClr val="accent6">
                  <a:tint val="58000"/>
                </a:schemeClr>
              </a:solidFill>
              <a:ln w="19050">
                <a:solidFill>
                  <a:schemeClr val="lt1"/>
                </a:solidFill>
              </a:ln>
              <a:effectLst/>
            </c:spPr>
          </c:dPt>
          <c:dPt>
            <c:idx val="1"/>
            <c:bubble3D val="0"/>
            <c:spPr>
              <a:solidFill>
                <a:schemeClr val="accent6">
                  <a:tint val="86000"/>
                </a:schemeClr>
              </a:solidFill>
              <a:ln w="19050">
                <a:solidFill>
                  <a:schemeClr val="lt1"/>
                </a:solidFill>
              </a:ln>
              <a:effectLst/>
            </c:spPr>
          </c:dPt>
          <c:dPt>
            <c:idx val="2"/>
            <c:bubble3D val="0"/>
            <c:spPr>
              <a:solidFill>
                <a:schemeClr val="accent6">
                  <a:shade val="86000"/>
                </a:schemeClr>
              </a:solidFill>
              <a:ln w="19050">
                <a:solidFill>
                  <a:schemeClr val="lt1"/>
                </a:solidFill>
              </a:ln>
              <a:effectLst/>
            </c:spPr>
          </c:dPt>
          <c:dPt>
            <c:idx val="3"/>
            <c:bubble3D val="0"/>
            <c:spPr>
              <a:solidFill>
                <a:schemeClr val="accent6">
                  <a:shade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14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优</c:v>
                </c:pt>
                <c:pt idx="1">
                  <c:v>良</c:v>
                </c:pt>
                <c:pt idx="2">
                  <c:v>中</c:v>
                </c:pt>
                <c:pt idx="3">
                  <c:v>差</c:v>
                </c:pt>
              </c:strCache>
            </c:strRef>
          </c:cat>
          <c:val>
            <c:numRef>
              <c:f>Sheet1!$B$2:$B$5</c:f>
              <c:numCache>
                <c:formatCode>0.00%</c:formatCode>
                <c:ptCount val="4"/>
                <c:pt idx="0">
                  <c:v>0.178</c:v>
                </c:pt>
                <c:pt idx="1">
                  <c:v>0.286</c:v>
                </c:pt>
                <c:pt idx="2">
                  <c:v>0.392</c:v>
                </c:pt>
                <c:pt idx="3">
                  <c:v>0.142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14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2.5MW</c:v>
                </c:pt>
              </c:strCache>
            </c:strRef>
          </c:tx>
          <c:spPr>
            <a:solidFill>
              <a:schemeClr val="accent1"/>
            </a:solidFill>
            <a:ln>
              <a:noFill/>
            </a:ln>
            <a:effectLst/>
          </c:spPr>
          <c:invertIfNegative val="0"/>
          <c:dLbls>
            <c:delete val="1"/>
          </c:dLbls>
          <c:cat>
            <c:strRef>
              <c:f>Sheet1!$A$2:$A$5</c:f>
              <c:strCache>
                <c:ptCount val="4"/>
                <c:pt idx="0">
                  <c:v>80-100</c:v>
                </c:pt>
                <c:pt idx="1">
                  <c:v>60-80</c:v>
                </c:pt>
                <c:pt idx="2">
                  <c:v>50-60</c:v>
                </c:pt>
                <c:pt idx="3">
                  <c:v>&lt;50</c:v>
                </c:pt>
              </c:strCache>
            </c:strRef>
          </c:cat>
          <c:val>
            <c:numRef>
              <c:f>Sheet1!$B$2:$B$5</c:f>
              <c:numCache>
                <c:formatCode>General</c:formatCode>
                <c:ptCount val="4"/>
                <c:pt idx="0">
                  <c:v>24</c:v>
                </c:pt>
                <c:pt idx="1">
                  <c:v>3</c:v>
                </c:pt>
                <c:pt idx="2">
                  <c:v>0</c:v>
                </c:pt>
                <c:pt idx="3">
                  <c:v>1</c:v>
                </c:pt>
              </c:numCache>
            </c:numRef>
          </c:val>
        </c:ser>
        <c:dLbls>
          <c:showLegendKey val="0"/>
          <c:showVal val="0"/>
          <c:showCatName val="0"/>
          <c:showSerName val="0"/>
          <c:showPercent val="0"/>
          <c:showBubbleSize val="0"/>
        </c:dLbls>
        <c:gapWidth val="219"/>
        <c:overlap val="-27"/>
        <c:axId val="1482298175"/>
        <c:axId val="1482296095"/>
      </c:barChart>
      <c:catAx>
        <c:axId val="1482298175"/>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Fg</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6095"/>
        <c:crosses val="autoZero"/>
        <c:auto val="1"/>
        <c:lblAlgn val="ctr"/>
        <c:lblOffset val="100"/>
        <c:noMultiLvlLbl val="0"/>
      </c:catAx>
      <c:valAx>
        <c:axId val="148229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8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'[各场站理论风功率曲线（厂家提供）.xlsx]Sheet23'!$B$82:$B$86</c:f>
              <c:strCache>
                <c:ptCount val="5"/>
                <c:pt idx="0">
                  <c:v>-15~-10</c:v>
                </c:pt>
                <c:pt idx="1">
                  <c:v>-10~-5</c:v>
                </c:pt>
                <c:pt idx="2">
                  <c:v>-5~0</c:v>
                </c:pt>
                <c:pt idx="3">
                  <c:v>0~5</c:v>
                </c:pt>
                <c:pt idx="4">
                  <c:v>5~10</c:v>
                </c:pt>
              </c:strCache>
            </c:strRef>
          </c:cat>
          <c:val>
            <c:numRef>
              <c:f>'[各场站理论风功率曲线（厂家提供）.xlsx]Sheet23'!$C$82:$C$86</c:f>
              <c:numCache>
                <c:formatCode>General</c:formatCode>
                <c:ptCount val="5"/>
                <c:pt idx="0">
                  <c:v>0</c:v>
                </c:pt>
                <c:pt idx="1">
                  <c:v>1</c:v>
                </c:pt>
                <c:pt idx="2">
                  <c:v>33</c:v>
                </c:pt>
                <c:pt idx="3">
                  <c:v>5</c:v>
                </c:pt>
                <c:pt idx="4">
                  <c:v>0</c:v>
                </c:pt>
              </c:numCache>
            </c:numRef>
          </c:val>
        </c:ser>
        <c:dLbls>
          <c:showLegendKey val="0"/>
          <c:showVal val="1"/>
          <c:showCatName val="0"/>
          <c:showSerName val="0"/>
          <c:showPercent val="0"/>
          <c:showBubbleSize val="0"/>
        </c:dLbls>
        <c:gapWidth val="219"/>
        <c:overlap val="-27"/>
        <c:axId val="568638801"/>
        <c:axId val="140833574"/>
      </c:barChart>
      <c:catAx>
        <c:axId val="568638801"/>
        <c:scaling>
          <c:orientation val="minMax"/>
        </c:scaling>
        <c:delete val="0"/>
        <c:axPos val="b"/>
        <c:title>
          <c:tx>
            <c:rich>
              <a:bodyPr rot="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偏航静差</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140833574"/>
        <c:crosses val="autoZero"/>
        <c:auto val="1"/>
        <c:lblAlgn val="ctr"/>
        <c:lblOffset val="100"/>
        <c:noMultiLvlLbl val="0"/>
      </c:catAx>
      <c:valAx>
        <c:axId val="14083357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56863880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400" b="0" u="none" strike="noStrike" kern="1200" cap="none" spc="0" normalizeH="0">
          <a:solidFill>
            <a:schemeClr val="tx1"/>
          </a:solidFill>
          <a:uFill>
            <a:solidFill>
              <a:schemeClr val="tx1"/>
            </a:solidFill>
          </a:u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F080</a:t>
            </a:r>
            <a:endParaRPr lang="en-US" altLang="zh-CN"/>
          </a:p>
        </c:rich>
      </c:tx>
      <c:layout/>
      <c:overlay val="0"/>
      <c:spPr>
        <a:noFill/>
        <a:ln>
          <a:noFill/>
        </a:ln>
        <a:effectLst/>
      </c:spPr>
    </c:title>
    <c:autoTitleDeleted val="0"/>
    <c:plotArea>
      <c:layout/>
      <c:lineChart>
        <c:grouping val="standard"/>
        <c:varyColors val="0"/>
        <c:ser>
          <c:idx val="0"/>
          <c:order val="0"/>
          <c:tx>
            <c:strRef>
              <c:f>'\Users\LENOVO\Desktop\冀北相关文档合并2021-08-11\[各场站理论风功率曲线（厂家提供）.xlsx]Sheet34'!$E$1</c:f>
              <c:strCache>
                <c:ptCount val="1"/>
                <c:pt idx="0">
                  <c:v>实际功率曲线</c:v>
                </c:pt>
              </c:strCache>
            </c:strRef>
          </c:tx>
          <c:spPr>
            <a:ln w="28575" cap="rnd">
              <a:solidFill>
                <a:schemeClr val="accent2"/>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'\Users\LENOVO\Desktop\冀北相关文档合并2021-08-11\[各场站理论风功率曲线（厂家提供）.xlsx]Sheet34'!$E$2:$E$32</c:f>
              <c:numCache>
                <c:formatCode>General</c:formatCode>
                <c:ptCount val="31"/>
                <c:pt idx="0">
                  <c:v>0</c:v>
                </c:pt>
                <c:pt idx="1">
                  <c:v>19.6</c:v>
                </c:pt>
                <c:pt idx="2">
                  <c:v>44.04</c:v>
                </c:pt>
                <c:pt idx="3">
                  <c:v>57.54</c:v>
                </c:pt>
                <c:pt idx="4">
                  <c:v>109.31</c:v>
                </c:pt>
                <c:pt idx="5">
                  <c:v>73.31</c:v>
                </c:pt>
                <c:pt idx="6">
                  <c:v>113.19</c:v>
                </c:pt>
                <c:pt idx="7">
                  <c:v>161.09</c:v>
                </c:pt>
                <c:pt idx="8">
                  <c:v>203.49</c:v>
                </c:pt>
                <c:pt idx="9">
                  <c:v>283.7</c:v>
                </c:pt>
                <c:pt idx="10">
                  <c:v>415.02</c:v>
                </c:pt>
                <c:pt idx="11">
                  <c:v>542.72</c:v>
                </c:pt>
                <c:pt idx="12">
                  <c:v>703.68</c:v>
                </c:pt>
                <c:pt idx="13">
                  <c:v>877.78</c:v>
                </c:pt>
                <c:pt idx="14">
                  <c:v>1071.43</c:v>
                </c:pt>
                <c:pt idx="15">
                  <c:v>1265.35</c:v>
                </c:pt>
                <c:pt idx="16">
                  <c:v>1396.55</c:v>
                </c:pt>
                <c:pt idx="17">
                  <c:v>1520.55</c:v>
                </c:pt>
                <c:pt idx="18">
                  <c:v>1686.46</c:v>
                </c:pt>
                <c:pt idx="19">
                  <c:v>2035.8</c:v>
                </c:pt>
                <c:pt idx="20">
                  <c:v>2217.99</c:v>
                </c:pt>
                <c:pt idx="21">
                  <c:v>2346.51</c:v>
                </c:pt>
                <c:pt idx="22">
                  <c:v>2468.22</c:v>
                </c:pt>
                <c:pt idx="23">
                  <c:v>2491.58</c:v>
                </c:pt>
                <c:pt idx="24">
                  <c:v>2502.41</c:v>
                </c:pt>
                <c:pt idx="25">
                  <c:v>2516.06</c:v>
                </c:pt>
                <c:pt idx="26">
                  <c:v>2516.12</c:v>
                </c:pt>
                <c:pt idx="27">
                  <c:v>2520.2</c:v>
                </c:pt>
                <c:pt idx="28">
                  <c:v>2519.19</c:v>
                </c:pt>
                <c:pt idx="29">
                  <c:v>2522.42</c:v>
                </c:pt>
                <c:pt idx="30">
                  <c:v>2521.4</c:v>
                </c:pt>
              </c:numCache>
            </c:numRef>
          </c:val>
          <c:smooth val="0"/>
        </c:ser>
        <c:ser>
          <c:idx val="1"/>
          <c:order val="1"/>
          <c:tx>
            <c:strRef>
              <c:f>'\Users\LENOVO\Desktop\冀北相关文档合并2021-08-11\[各场站理论风功率曲线（厂家提供）.xlsx]Sheet34'!$F$1</c:f>
              <c:strCache>
                <c:ptCount val="1"/>
                <c:pt idx="0">
                  <c:v>标准化功率曲线</c:v>
                </c:pt>
              </c:strCache>
            </c:strRef>
          </c:tx>
          <c:spPr>
            <a:ln w="28575" cap="rnd">
              <a:solidFill>
                <a:schemeClr val="accent1"/>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'\Users\LENOVO\Desktop\冀北相关文档合并2021-08-11\[各场站理论风功率曲线（厂家提供）.xlsx]Sheet34'!$F$2:$F$32</c:f>
              <c:numCache>
                <c:formatCode>General</c:formatCode>
                <c:ptCount val="31"/>
                <c:pt idx="0">
                  <c:v>0</c:v>
                </c:pt>
                <c:pt idx="1">
                  <c:v>19.6</c:v>
                </c:pt>
                <c:pt idx="2">
                  <c:v>44.04</c:v>
                </c:pt>
                <c:pt idx="3">
                  <c:v>57.54</c:v>
                </c:pt>
                <c:pt idx="4">
                  <c:v>57.89</c:v>
                </c:pt>
                <c:pt idx="5">
                  <c:v>74.83</c:v>
                </c:pt>
                <c:pt idx="6">
                  <c:v>114.89</c:v>
                </c:pt>
                <c:pt idx="7">
                  <c:v>154.27</c:v>
                </c:pt>
                <c:pt idx="8">
                  <c:v>210.05</c:v>
                </c:pt>
                <c:pt idx="9">
                  <c:v>294.92</c:v>
                </c:pt>
                <c:pt idx="10">
                  <c:v>408.67</c:v>
                </c:pt>
                <c:pt idx="11">
                  <c:v>539.58</c:v>
                </c:pt>
                <c:pt idx="12">
                  <c:v>705.79</c:v>
                </c:pt>
                <c:pt idx="13">
                  <c:v>871.6</c:v>
                </c:pt>
                <c:pt idx="14">
                  <c:v>1068.18</c:v>
                </c:pt>
                <c:pt idx="15">
                  <c:v>1263.54</c:v>
                </c:pt>
                <c:pt idx="16">
                  <c:v>1433.17</c:v>
                </c:pt>
                <c:pt idx="17">
                  <c:v>1638.34</c:v>
                </c:pt>
                <c:pt idx="18">
                  <c:v>1852.27</c:v>
                </c:pt>
                <c:pt idx="19">
                  <c:v>2024.79</c:v>
                </c:pt>
                <c:pt idx="20">
                  <c:v>2214.79</c:v>
                </c:pt>
                <c:pt idx="21">
                  <c:v>2346.93</c:v>
                </c:pt>
                <c:pt idx="22">
                  <c:v>2463.63</c:v>
                </c:pt>
                <c:pt idx="23">
                  <c:v>2495.2</c:v>
                </c:pt>
                <c:pt idx="24">
                  <c:v>2510.36</c:v>
                </c:pt>
                <c:pt idx="25">
                  <c:v>2515.64</c:v>
                </c:pt>
                <c:pt idx="26">
                  <c:v>2517.11</c:v>
                </c:pt>
                <c:pt idx="27">
                  <c:v>2519.38</c:v>
                </c:pt>
                <c:pt idx="28">
                  <c:v>2518.72</c:v>
                </c:pt>
                <c:pt idx="29">
                  <c:v>2518.69</c:v>
                </c:pt>
                <c:pt idx="30">
                  <c:v>2519.57</c:v>
                </c:pt>
              </c:numCache>
            </c:numRef>
          </c:val>
          <c:smooth val="0"/>
        </c:ser>
        <c:dLbls>
          <c:showLegendKey val="0"/>
          <c:showVal val="0"/>
          <c:showCatName val="0"/>
          <c:showSerName val="0"/>
          <c:showPercent val="0"/>
          <c:showBubbleSize val="0"/>
        </c:dLbls>
        <c:marker val="0"/>
        <c:smooth val="0"/>
        <c:axId val="123772693"/>
        <c:axId val="726664991"/>
      </c:lineChart>
      <c:catAx>
        <c:axId val="12377269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风速（</a:t>
                </a:r>
                <a:r>
                  <a:rPr lang="en-US" altLang="zh-CN"/>
                  <a:t>m/s</a:t>
                </a:r>
                <a:r>
                  <a:rPr lang="zh-CN" altLang="en-US"/>
                  <a:t>）</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6664991"/>
        <c:crosses val="autoZero"/>
        <c:auto val="1"/>
        <c:lblAlgn val="ctr"/>
        <c:lblOffset val="100"/>
        <c:noMultiLvlLbl val="0"/>
      </c:catAx>
      <c:valAx>
        <c:axId val="72666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772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E13C5-8305-44CE-81A3-976A66D9B863}">
  <ds:schemaRefs/>
</ds:datastoreItem>
</file>

<file path=docProps/app.xml><?xml version="1.0" encoding="utf-8"?>
<Properties xmlns="http://schemas.openxmlformats.org/officeDocument/2006/extended-properties" xmlns:vt="http://schemas.openxmlformats.org/officeDocument/2006/docPropsVTypes">
  <Template>Normal</Template>
  <Pages>53</Pages>
  <Words>2601</Words>
  <Characters>14828</Characters>
  <Lines>123</Lines>
  <Paragraphs>34</Paragraphs>
  <TotalTime>355</TotalTime>
  <ScaleCrop>false</ScaleCrop>
  <LinksUpToDate>false</LinksUpToDate>
  <CharactersWithSpaces>17395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2022-01-20T01:24:00Z</dcterms:created>
  <dc:creator>群菱李杰</dc:creator>
  <cp:lastModifiedBy>dupl</cp:lastModifiedBy>
  <cp:lastPrinted>2016-08-31T15:57:00Z</cp:lastPrinted>
  <dcterms:modified xsi:type="dcterms:W3CDTF">2022-04-26T11:11:44Z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509E254E9C7649B6908CC15E0630E5F6</vt:lpwstr>
  </property>
</Properties>
</file>