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cs="Times New Roman" w:asciiTheme="majorEastAsia" w:hAnsiTheme="majorEastAsia" w:eastAsiaTheme="majorEastAsia"/>
          <w:b/>
          <w:sz w:val="44"/>
          <w:szCs w:val="44"/>
        </w:rPr>
      </w:pPr>
      <w:bookmarkStart w:id="0" w:name="_Hlk90637520"/>
      <w:bookmarkEnd w:id="0"/>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r>
        <w:rPr>
          <w:rFonts w:hint="eastAsia" w:cs="Times New Roman" w:asciiTheme="majorEastAsia" w:hAnsiTheme="majorEastAsia" w:eastAsiaTheme="majorEastAsia"/>
          <w:b/>
          <w:sz w:val="44"/>
          <w:szCs w:val="44"/>
          <w:lang w:val="en-US" w:eastAsia="zh-CN"/>
        </w:rPr>
        <w:t>{{stationName}}</w:t>
      </w:r>
      <w:r>
        <w:rPr>
          <w:rFonts w:hint="eastAsia" w:cs="Times New Roman" w:asciiTheme="majorEastAsia" w:hAnsiTheme="majorEastAsia" w:eastAsiaTheme="majorEastAsia"/>
          <w:b/>
          <w:sz w:val="44"/>
          <w:szCs w:val="44"/>
        </w:rPr>
        <w:t>风电场</w:t>
      </w: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r>
        <w:rPr>
          <w:rFonts w:hint="eastAsia" w:cs="Times New Roman" w:asciiTheme="majorEastAsia" w:hAnsiTheme="majorEastAsia" w:eastAsiaTheme="majorEastAsia"/>
          <w:b/>
          <w:sz w:val="44"/>
          <w:szCs w:val="44"/>
          <w:lang w:val="en-US" w:eastAsia="zh-CN"/>
        </w:rPr>
        <w:t>{{reportYear}}</w:t>
      </w:r>
      <w:r>
        <w:rPr>
          <w:rFonts w:hint="eastAsia" w:cs="Times New Roman" w:asciiTheme="majorEastAsia" w:hAnsiTheme="majorEastAsia" w:eastAsiaTheme="majorEastAsia"/>
          <w:b/>
          <w:sz w:val="44"/>
          <w:szCs w:val="44"/>
        </w:rPr>
        <w:t>年第</w:t>
      </w:r>
      <w:r>
        <w:rPr>
          <w:rFonts w:hint="eastAsia" w:cs="Times New Roman" w:asciiTheme="majorEastAsia" w:hAnsiTheme="majorEastAsia" w:eastAsiaTheme="majorEastAsia"/>
          <w:b/>
          <w:sz w:val="44"/>
          <w:szCs w:val="44"/>
          <w:lang w:val="en-US" w:eastAsia="zh-CN"/>
        </w:rPr>
        <w:t>{{reportQuarter}}</w:t>
      </w:r>
      <w:r>
        <w:rPr>
          <w:rFonts w:hint="eastAsia" w:cs="Times New Roman" w:asciiTheme="majorEastAsia" w:hAnsiTheme="majorEastAsia" w:eastAsiaTheme="majorEastAsia"/>
          <w:b/>
          <w:sz w:val="44"/>
          <w:szCs w:val="44"/>
        </w:rPr>
        <w:t>季度运行性能评估分析报告</w:t>
      </w: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32"/>
        </w:rPr>
      </w:pPr>
      <w:r>
        <w:rPr>
          <w:rFonts w:hint="eastAsia" w:cs="Times New Roman" w:asciiTheme="majorEastAsia" w:hAnsiTheme="majorEastAsia" w:eastAsiaTheme="majorEastAsia"/>
          <w:b/>
          <w:sz w:val="32"/>
        </w:rPr>
        <w:t>国网冀北电力有限公司电力科学研究院</w:t>
      </w:r>
    </w:p>
    <w:p>
      <w:pPr>
        <w:spacing w:line="360" w:lineRule="auto"/>
        <w:jc w:val="center"/>
        <w:rPr>
          <w:rFonts w:cs="Times New Roman" w:asciiTheme="majorEastAsia" w:hAnsiTheme="majorEastAsia" w:eastAsiaTheme="majorEastAsia"/>
          <w:b/>
          <w:sz w:val="32"/>
        </w:rPr>
      </w:pPr>
    </w:p>
    <w:p>
      <w:pPr>
        <w:spacing w:line="360" w:lineRule="auto"/>
        <w:jc w:val="center"/>
        <w:rPr>
          <w:rFonts w:cs="Times New Roman" w:asciiTheme="majorEastAsia" w:hAnsiTheme="majorEastAsia" w:eastAsiaTheme="majorEastAsia"/>
          <w:b/>
          <w:sz w:val="32"/>
        </w:rPr>
      </w:pPr>
      <w:r>
        <w:rPr>
          <w:rFonts w:hint="eastAsia" w:cs="Times New Roman" w:asciiTheme="majorEastAsia" w:hAnsiTheme="majorEastAsia" w:eastAsiaTheme="majorEastAsia"/>
          <w:b/>
          <w:sz w:val="44"/>
          <w:szCs w:val="44"/>
          <w:lang w:val="en-US" w:eastAsia="zh-CN"/>
        </w:rPr>
        <w:t>{{reportYear}}</w:t>
      </w:r>
      <w:r>
        <w:rPr>
          <w:rFonts w:hint="eastAsia" w:cs="Times New Roman" w:asciiTheme="majorEastAsia" w:hAnsiTheme="majorEastAsia" w:eastAsiaTheme="majorEastAsia"/>
          <w:b/>
          <w:sz w:val="32"/>
        </w:rPr>
        <w:t>年</w:t>
      </w:r>
      <w:r>
        <w:rPr>
          <w:rFonts w:hint="eastAsia" w:cs="Times New Roman" w:asciiTheme="majorEastAsia" w:hAnsiTheme="majorEastAsia" w:eastAsiaTheme="majorEastAsia"/>
          <w:b/>
          <w:sz w:val="44"/>
          <w:szCs w:val="44"/>
          <w:lang w:val="en-US" w:eastAsia="zh-CN"/>
        </w:rPr>
        <w:t>{{reportMonth}}</w:t>
      </w:r>
      <w:r>
        <w:rPr>
          <w:rFonts w:hint="eastAsia" w:cs="Times New Roman" w:asciiTheme="majorEastAsia" w:hAnsiTheme="majorEastAsia" w:eastAsiaTheme="majorEastAsia"/>
          <w:b/>
          <w:sz w:val="32"/>
        </w:rPr>
        <w:t>月</w:t>
      </w:r>
    </w:p>
    <w:p>
      <w:pPr>
        <w:spacing w:line="360" w:lineRule="auto"/>
        <w:jc w:val="center"/>
        <w:rPr>
          <w:rFonts w:cs="Times New Roman" w:asciiTheme="majorEastAsia" w:hAnsiTheme="majorEastAsia" w:eastAsiaTheme="majorEastAsia"/>
          <w:b/>
          <w:sz w:val="32"/>
        </w:rPr>
      </w:pPr>
      <w:r>
        <w:rPr>
          <w:rFonts w:hint="eastAsia" w:cs="Times New Roman" w:asciiTheme="majorEastAsia" w:hAnsiTheme="majorEastAsia" w:eastAsiaTheme="majorEastAsia"/>
          <w:b/>
          <w:sz w:val="32"/>
        </w:rPr>
        <w:t>目 录</w:t>
      </w:r>
    </w:p>
    <w:p>
      <w:pPr>
        <w:spacing w:line="360" w:lineRule="auto"/>
        <w:jc w:val="center"/>
        <w:rPr>
          <w:rFonts w:cs="Times New Roman" w:asciiTheme="majorEastAsia" w:hAnsiTheme="majorEastAsia" w:eastAsiaTheme="majorEastAsia"/>
          <w:b/>
          <w:sz w:val="32"/>
        </w:rPr>
      </w:pPr>
    </w:p>
    <w:p>
      <w:pPr>
        <w:pStyle w:val="30"/>
        <w:rPr>
          <w:rFonts w:asciiTheme="minorHAnsi" w:hAnsiTheme="minorHAnsi" w:eastAsiaTheme="minorEastAsia" w:cstheme="minorBidi"/>
          <w:b w:val="0"/>
          <w:sz w:val="21"/>
          <w:szCs w:val="22"/>
        </w:rPr>
      </w:pPr>
      <w:r>
        <w:rPr>
          <w:rFonts w:hint="eastAsia" w:asciiTheme="majorEastAsia" w:hAnsiTheme="majorEastAsia" w:eastAsiaTheme="majorEastAsia"/>
          <w:b w:val="0"/>
        </w:rPr>
        <w:fldChar w:fldCharType="begin"/>
      </w:r>
      <w:r>
        <w:rPr>
          <w:rFonts w:hint="eastAsia" w:asciiTheme="majorEastAsia" w:hAnsiTheme="majorEastAsia" w:eastAsiaTheme="majorEastAsia"/>
          <w:b w:val="0"/>
        </w:rPr>
        <w:instrText xml:space="preserve"> TOC \o "1-3" \h \z \u </w:instrText>
      </w:r>
      <w:r>
        <w:rPr>
          <w:rFonts w:hint="eastAsia" w:asciiTheme="majorEastAsia" w:hAnsiTheme="majorEastAsia" w:eastAsiaTheme="majorEastAsia"/>
          <w:b w:val="0"/>
        </w:rPr>
        <w:fldChar w:fldCharType="separate"/>
      </w:r>
      <w:r>
        <w:fldChar w:fldCharType="begin"/>
      </w:r>
      <w:r>
        <w:instrText xml:space="preserve"> HYPERLINK \l "_Toc93583517" </w:instrText>
      </w:r>
      <w:r>
        <w:fldChar w:fldCharType="separate"/>
      </w:r>
      <w:r>
        <w:rPr>
          <w:rStyle w:val="46"/>
          <w:rFonts w:asciiTheme="majorEastAsia" w:hAnsiTheme="majorEastAsia" w:eastAsiaTheme="majorEastAsia"/>
          <w:bCs/>
        </w:rPr>
        <w:t>一、概述</w:t>
      </w:r>
      <w:r>
        <w:tab/>
      </w:r>
      <w:r>
        <w:fldChar w:fldCharType="begin"/>
      </w:r>
      <w:r>
        <w:instrText xml:space="preserve"> PAGEREF _Toc93583517 \h </w:instrText>
      </w:r>
      <w:r>
        <w:fldChar w:fldCharType="separate"/>
      </w:r>
      <w:r>
        <w:t>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"_Toc93583518" </w:instrText>
      </w:r>
      <w:r>
        <w:fldChar w:fldCharType="separate"/>
      </w:r>
      <w:r>
        <w:rPr>
          <w:rStyle w:val="46"/>
          <w:rFonts w:asciiTheme="majorEastAsia" w:hAnsiTheme="majorEastAsia" w:eastAsiaTheme="majorEastAsia"/>
          <w:bCs/>
        </w:rPr>
        <w:t>二、风电场运行情况分析</w:t>
      </w:r>
      <w:r>
        <w:tab/>
      </w:r>
      <w:r>
        <w:fldChar w:fldCharType="begin"/>
      </w:r>
      <w:r>
        <w:instrText xml:space="preserve"> PAGEREF _Toc93583518 \h </w:instrText>
      </w:r>
      <w:r>
        <w:fldChar w:fldCharType="separate"/>
      </w:r>
      <w:r>
        <w:t>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"_Toc93583519" </w:instrText>
      </w:r>
      <w:r>
        <w:fldChar w:fldCharType="separate"/>
      </w:r>
      <w:r>
        <w:rPr>
          <w:rStyle w:val="46"/>
          <w:rFonts w:ascii="Times New Roman" w:eastAsia="宋体"/>
          <w:bCs/>
        </w:rPr>
        <w:t>2.1 发电量分析</w:t>
      </w:r>
      <w:r>
        <w:tab/>
      </w:r>
      <w:r>
        <w:fldChar w:fldCharType="begin"/>
      </w:r>
      <w:r>
        <w:instrText xml:space="preserve"> PAGEREF _Toc93583519 \h </w:instrText>
      </w:r>
      <w:r>
        <w:fldChar w:fldCharType="separate"/>
      </w:r>
      <w:r>
        <w:t>4</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"_Toc93583520" </w:instrText>
      </w:r>
      <w:r>
        <w:fldChar w:fldCharType="separate"/>
      </w:r>
      <w:r>
        <w:rPr>
          <w:rStyle w:val="46"/>
        </w:rPr>
        <w:t>2.1.1月度电量分析</w:t>
      </w:r>
      <w:r>
        <w:tab/>
      </w:r>
      <w:r>
        <w:fldChar w:fldCharType="begin"/>
      </w:r>
      <w:r>
        <w:instrText xml:space="preserve"> PAGEREF _Toc93583520 \h </w:instrText>
      </w:r>
      <w:r>
        <w:fldChar w:fldCharType="separate"/>
      </w:r>
      <w:r>
        <w:t>4</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"_Toc93583521" </w:instrText>
      </w:r>
      <w:r>
        <w:fldChar w:fldCharType="separate"/>
      </w:r>
      <w:r>
        <w:rPr>
          <w:rStyle w:val="46"/>
        </w:rPr>
        <w:t>2.1.2机组发电量排名</w:t>
      </w:r>
      <w:r>
        <w:tab/>
      </w:r>
      <w:r>
        <w:fldChar w:fldCharType="begin"/>
      </w:r>
      <w:r>
        <w:instrText xml:space="preserve"> PAGEREF _Toc93583521 \h </w:instrText>
      </w:r>
      <w:r>
        <w:fldChar w:fldCharType="separate"/>
      </w:r>
      <w:r>
        <w:t>5</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"_Toc93583522" </w:instrText>
      </w:r>
      <w:r>
        <w:fldChar w:fldCharType="separate"/>
      </w:r>
      <w:r>
        <w:rPr>
          <w:rStyle w:val="46"/>
          <w:rFonts w:ascii="Times New Roman" w:eastAsia="宋体"/>
          <w:bCs/>
        </w:rPr>
        <w:t>2.2 运行小时数分析</w:t>
      </w:r>
      <w:r>
        <w:tab/>
      </w:r>
      <w:r>
        <w:fldChar w:fldCharType="begin"/>
      </w:r>
      <w:r>
        <w:instrText xml:space="preserve"> PAGEREF _Toc93583522 \h </w:instrText>
      </w:r>
      <w:r>
        <w:fldChar w:fldCharType="separate"/>
      </w:r>
      <w:r>
        <w:t>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"_Toc93583523" </w:instrText>
      </w:r>
      <w:r>
        <w:fldChar w:fldCharType="separate"/>
      </w:r>
      <w:r>
        <w:rPr>
          <w:rStyle w:val="46"/>
          <w:rFonts w:ascii="Times New Roman" w:eastAsia="宋体"/>
          <w:bCs/>
        </w:rPr>
        <w:t>2.3 故障分析</w:t>
      </w:r>
      <w:r>
        <w:tab/>
      </w:r>
      <w:r>
        <w:fldChar w:fldCharType="begin"/>
      </w:r>
      <w:r>
        <w:instrText xml:space="preserve"> PAGEREF _Toc93583523 \h </w:instrText>
      </w:r>
      <w:r>
        <w:fldChar w:fldCharType="separate"/>
      </w:r>
      <w:r>
        <w:t>9</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"_Toc93583524" </w:instrText>
      </w:r>
      <w:r>
        <w:fldChar w:fldCharType="separate"/>
      </w:r>
      <w:r>
        <w:rPr>
          <w:rStyle w:val="46"/>
        </w:rPr>
        <w:t>2.3.1故障情况统计</w:t>
      </w:r>
      <w:r>
        <w:tab/>
      </w:r>
      <w:r>
        <w:fldChar w:fldCharType="begin"/>
      </w:r>
      <w:r>
        <w:instrText xml:space="preserve"> PAGEREF _Toc93583524 \h </w:instrText>
      </w:r>
      <w:r>
        <w:fldChar w:fldCharType="separate"/>
      </w:r>
      <w:r>
        <w:t>9</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"_Toc93583525" </w:instrText>
      </w:r>
      <w:r>
        <w:fldChar w:fldCharType="separate"/>
      </w:r>
      <w:r>
        <w:rPr>
          <w:rStyle w:val="46"/>
        </w:rPr>
        <w:t>2.3.2故障指标分析</w:t>
      </w:r>
      <w:r>
        <w:tab/>
      </w:r>
      <w:r>
        <w:fldChar w:fldCharType="begin"/>
      </w:r>
      <w:r>
        <w:instrText xml:space="preserve"> PAGEREF _Toc93583525 \h </w:instrText>
      </w:r>
      <w:r>
        <w:fldChar w:fldCharType="separate"/>
      </w:r>
      <w:r>
        <w:t>12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"_Toc93583526" </w:instrText>
      </w:r>
      <w:r>
        <w:fldChar w:fldCharType="separate"/>
      </w:r>
      <w:r>
        <w:rPr>
          <w:rStyle w:val="46"/>
        </w:rPr>
        <w:t>2.3.3检修指标分析</w:t>
      </w:r>
      <w:r>
        <w:tab/>
      </w:r>
      <w:r>
        <w:fldChar w:fldCharType="begin"/>
      </w:r>
      <w:r>
        <w:instrText xml:space="preserve"> PAGEREF _Toc93583526 \h </w:instrText>
      </w:r>
      <w:r>
        <w:fldChar w:fldCharType="separate"/>
      </w:r>
      <w:r>
        <w:t>14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"_Toc93583527" </w:instrText>
      </w:r>
      <w:r>
        <w:fldChar w:fldCharType="separate"/>
      </w:r>
      <w:r>
        <w:rPr>
          <w:rStyle w:val="46"/>
          <w:rFonts w:ascii="Times New Roman" w:eastAsia="宋体"/>
          <w:bCs/>
        </w:rPr>
        <w:t>2.4 损失电量分析</w:t>
      </w:r>
      <w:r>
        <w:tab/>
      </w:r>
      <w:r>
        <w:fldChar w:fldCharType="begin"/>
      </w:r>
      <w:r>
        <w:instrText xml:space="preserve"> PAGEREF _Toc93583527 \h </w:instrText>
      </w:r>
      <w:r>
        <w:fldChar w:fldCharType="separate"/>
      </w:r>
      <w:r>
        <w:t>16</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"_Toc93583528" </w:instrText>
      </w:r>
      <w:r>
        <w:fldChar w:fldCharType="separate"/>
      </w:r>
      <w:r>
        <w:rPr>
          <w:rStyle w:val="46"/>
          <w:rFonts w:ascii="Times New Roman" w:eastAsia="宋体"/>
          <w:bCs/>
        </w:rPr>
        <w:t>2.5 小结</w:t>
      </w:r>
      <w:r>
        <w:tab/>
      </w:r>
      <w:r>
        <w:fldChar w:fldCharType="begin"/>
      </w:r>
      <w:r>
        <w:instrText xml:space="preserve"> PAGEREF _Toc93583528 \h </w:instrText>
      </w:r>
      <w:r>
        <w:fldChar w:fldCharType="separate"/>
      </w:r>
      <w:r>
        <w:t>17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"_Toc93583529" </w:instrText>
      </w:r>
      <w:r>
        <w:fldChar w:fldCharType="separate"/>
      </w:r>
      <w:r>
        <w:rPr>
          <w:rStyle w:val="46"/>
          <w:rFonts w:asciiTheme="majorEastAsia" w:hAnsiTheme="majorEastAsia" w:eastAsiaTheme="majorEastAsia"/>
          <w:bCs/>
        </w:rPr>
        <w:t>三、风电机组发电性能评价及缺陷预警</w:t>
      </w:r>
      <w:r>
        <w:tab/>
      </w:r>
      <w:r>
        <w:fldChar w:fldCharType="begin"/>
      </w:r>
      <w:r>
        <w:instrText xml:space="preserve"> PAGEREF _Toc93583529 \h </w:instrText>
      </w:r>
      <w:r>
        <w:fldChar w:fldCharType="separate"/>
      </w:r>
      <w:r>
        <w:t>18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"_Toc93583530" </w:instrText>
      </w:r>
      <w:r>
        <w:fldChar w:fldCharType="separate"/>
      </w:r>
      <w:r>
        <w:rPr>
          <w:rStyle w:val="46"/>
          <w:rFonts w:ascii="Times New Roman" w:eastAsia="宋体"/>
          <w:bCs/>
        </w:rPr>
        <w:t>3.1 发电性能一致性分析</w:t>
      </w:r>
      <w:r>
        <w:tab/>
      </w:r>
      <w:r>
        <w:fldChar w:fldCharType="begin"/>
      </w:r>
      <w:r>
        <w:instrText xml:space="preserve"> PAGEREF _Toc93583530 \h </w:instrText>
      </w:r>
      <w:r>
        <w:fldChar w:fldCharType="separate"/>
      </w:r>
      <w:r>
        <w:t>18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"_Toc93583531" </w:instrText>
      </w:r>
      <w:r>
        <w:fldChar w:fldCharType="separate"/>
      </w:r>
      <w:r>
        <w:rPr>
          <w:rStyle w:val="46"/>
          <w:rFonts w:ascii="Times New Roman" w:eastAsia="宋体"/>
          <w:bCs/>
        </w:rPr>
        <w:t>3.2 发电能力指标Fg分析</w:t>
      </w:r>
      <w:r>
        <w:tab/>
      </w:r>
      <w:r>
        <w:fldChar w:fldCharType="begin"/>
      </w:r>
      <w:r>
        <w:instrText xml:space="preserve"> PAGEREF _Toc93583531 \h </w:instrText>
      </w:r>
      <w:r>
        <w:fldChar w:fldCharType="separate"/>
      </w:r>
      <w:r>
        <w:t>22</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"_Toc93583532" </w:instrText>
      </w:r>
      <w:r>
        <w:fldChar w:fldCharType="separate"/>
      </w:r>
      <w:r>
        <w:rPr>
          <w:rStyle w:val="46"/>
          <w:rFonts w:ascii="Times New Roman" w:eastAsia="宋体"/>
          <w:bCs/>
        </w:rPr>
        <w:t>3.3 偏航静态偏差分析及预警</w:t>
      </w:r>
      <w:r>
        <w:tab/>
      </w:r>
      <w:r>
        <w:fldChar w:fldCharType="begin"/>
      </w:r>
      <w:r>
        <w:instrText xml:space="preserve"> PAGEREF _Toc93583532 \h </w:instrText>
      </w:r>
      <w:r>
        <w:fldChar w:fldCharType="separate"/>
      </w:r>
      <w:r>
        <w:t>24</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"_Toc93583533" </w:instrText>
      </w:r>
      <w:r>
        <w:fldChar w:fldCharType="separate"/>
      </w:r>
      <w:r>
        <w:rPr>
          <w:rStyle w:val="46"/>
        </w:rPr>
        <w:t>3.3.1偏航静态偏差分析</w:t>
      </w:r>
      <w:r>
        <w:tab/>
      </w:r>
      <w:r>
        <w:fldChar w:fldCharType="begin"/>
      </w:r>
      <w:r>
        <w:instrText xml:space="preserve"> PAGEREF _Toc93583533 \h </w:instrText>
      </w:r>
      <w:r>
        <w:fldChar w:fldCharType="separate"/>
      </w:r>
      <w:r>
        <w:t>25</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"_Toc93583534" </w:instrText>
      </w:r>
      <w:r>
        <w:fldChar w:fldCharType="separate"/>
      </w:r>
      <w:r>
        <w:rPr>
          <w:rStyle w:val="46"/>
        </w:rPr>
        <w:t>3.3.2偏航评价</w:t>
      </w:r>
      <w:r>
        <w:tab/>
      </w:r>
      <w:r>
        <w:fldChar w:fldCharType="begin"/>
      </w:r>
      <w:r>
        <w:instrText xml:space="preserve"> PAGEREF _Toc93583534 \h </w:instrText>
      </w:r>
      <w:r>
        <w:fldChar w:fldCharType="separate"/>
      </w:r>
      <w:r>
        <w:t>26</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"_Toc93583535" </w:instrText>
      </w:r>
      <w:r>
        <w:fldChar w:fldCharType="separate"/>
      </w:r>
      <w:r>
        <w:rPr>
          <w:rStyle w:val="46"/>
          <w:rFonts w:ascii="Times New Roman" w:eastAsia="宋体"/>
          <w:bCs/>
        </w:rPr>
        <w:t>3.4 小结</w:t>
      </w:r>
      <w:r>
        <w:tab/>
      </w:r>
      <w:r>
        <w:fldChar w:fldCharType="begin"/>
      </w:r>
      <w:r>
        <w:instrText xml:space="preserve"> PAGEREF _Toc93583535 \h </w:instrText>
      </w:r>
      <w:r>
        <w:fldChar w:fldCharType="separate"/>
      </w:r>
      <w:r>
        <w:t>27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"_Toc93583536" </w:instrText>
      </w:r>
      <w:r>
        <w:fldChar w:fldCharType="separate"/>
      </w:r>
      <w:r>
        <w:rPr>
          <w:rStyle w:val="46"/>
          <w:rFonts w:ascii="宋体" w:hAnsi="宋体" w:eastAsia="宋体"/>
          <w:bCs/>
        </w:rPr>
        <w:t>四、涉网性能评价及分析</w:t>
      </w:r>
      <w:r>
        <w:tab/>
      </w:r>
      <w:r>
        <w:fldChar w:fldCharType="begin"/>
      </w:r>
      <w:r>
        <w:instrText xml:space="preserve"> PAGEREF _Toc93583536 \h </w:instrText>
      </w:r>
      <w:r>
        <w:fldChar w:fldCharType="separate"/>
      </w:r>
      <w:r>
        <w:t>28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"_Toc93583537" </w:instrText>
      </w:r>
      <w:r>
        <w:fldChar w:fldCharType="separate"/>
      </w:r>
      <w:r>
        <w:rPr>
          <w:rStyle w:val="46"/>
          <w:rFonts w:ascii="Times New Roman" w:eastAsia="宋体"/>
          <w:bCs/>
        </w:rPr>
        <w:t>4.1 AGC性能评价及分析</w:t>
      </w:r>
      <w:r>
        <w:tab/>
      </w:r>
      <w:r>
        <w:fldChar w:fldCharType="begin"/>
      </w:r>
      <w:r>
        <w:instrText xml:space="preserve"> PAGEREF _Toc93583537 \h </w:instrText>
      </w:r>
      <w:r>
        <w:fldChar w:fldCharType="separate"/>
      </w:r>
      <w:r>
        <w:t>28</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"_Toc93583538" </w:instrText>
      </w:r>
      <w:r>
        <w:fldChar w:fldCharType="separate"/>
      </w:r>
      <w:r>
        <w:rPr>
          <w:rStyle w:val="46"/>
          <w:rFonts w:ascii="Times New Roman" w:eastAsia="宋体"/>
          <w:b/>
          <w:bCs/>
        </w:rPr>
        <w:t>4.1.1月度跟踪评价</w:t>
      </w:r>
      <w:r>
        <w:tab/>
      </w:r>
      <w:r>
        <w:fldChar w:fldCharType="begin"/>
      </w:r>
      <w:r>
        <w:instrText xml:space="preserve"> PAGEREF _Toc93583538 \h </w:instrText>
      </w:r>
      <w:r>
        <w:fldChar w:fldCharType="separate"/>
      </w:r>
      <w:r>
        <w:t>28</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"_Toc93583539" </w:instrText>
      </w:r>
      <w:r>
        <w:fldChar w:fldCharType="separate"/>
      </w:r>
      <w:r>
        <w:rPr>
          <w:rStyle w:val="46"/>
          <w:rFonts w:ascii="Times New Roman" w:eastAsia="宋体"/>
          <w:b/>
          <w:bCs/>
        </w:rPr>
        <w:t>4.1.2典型日运行情况分析</w:t>
      </w:r>
      <w:r>
        <w:tab/>
      </w:r>
      <w:r>
        <w:fldChar w:fldCharType="begin"/>
      </w:r>
      <w:r>
        <w:instrText xml:space="preserve"> PAGEREF _Toc93583539 \h </w:instrText>
      </w:r>
      <w:r>
        <w:fldChar w:fldCharType="separate"/>
      </w:r>
      <w:r>
        <w:t>31</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"_Toc93583540" </w:instrText>
      </w:r>
      <w:r>
        <w:fldChar w:fldCharType="separate"/>
      </w:r>
      <w:r>
        <w:rPr>
          <w:rStyle w:val="46"/>
          <w:rFonts w:ascii="Times New Roman" w:eastAsia="宋体"/>
          <w:bCs/>
        </w:rPr>
        <w:t>4.2 AVC性能评价及分析</w:t>
      </w:r>
      <w:r>
        <w:tab/>
      </w:r>
      <w:r>
        <w:fldChar w:fldCharType="begin"/>
      </w:r>
      <w:r>
        <w:instrText xml:space="preserve"> PAGEREF _Toc93583540 \h </w:instrText>
      </w:r>
      <w:r>
        <w:fldChar w:fldCharType="separate"/>
      </w:r>
      <w:r>
        <w:t>32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"_Toc93583541" </w:instrText>
      </w:r>
      <w:r>
        <w:fldChar w:fldCharType="separate"/>
      </w:r>
      <w:r>
        <w:rPr>
          <w:rStyle w:val="46"/>
          <w:rFonts w:ascii="Times New Roman" w:eastAsia="宋体"/>
          <w:b/>
          <w:bCs/>
        </w:rPr>
        <w:t>4.2.1月度跟踪评价</w:t>
      </w:r>
      <w:r>
        <w:tab/>
      </w:r>
      <w:r>
        <w:fldChar w:fldCharType="begin"/>
      </w:r>
      <w:r>
        <w:instrText xml:space="preserve"> PAGEREF _Toc93583541 \h </w:instrText>
      </w:r>
      <w:r>
        <w:fldChar w:fldCharType="separate"/>
      </w:r>
      <w:r>
        <w:t>32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"_Toc93583542" </w:instrText>
      </w:r>
      <w:r>
        <w:fldChar w:fldCharType="separate"/>
      </w:r>
      <w:r>
        <w:rPr>
          <w:rStyle w:val="46"/>
          <w:rFonts w:ascii="Times New Roman" w:eastAsia="宋体"/>
          <w:b/>
          <w:bCs/>
        </w:rPr>
        <w:t>4.2.2典型日运行情况分析</w:t>
      </w:r>
      <w:r>
        <w:tab/>
      </w:r>
      <w:r>
        <w:fldChar w:fldCharType="begin"/>
      </w:r>
      <w:r>
        <w:instrText xml:space="preserve"> PAGEREF _Toc93583542 \h </w:instrText>
      </w:r>
      <w:r>
        <w:fldChar w:fldCharType="separate"/>
      </w:r>
      <w:r>
        <w:t>35</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"_Toc93583543" </w:instrText>
      </w:r>
      <w:r>
        <w:fldChar w:fldCharType="separate"/>
      </w:r>
      <w:r>
        <w:rPr>
          <w:rStyle w:val="46"/>
          <w:rFonts w:ascii="Times New Roman" w:eastAsia="宋体"/>
          <w:bCs/>
        </w:rPr>
        <w:t>4.3 SVG性能评价及分析</w:t>
      </w:r>
      <w:r>
        <w:tab/>
      </w:r>
      <w:r>
        <w:fldChar w:fldCharType="begin"/>
      </w:r>
      <w:r>
        <w:instrText xml:space="preserve"> PAGEREF _Toc93583543 \h </w:instrText>
      </w:r>
      <w:r>
        <w:fldChar w:fldCharType="separate"/>
      </w:r>
      <w:r>
        <w:t>36</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"_Toc93583544" </w:instrText>
      </w:r>
      <w:r>
        <w:fldChar w:fldCharType="separate"/>
      </w:r>
      <w:r>
        <w:rPr>
          <w:rStyle w:val="46"/>
          <w:rFonts w:ascii="Times New Roman" w:eastAsia="宋体"/>
          <w:b/>
          <w:bCs/>
        </w:rPr>
        <w:t>4.3.1月度跟踪评价</w:t>
      </w:r>
      <w:r>
        <w:tab/>
      </w:r>
      <w:r>
        <w:fldChar w:fldCharType="begin"/>
      </w:r>
      <w:r>
        <w:instrText xml:space="preserve"> PAGEREF _Toc93583544 \h </w:instrText>
      </w:r>
      <w:r>
        <w:fldChar w:fldCharType="separate"/>
      </w:r>
      <w:r>
        <w:t>36</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"_Toc93583545" </w:instrText>
      </w:r>
      <w:r>
        <w:fldChar w:fldCharType="separate"/>
      </w:r>
      <w:r>
        <w:rPr>
          <w:rStyle w:val="46"/>
          <w:rFonts w:ascii="Times New Roman" w:eastAsia="宋体"/>
          <w:b/>
          <w:bCs/>
        </w:rPr>
        <w:t>4.3.2典型日运行情况分析</w:t>
      </w:r>
      <w:r>
        <w:tab/>
      </w:r>
      <w:r>
        <w:fldChar w:fldCharType="begin"/>
      </w:r>
      <w:r>
        <w:instrText xml:space="preserve"> PAGEREF _Toc93583545 \h </w:instrText>
      </w:r>
      <w:r>
        <w:fldChar w:fldCharType="separate"/>
      </w:r>
      <w:r>
        <w:t>39</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"_Toc93583546" </w:instrText>
      </w:r>
      <w:r>
        <w:fldChar w:fldCharType="separate"/>
      </w:r>
      <w:r>
        <w:rPr>
          <w:rStyle w:val="46"/>
          <w:rFonts w:ascii="Times New Roman" w:eastAsia="宋体"/>
          <w:bCs/>
        </w:rPr>
        <w:t>4.4 小结</w:t>
      </w:r>
      <w:r>
        <w:tab/>
      </w:r>
      <w:r>
        <w:fldChar w:fldCharType="begin"/>
      </w:r>
      <w:r>
        <w:instrText xml:space="preserve"> PAGEREF _Toc93583546 \h </w:instrText>
      </w:r>
      <w:r>
        <w:fldChar w:fldCharType="separate"/>
      </w:r>
      <w:r>
        <w:t>41</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"_Toc93583547" </w:instrText>
      </w:r>
      <w:r>
        <w:fldChar w:fldCharType="separate"/>
      </w:r>
      <w:r>
        <w:rPr>
          <w:rStyle w:val="46"/>
          <w:rFonts w:asciiTheme="majorEastAsia" w:hAnsiTheme="majorEastAsia" w:eastAsiaTheme="majorEastAsia"/>
          <w:bCs/>
        </w:rPr>
        <w:t>五、功率预测性能评价及优化</w:t>
      </w:r>
      <w:r>
        <w:tab/>
      </w:r>
      <w:r>
        <w:fldChar w:fldCharType="begin"/>
      </w:r>
      <w:r>
        <w:instrText xml:space="preserve"> PAGEREF _Toc93583547 \h </w:instrText>
      </w:r>
      <w:r>
        <w:fldChar w:fldCharType="separate"/>
      </w:r>
      <w:r>
        <w:t>42</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"_Toc93583548" </w:instrText>
      </w:r>
      <w:r>
        <w:fldChar w:fldCharType="separate"/>
      </w:r>
      <w:r>
        <w:rPr>
          <w:rStyle w:val="46"/>
          <w:rFonts w:ascii="Times New Roman" w:eastAsia="宋体"/>
          <w:bCs/>
        </w:rPr>
        <w:t>5.1 风功率预测精度跟踪评价</w:t>
      </w:r>
      <w:r>
        <w:tab/>
      </w:r>
      <w:r>
        <w:fldChar w:fldCharType="begin"/>
      </w:r>
      <w:r>
        <w:instrText xml:space="preserve"> PAGEREF _Toc93583548 \h </w:instrText>
      </w:r>
      <w:r>
        <w:fldChar w:fldCharType="separate"/>
      </w:r>
      <w:r>
        <w:t>42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"_Toc93583549" </w:instrText>
      </w:r>
      <w:r>
        <w:fldChar w:fldCharType="separate"/>
      </w:r>
      <w:r>
        <w:rPr>
          <w:rStyle w:val="46"/>
        </w:rPr>
        <w:t>5.1.1功率预测月度跟踪评价</w:t>
      </w:r>
      <w:r>
        <w:tab/>
      </w:r>
      <w:r>
        <w:fldChar w:fldCharType="begin"/>
      </w:r>
      <w:r>
        <w:instrText xml:space="preserve"> PAGEREF _Toc93583549 \h </w:instrText>
      </w:r>
      <w:r>
        <w:fldChar w:fldCharType="separate"/>
      </w:r>
      <w:r>
        <w:t>42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"_Toc93583550" </w:instrText>
      </w:r>
      <w:r>
        <w:fldChar w:fldCharType="separate"/>
      </w:r>
      <w:r>
        <w:rPr>
          <w:rStyle w:val="46"/>
        </w:rPr>
        <w:t>5.1.2 典型日综合分析</w:t>
      </w:r>
      <w:r>
        <w:tab/>
      </w:r>
      <w:r>
        <w:fldChar w:fldCharType="begin"/>
      </w:r>
      <w:r>
        <w:instrText xml:space="preserve"> PAGEREF _Toc93583550 \h </w:instrText>
      </w:r>
      <w:r>
        <w:fldChar w:fldCharType="separate"/>
      </w:r>
      <w:r>
        <w:t>44</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"_Toc93583551" </w:instrText>
      </w:r>
      <w:r>
        <w:fldChar w:fldCharType="separate"/>
      </w:r>
      <w:r>
        <w:rPr>
          <w:rStyle w:val="46"/>
          <w:rFonts w:ascii="Times New Roman" w:eastAsia="宋体"/>
          <w:bCs/>
        </w:rPr>
        <w:t>5.2 风功率预测优化及对比分析</w:t>
      </w:r>
      <w:r>
        <w:tab/>
      </w:r>
      <w:r>
        <w:fldChar w:fldCharType="begin"/>
      </w:r>
      <w:r>
        <w:instrText xml:space="preserve"> PAGEREF _Toc93583551 \h </w:instrText>
      </w:r>
      <w:r>
        <w:fldChar w:fldCharType="separate"/>
      </w:r>
      <w:r>
        <w:t>45</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"_Toc93583552" </w:instrText>
      </w:r>
      <w:r>
        <w:fldChar w:fldCharType="separate"/>
      </w:r>
      <w:r>
        <w:rPr>
          <w:rStyle w:val="46"/>
        </w:rPr>
        <w:t>5.2.1预测精度提升方案</w:t>
      </w:r>
      <w:r>
        <w:tab/>
      </w:r>
      <w:r>
        <w:fldChar w:fldCharType="begin"/>
      </w:r>
      <w:r>
        <w:instrText xml:space="preserve"> PAGEREF _Toc93583552 \h </w:instrText>
      </w:r>
      <w:r>
        <w:fldChar w:fldCharType="separate"/>
      </w:r>
      <w:r>
        <w:t>45</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"_Toc93583553" </w:instrText>
      </w:r>
      <w:r>
        <w:fldChar w:fldCharType="separate"/>
      </w:r>
      <w:r>
        <w:rPr>
          <w:rStyle w:val="46"/>
        </w:rPr>
        <w:t>5.2.2优化前后月度功率预测考核电量</w:t>
      </w:r>
      <w:r>
        <w:tab/>
      </w:r>
      <w:r>
        <w:fldChar w:fldCharType="begin"/>
      </w:r>
      <w:r>
        <w:instrText xml:space="preserve"> PAGEREF _Toc93583553 \h </w:instrText>
      </w:r>
      <w:r>
        <w:fldChar w:fldCharType="separate"/>
      </w:r>
      <w:r>
        <w:t>46</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"_Toc93583554" </w:instrText>
      </w:r>
      <w:r>
        <w:fldChar w:fldCharType="separate"/>
      </w:r>
      <w:r>
        <w:rPr>
          <w:rStyle w:val="46"/>
        </w:rPr>
        <w:t>5.2.3优化前后日前功率预测准确率</w:t>
      </w:r>
      <w:r>
        <w:tab/>
      </w:r>
      <w:r>
        <w:fldChar w:fldCharType="begin"/>
      </w:r>
      <w:r>
        <w:instrText xml:space="preserve"> PAGEREF _Toc93583554 \h </w:instrText>
      </w:r>
      <w:r>
        <w:fldChar w:fldCharType="separate"/>
      </w:r>
      <w:r>
        <w:t>47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"_Toc93583555" </w:instrText>
      </w:r>
      <w:r>
        <w:fldChar w:fldCharType="separate"/>
      </w:r>
      <w:r>
        <w:rPr>
          <w:rStyle w:val="46"/>
          <w:rFonts w:ascii="Times New Roman" w:eastAsia="宋体"/>
          <w:bCs/>
        </w:rPr>
        <w:t>5.3 小结</w:t>
      </w:r>
      <w:r>
        <w:tab/>
      </w:r>
      <w:r>
        <w:fldChar w:fldCharType="begin"/>
      </w:r>
      <w:r>
        <w:instrText xml:space="preserve"> PAGEREF _Toc93583555 \h </w:instrText>
      </w:r>
      <w:r>
        <w:fldChar w:fldCharType="separate"/>
      </w:r>
      <w:r>
        <w:t>47</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"_Toc93583556" </w:instrText>
      </w:r>
      <w:r>
        <w:fldChar w:fldCharType="separate"/>
      </w:r>
      <w:r>
        <w:rPr>
          <w:rStyle w:val="46"/>
          <w:rFonts w:asciiTheme="majorEastAsia" w:hAnsiTheme="majorEastAsia" w:eastAsiaTheme="majorEastAsia"/>
          <w:bCs/>
        </w:rPr>
        <w:t>六、结论</w:t>
      </w:r>
      <w:r>
        <w:tab/>
      </w:r>
      <w:r>
        <w:fldChar w:fldCharType="begin"/>
      </w:r>
      <w:r>
        <w:instrText xml:space="preserve"> PAGEREF _Toc93583556 \h </w:instrText>
      </w:r>
      <w:r>
        <w:fldChar w:fldCharType="separate"/>
      </w:r>
      <w:r>
        <w:t>48</w:t>
      </w:r>
      <w:r>
        <w:fldChar w:fldCharType="end"/>
      </w:r>
      <w:r>
        <w:fldChar w:fldCharType="end"/>
      </w:r>
    </w:p>
    <w:p>
      <w:pPr>
        <w:pStyle w:val="30"/>
        <w:rPr>
          <w:rFonts w:asciiTheme="minorHAnsi" w:hAnsiTheme="minorHAnsi" w:eastAsiaTheme="minorEastAsia" w:cstheme="minorBidi"/>
          <w:b w:val="0"/>
          <w:sz w:val="21"/>
          <w:szCs w:val="22"/>
        </w:rPr>
      </w:pPr>
      <w:r>
        <w:fldChar w:fldCharType="begin"/>
      </w:r>
      <w:r>
        <w:instrText xml:space="preserve"> HYPERLINK \l "_Toc93583557" </w:instrText>
      </w:r>
      <w:r>
        <w:fldChar w:fldCharType="separate"/>
      </w:r>
      <w:r>
        <w:rPr>
          <w:rStyle w:val="46"/>
          <w:rFonts w:asciiTheme="majorEastAsia" w:hAnsiTheme="majorEastAsia" w:eastAsiaTheme="majorEastAsia"/>
          <w:bCs/>
        </w:rPr>
        <w:t>附件 风电机组单机运行特性分析</w:t>
      </w:r>
      <w:r>
        <w:tab/>
      </w:r>
      <w:r>
        <w:fldChar w:fldCharType="begin"/>
      </w:r>
      <w:r>
        <w:instrText xml:space="preserve"> PAGEREF _Toc93583557 \h </w:instrText>
      </w:r>
      <w:r>
        <w:fldChar w:fldCharType="separate"/>
      </w:r>
      <w:r>
        <w:t>50</w:t>
      </w:r>
      <w:r>
        <w:fldChar w:fldCharType="end"/>
      </w:r>
      <w:r>
        <w:fldChar w:fldCharType="end"/>
      </w:r>
    </w:p>
    <w:p>
      <w:pPr>
        <w:spacing w:line="360" w:lineRule="auto"/>
        <w:rPr>
          <w:rFonts w:cs="Times New Roman" w:asciiTheme="majorEastAsia" w:hAnsiTheme="majorEastAsia" w:eastAsiaTheme="majorEastAsia"/>
          <w:b/>
          <w:sz w:val="32"/>
        </w:rPr>
        <w:sectPr>
          <w:pgSz w:w="11906" w:h="16838"/>
          <w:pgMar w:top="1440" w:right="1800" w:bottom="1440" w:left="1800" w:header="851" w:footer="992" w:gutter="0"/>
          <w:cols w:space="425" w:num="1"/>
          <w:docGrid w:type="lines" w:linePitch="312" w:charSpace="0"/>
        </w:sectPr>
      </w:pPr>
      <w:r>
        <w:rPr>
          <w:rFonts w:hint="eastAsia" w:cs="Times New Roman" w:asciiTheme="majorEastAsia" w:hAnsiTheme="majorEastAsia" w:eastAsiaTheme="majorEastAsia"/>
          <w:sz w:val="24"/>
          <w:szCs w:val="24"/>
        </w:rPr>
        <w:fldChar w:fldCharType="end"/>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1" w:name="_Toc93583517"/>
      <w:r>
        <w:rPr>
          <w:rFonts w:hint="eastAsia" w:cs="Times New Roman" w:asciiTheme="majorEastAsia" w:hAnsiTheme="majorEastAsia" w:eastAsiaTheme="majorEastAsia"/>
          <w:b/>
          <w:bCs/>
          <w:sz w:val="32"/>
          <w:szCs w:val="32"/>
        </w:rPr>
        <w:t>一、概述</w:t>
      </w:r>
      <w:bookmarkEnd w:id="1"/>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依托新能源大数据精细化分析与创新服务平台，冀北电科院从风电场精益运维、增功提效、涉网性能分析优化三大方面开展数字化技术监督服务并形成</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风电场运行性能评估分析报告，提升风电场的精益化运维水平、设备的发电性能和风电场涉网性能，实现整场发电效益的提升。</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风电场接入大数据平台的风电机组装机容量为</w:t>
      </w:r>
      <w:r>
        <w:rPr>
          <w:rFonts w:hint="eastAsia" w:cs="Times New Roman" w:asciiTheme="majorEastAsia" w:hAnsiTheme="majorEastAsia" w:eastAsiaTheme="majorEastAsia"/>
          <w:sz w:val="28"/>
          <w:szCs w:val="28"/>
          <w:lang w:val="en-US" w:eastAsia="zh-CN"/>
        </w:rPr>
        <w:t>{{stationCapacity}}</w:t>
      </w:r>
      <w:r>
        <w:rPr>
          <w:rFonts w:hint="eastAsia" w:cs="Times New Roman" w:asciiTheme="majorEastAsia" w:hAnsiTheme="majorEastAsia" w:eastAsiaTheme="majorEastAsia"/>
          <w:sz w:val="28"/>
          <w:szCs w:val="28"/>
        </w:rPr>
        <w:t>MW，其中包括</w:t>
      </w:r>
      <w:r>
        <w:rPr>
          <w:rFonts w:hint="eastAsia" w:cs="Times New Roman" w:asciiTheme="majorEastAsia" w:hAnsiTheme="majorEastAsia" w:eastAsiaTheme="majorEastAsia"/>
          <w:sz w:val="28"/>
          <w:szCs w:val="28"/>
          <w:lang w:val="en-US" w:eastAsia="zh-CN"/>
        </w:rPr>
        <w:t>{{stationDeviceNum}}</w:t>
      </w:r>
      <w:r>
        <w:rPr>
          <w:rFonts w:hint="eastAsia" w:cs="Times New Roman" w:asciiTheme="majorEastAsia" w:hAnsiTheme="majorEastAsia" w:eastAsiaTheme="majorEastAsia"/>
          <w:sz w:val="28"/>
          <w:szCs w:val="28"/>
        </w:rPr>
        <w:t>台X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型号风电机组，单机容量为</w:t>
      </w:r>
      <w:r>
        <w:rPr>
          <w:rFonts w:hint="eastAsia" w:cs="Times New Roman" w:asciiTheme="majorEastAsia" w:hAnsiTheme="majorEastAsia" w:eastAsiaTheme="majorEastAsia"/>
          <w:sz w:val="28"/>
          <w:szCs w:val="28"/>
          <w:lang w:val="en-US" w:eastAsia="zh-CN"/>
        </w:rPr>
        <w:t>{{}}</w:t>
      </w:r>
      <w:r>
        <w:rPr>
          <w:rFonts w:cs="Times New Roman" w:asciiTheme="majorEastAsia" w:hAnsiTheme="majorEastAsia" w:eastAsiaTheme="majorEastAsia"/>
          <w:sz w:val="28"/>
          <w:szCs w:val="28"/>
        </w:rPr>
        <w:t>MW</w:t>
      </w:r>
      <w:r>
        <w:rPr>
          <w:rFonts w:hint="eastAsia" w:cs="Times New Roman" w:asciiTheme="majorEastAsia" w:hAnsiTheme="majorEastAsia" w:eastAsiaTheme="majorEastAsia"/>
          <w:sz w:val="28"/>
          <w:szCs w:val="28"/>
        </w:rPr>
        <w:t>，及</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台X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型号风电机组，单机容量为</w:t>
      </w:r>
      <w:r>
        <w:rPr>
          <w:rFonts w:cs="Times New Roman" w:asciiTheme="majorEastAsia" w:hAnsiTheme="majorEastAsia" w:eastAsiaTheme="majorEastAsia"/>
          <w:sz w:val="28"/>
          <w:szCs w:val="28"/>
        </w:rPr>
        <w:t>XXMW</w:t>
      </w:r>
      <w:r>
        <w:rPr>
          <w:rFonts w:hint="eastAsia" w:cs="Times New Roman" w:asciiTheme="majorEastAsia" w:hAnsiTheme="majorEastAsia" w:eastAsiaTheme="majorEastAsia"/>
          <w:sz w:val="28"/>
          <w:szCs w:val="28"/>
        </w:rPr>
        <w:t>。报告评估的时间周期为</w:t>
      </w:r>
      <w:r>
        <w:rPr>
          <w:rFonts w:cs="Times New Roman" w:asciiTheme="majorEastAsia" w:hAnsiTheme="majorEastAsia" w:eastAsiaTheme="majorEastAsia"/>
          <w:sz w:val="28"/>
          <w:szCs w:val="28"/>
        </w:rPr>
        <w:t>XXXX</w:t>
      </w:r>
      <w:r>
        <w:rPr>
          <w:rFonts w:hint="eastAsia" w:cs="Times New Roman" w:asciiTheme="majorEastAsia" w:hAnsiTheme="majorEastAsia" w:eastAsiaTheme="majorEastAsia"/>
          <w:sz w:val="28"/>
          <w:szCs w:val="28"/>
        </w:rPr>
        <w:t>年</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月</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日—</w:t>
      </w:r>
      <w:r>
        <w:rPr>
          <w:rFonts w:cs="Times New Roman" w:asciiTheme="majorEastAsia" w:hAnsiTheme="majorEastAsia" w:eastAsiaTheme="majorEastAsia"/>
          <w:sz w:val="28"/>
          <w:szCs w:val="28"/>
        </w:rPr>
        <w:t>XXXX</w:t>
      </w:r>
      <w:r>
        <w:rPr>
          <w:rFonts w:hint="eastAsia" w:cs="Times New Roman" w:asciiTheme="majorEastAsia" w:hAnsiTheme="majorEastAsia" w:eastAsiaTheme="majorEastAsia"/>
          <w:sz w:val="28"/>
          <w:szCs w:val="28"/>
        </w:rPr>
        <w:t>年</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月</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日。</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2" w:name="_Toc93583518"/>
      <w:r>
        <w:rPr>
          <w:rFonts w:hint="eastAsia" w:cs="Times New Roman" w:asciiTheme="majorEastAsia" w:hAnsiTheme="majorEastAsia" w:eastAsiaTheme="majorEastAsia"/>
          <w:b/>
          <w:bCs/>
          <w:sz w:val="32"/>
          <w:szCs w:val="32"/>
        </w:rPr>
        <w:t>二、风电场运行情况分析</w:t>
      </w:r>
      <w:bookmarkEnd w:id="2"/>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 w:name="_Toc93583519"/>
      <w:r>
        <w:rPr>
          <w:rFonts w:ascii="Times New Roman" w:hAnsi="Times New Roman" w:eastAsia="宋体" w:cs="Times New Roman"/>
          <w:b/>
          <w:bCs/>
          <w:sz w:val="32"/>
          <w:szCs w:val="32"/>
        </w:rPr>
        <w:t xml:space="preserve">2.1 </w:t>
      </w:r>
      <w:r>
        <w:rPr>
          <w:rFonts w:hint="eastAsia" w:ascii="Times New Roman" w:hAnsi="Times New Roman" w:eastAsia="宋体" w:cs="Times New Roman"/>
          <w:b/>
          <w:bCs/>
          <w:sz w:val="32"/>
          <w:szCs w:val="32"/>
        </w:rPr>
        <w:t>发电量分析</w:t>
      </w:r>
      <w:bookmarkEnd w:id="3"/>
    </w:p>
    <w:p>
      <w:pPr>
        <w:pStyle w:val="4"/>
        <w:numPr>
          <w:ilvl w:val="0"/>
          <w:numId w:val="0"/>
        </w:numPr>
        <w:ind w:left="720" w:hanging="720"/>
      </w:pPr>
      <w:bookmarkStart w:id="4" w:name="_Toc93583520"/>
      <w:r>
        <w:t>2.</w:t>
      </w:r>
      <w:r>
        <w:rPr>
          <w:rFonts w:hint="eastAsia"/>
        </w:rPr>
        <w:t>1</w:t>
      </w:r>
      <w:r>
        <w:t>.1</w:t>
      </w:r>
      <w:r>
        <w:rPr>
          <w:rFonts w:hint="eastAsia"/>
        </w:rPr>
        <w:t>月度电量分析</w:t>
      </w:r>
      <w:bookmarkEnd w:id="4"/>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截至本季度末，X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风电场年度等效利用小时数为XX小时，在冀北地区的风电场中排名XXX，在XX市的风电场中排名XXX；本季度的总发电量为X</w:t>
      </w:r>
      <w:r>
        <w:rPr>
          <w:rFonts w:cs="Times New Roman" w:asciiTheme="majorEastAsia" w:hAnsiTheme="majorEastAsia" w:eastAsiaTheme="majorEastAsia"/>
          <w:sz w:val="28"/>
          <w:szCs w:val="28"/>
        </w:rPr>
        <w:t>XXMW</w:t>
      </w:r>
      <w:r>
        <w:rPr>
          <w:rFonts w:hint="eastAsia" w:cs="Times New Roman" w:asciiTheme="majorEastAsia" w:hAnsiTheme="majorEastAsia" w:eastAsiaTheme="majorEastAsia"/>
          <w:sz w:val="28"/>
          <w:szCs w:val="28"/>
        </w:rPr>
        <w:t>h。</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风电场月度发电量及风资源状况分析结果如下图所示。</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{{@img</w:t>
      </w:r>
      <w:bookmarkStart w:id="48" w:name="_GoBack"/>
      <w:bookmarkEnd w:id="48"/>
      <w:r>
        <w:rPr>
          <w:rFonts w:hint="eastAsia" w:cs="Times New Roman" w:asciiTheme="majorEastAsia" w:hAnsiTheme="majorEastAsia" w:eastAsiaTheme="majorEastAsia"/>
          <w:sz w:val="28"/>
          <w:szCs w:val="28"/>
          <w:lang w:val="en-US" w:eastAsia="zh-CN"/>
        </w:rPr>
        <w:t>}}</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2-1 </w:t>
      </w:r>
      <w:r>
        <w:rPr>
          <w:rFonts w:hint="eastAsia" w:cs="Times New Roman" w:asciiTheme="majorEastAsia" w:hAnsiTheme="majorEastAsia" w:eastAsiaTheme="majorEastAsia"/>
          <w:sz w:val="24"/>
          <w:szCs w:val="24"/>
        </w:rPr>
        <w:t>XXX风电场发电量月度分析（改图）</w:t>
      </w:r>
    </w:p>
    <w:p>
      <w:pPr>
        <w:spacing w:line="360" w:lineRule="auto"/>
        <w:ind w:firstLine="560" w:firstLineChars="200"/>
        <w:rPr>
          <w:szCs w:val="21"/>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风电机组发电量前十位及后十位排名如下图所示。其中</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机组发电量为最优，发电量为XXMWh；</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机组发电量为最差,发电量为XXMWh，发电量最大偏差为XXMWh。</w:t>
      </w:r>
    </w:p>
    <w:p>
      <w:pPr>
        <w:spacing w:line="360" w:lineRule="auto"/>
        <w:rPr>
          <w:rFonts w:cs="Times New Roman" w:asciiTheme="majorEastAsia" w:hAnsiTheme="majorEastAsia" w:eastAsiaTheme="majorEastAsia"/>
          <w:sz w:val="28"/>
          <w:szCs w:val="28"/>
        </w:rPr>
      </w:pPr>
      <w:r>
        <w:drawing>
          <wp:inline distT="0" distB="0" distL="114300" distR="114300">
            <wp:extent cx="5272405" cy="1752600"/>
            <wp:effectExtent l="0" t="0" r="4445" b="0"/>
            <wp:docPr id="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
                    <pic:cNvPicPr>
                      <a:picLocks noChangeAspect="1"/>
                    </pic:cNvPicPr>
                  </pic:nvPicPr>
                  <pic:blipFill>
                    <a:blip r:embed="rId6"/>
                    <a:stretch>
                      <a:fillRect/>
                    </a:stretch>
                  </pic:blipFill>
                  <pic:spPr>
                    <a:xfrm>
                      <a:off x="0" y="0"/>
                      <a:ext cx="5272405" cy="1752600"/>
                    </a:xfrm>
                    <a:prstGeom prst="rect">
                      <a:avLst/>
                    </a:prstGeom>
                    <a:noFill/>
                    <a:ln>
                      <a:noFill/>
                    </a:ln>
                  </pic:spPr>
                </pic:pic>
              </a:graphicData>
            </a:graphic>
          </wp:inline>
        </w:drawing>
      </w:r>
    </w:p>
    <w:p>
      <w:pPr>
        <w:spacing w:line="360" w:lineRule="auto"/>
        <w:ind w:firstLine="480" w:firstLineChars="200"/>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2-16 </w:t>
      </w:r>
      <w:r>
        <w:rPr>
          <w:rFonts w:hint="eastAsia" w:cs="Times New Roman" w:asciiTheme="majorEastAsia" w:hAnsiTheme="majorEastAsia" w:eastAsiaTheme="majorEastAsia"/>
          <w:sz w:val="24"/>
          <w:szCs w:val="24"/>
        </w:rPr>
        <w:t>发电量前十名机组统计</w:t>
      </w:r>
    </w:p>
    <w:p>
      <w:pPr>
        <w:spacing w:line="360" w:lineRule="auto"/>
        <w:rPr>
          <w:rFonts w:cs="Times New Roman" w:asciiTheme="majorEastAsia" w:hAnsiTheme="majorEastAsia" w:eastAsiaTheme="majorEastAsia"/>
          <w:sz w:val="28"/>
          <w:szCs w:val="28"/>
        </w:rPr>
      </w:pPr>
      <w:r>
        <w:drawing>
          <wp:inline distT="0" distB="0" distL="114300" distR="114300">
            <wp:extent cx="5272405" cy="1750060"/>
            <wp:effectExtent l="0" t="0" r="4445" b="2540"/>
            <wp:docPr id="6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
                    <pic:cNvPicPr>
                      <a:picLocks noChangeAspect="1"/>
                    </pic:cNvPicPr>
                  </pic:nvPicPr>
                  <pic:blipFill>
                    <a:blip r:embed="rId7"/>
                    <a:stretch>
                      <a:fillRect/>
                    </a:stretch>
                  </pic:blipFill>
                  <pic:spPr>
                    <a:xfrm>
                      <a:off x="0" y="0"/>
                      <a:ext cx="5272405" cy="1750060"/>
                    </a:xfrm>
                    <a:prstGeom prst="rect">
                      <a:avLst/>
                    </a:prstGeom>
                    <a:noFill/>
                    <a:ln>
                      <a:noFill/>
                    </a:ln>
                  </pic:spPr>
                </pic:pic>
              </a:graphicData>
            </a:graphic>
          </wp:inline>
        </w:drawing>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发电量后十名机组统计</w:t>
      </w:r>
    </w:p>
    <w:p>
      <w:pPr>
        <w:pStyle w:val="4"/>
        <w:numPr>
          <w:ilvl w:val="0"/>
          <w:numId w:val="0"/>
        </w:numPr>
        <w:ind w:left="720" w:hanging="720"/>
      </w:pPr>
      <w:bookmarkStart w:id="5" w:name="_Toc93583521"/>
      <w:r>
        <w:t>2.</w:t>
      </w:r>
      <w:r>
        <w:rPr>
          <w:rFonts w:hint="eastAsia"/>
        </w:rPr>
        <w:t>1</w:t>
      </w:r>
      <w:r>
        <w:t>.2</w:t>
      </w:r>
      <w:r>
        <w:rPr>
          <w:rFonts w:hint="eastAsia"/>
        </w:rPr>
        <w:t>机组发电量排名</w:t>
      </w:r>
      <w:bookmarkEnd w:id="5"/>
    </w:p>
    <w:p>
      <w:pPr>
        <w:spacing w:line="360" w:lineRule="auto"/>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 xml:space="preserve">    </w:t>
      </w: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型各机组发电量及风资源情况统计详情见下表，按照发电量正序排名。</w: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1 </w:t>
      </w:r>
      <w:r>
        <w:rPr>
          <w:rFonts w:hint="eastAsia" w:cs="Times New Roman" w:asciiTheme="majorEastAsia" w:hAnsiTheme="majorEastAsia" w:eastAsiaTheme="majorEastAsia"/>
          <w:sz w:val="24"/>
          <w:szCs w:val="24"/>
        </w:rPr>
        <w:t>各台机组发电量情况统计（正序）</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2"/>
        <w:gridCol w:w="1889"/>
        <w:gridCol w:w="1621"/>
        <w:gridCol w:w="1621"/>
        <w:gridCol w:w="1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atLeast"/>
        </w:trPr>
        <w:tc>
          <w:tcPr>
            <w:tcW w:w="162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188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发电量（MWh）</w:t>
            </w:r>
          </w:p>
        </w:tc>
        <w:tc>
          <w:tcPr>
            <w:tcW w:w="162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最大风速</w:t>
            </w:r>
          </w:p>
        </w:tc>
        <w:tc>
          <w:tcPr>
            <w:tcW w:w="162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平均风速</w:t>
            </w:r>
          </w:p>
        </w:tc>
        <w:tc>
          <w:tcPr>
            <w:tcW w:w="1543"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发电量排名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889"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62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43" w:type="dxa"/>
          </w:tcPr>
          <w:p>
            <w:pPr>
              <w:spacing w:line="360" w:lineRule="auto"/>
              <w:jc w:val="center"/>
              <w:rPr>
                <w:rFonts w:cs="Times New Roman" w:asciiTheme="majorEastAsia" w:hAnsiTheme="majorEastAsia" w:eastAsiaTheme="majorEastAsia"/>
                <w:sz w:val="24"/>
                <w:szCs w:val="24"/>
              </w:rPr>
            </w:pPr>
          </w:p>
        </w:tc>
      </w:tr>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6" w:name="_Toc93583522"/>
      <w:r>
        <w:rPr>
          <w:rFonts w:ascii="Times New Roman" w:hAnsi="Times New Roman" w:eastAsia="宋体" w:cs="Times New Roman"/>
          <w:b/>
          <w:bCs/>
          <w:sz w:val="32"/>
          <w:szCs w:val="32"/>
        </w:rPr>
        <w:t xml:space="preserve">2.2 </w:t>
      </w:r>
      <w:r>
        <w:rPr>
          <w:rFonts w:hint="eastAsia" w:ascii="Times New Roman" w:hAnsi="Times New Roman" w:eastAsia="宋体" w:cs="Times New Roman"/>
          <w:b/>
          <w:bCs/>
          <w:sz w:val="32"/>
          <w:szCs w:val="32"/>
        </w:rPr>
        <w:t>运行小时数分析</w:t>
      </w:r>
      <w:bookmarkEnd w:id="6"/>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风电场运行小时数分析结果如下图所示，其中正常发电小时数占比为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%，站内陪停时间占比</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%，电网限功率运行小时数占比为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%，机组故障停机小时数占比为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%，待机时长占比为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%，机组例行维护时长为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%，其他时间占比共计</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w:t>
      </w:r>
    </w:p>
    <w:p>
      <w:pPr>
        <w:spacing w:line="360" w:lineRule="auto"/>
        <w:jc w:val="center"/>
        <w:rPr>
          <w:rFonts w:cs="Times New Roman" w:asciiTheme="majorEastAsia" w:hAnsiTheme="majorEastAsia" w:eastAsiaTheme="majorEastAsia"/>
          <w:sz w:val="28"/>
          <w:szCs w:val="28"/>
        </w:rPr>
      </w:pPr>
      <w:r>
        <w:drawing>
          <wp:inline distT="0" distB="0" distL="114300" distR="114300">
            <wp:extent cx="4953000" cy="3114675"/>
            <wp:effectExtent l="0" t="0" r="0" b="9525"/>
            <wp:docPr id="1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5"/>
                    <pic:cNvPicPr>
                      <a:picLocks noChangeAspect="1"/>
                    </pic:cNvPicPr>
                  </pic:nvPicPr>
                  <pic:blipFill>
                    <a:blip r:embed="rId8"/>
                    <a:stretch>
                      <a:fillRect/>
                    </a:stretch>
                  </pic:blipFill>
                  <pic:spPr>
                    <a:xfrm>
                      <a:off x="0" y="0"/>
                      <a:ext cx="4953000" cy="3114675"/>
                    </a:xfrm>
                    <a:prstGeom prst="rect">
                      <a:avLst/>
                    </a:prstGeom>
                    <a:noFill/>
                    <a:ln>
                      <a:noFill/>
                    </a:ln>
                  </pic:spPr>
                </pic:pic>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2-3 </w:t>
      </w:r>
      <w:r>
        <w:rPr>
          <w:rFonts w:hint="eastAsia" w:cs="Times New Roman" w:asciiTheme="majorEastAsia" w:hAnsiTheme="majorEastAsia" w:eastAsiaTheme="majorEastAsia"/>
          <w:sz w:val="24"/>
          <w:szCs w:val="24"/>
        </w:rPr>
        <w:t>X</w:t>
      </w:r>
      <w:r>
        <w:rPr>
          <w:rFonts w:cs="Times New Roman" w:asciiTheme="majorEastAsia" w:hAnsiTheme="majorEastAsia" w:eastAsiaTheme="majorEastAsia"/>
          <w:sz w:val="24"/>
          <w:szCs w:val="24"/>
        </w:rPr>
        <w:t>XX</w:t>
      </w:r>
      <w:r>
        <w:rPr>
          <w:rFonts w:hint="eastAsia" w:cs="Times New Roman" w:asciiTheme="majorEastAsia" w:hAnsiTheme="majorEastAsia" w:eastAsiaTheme="majorEastAsia"/>
          <w:sz w:val="24"/>
          <w:szCs w:val="24"/>
        </w:rPr>
        <w:t>风电场运行小时数分析</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风电场本季度各月损失运行时间、并网发电时间、待机时间的统计如下图所示。</w:t>
      </w:r>
    </w:p>
    <w:p>
      <w:pPr>
        <w:spacing w:line="360" w:lineRule="auto"/>
        <w:jc w:val="center"/>
        <w:rPr>
          <w:rFonts w:cs="Times New Roman" w:asciiTheme="majorEastAsia" w:hAnsiTheme="majorEastAsia" w:eastAsiaTheme="majorEastAsia"/>
          <w:sz w:val="28"/>
          <w:szCs w:val="28"/>
        </w:rPr>
      </w:pPr>
      <w:r>
        <w:drawing>
          <wp:inline distT="0" distB="0" distL="114300" distR="114300">
            <wp:extent cx="5270500" cy="1682115"/>
            <wp:effectExtent l="0" t="0" r="6350" b="13335"/>
            <wp:docPr id="1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6"/>
                    <pic:cNvPicPr>
                      <a:picLocks noChangeAspect="1"/>
                    </pic:cNvPicPr>
                  </pic:nvPicPr>
                  <pic:blipFill>
                    <a:blip r:embed="rId9"/>
                    <a:stretch>
                      <a:fillRect/>
                    </a:stretch>
                  </pic:blipFill>
                  <pic:spPr>
                    <a:xfrm>
                      <a:off x="0" y="0"/>
                      <a:ext cx="5270500" cy="1682115"/>
                    </a:xfrm>
                    <a:prstGeom prst="rect">
                      <a:avLst/>
                    </a:prstGeom>
                    <a:noFill/>
                    <a:ln>
                      <a:noFill/>
                    </a:ln>
                  </pic:spPr>
                </pic:pic>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2-4 </w:t>
      </w:r>
      <w:r>
        <w:rPr>
          <w:rFonts w:hint="eastAsia" w:cs="Times New Roman" w:asciiTheme="majorEastAsia" w:hAnsiTheme="majorEastAsia" w:eastAsiaTheme="majorEastAsia"/>
          <w:sz w:val="24"/>
          <w:szCs w:val="24"/>
        </w:rPr>
        <w:t>XXX风电场运行小时数月度分析</w:t>
      </w:r>
    </w:p>
    <w:p>
      <w:pPr>
        <w:spacing w:line="360" w:lineRule="auto"/>
        <w:jc w:val="left"/>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XXX风电场各风电机组的运行小时数如下表所示。</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各台机组运行小时数分析</w:t>
      </w:r>
    </w:p>
    <w:tbl>
      <w:tblPr>
        <w:tblStyle w:val="38"/>
        <w:tblW w:w="0" w:type="auto"/>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1"/>
        <w:gridCol w:w="657"/>
        <w:gridCol w:w="1039"/>
        <w:gridCol w:w="972"/>
        <w:gridCol w:w="1055"/>
        <w:gridCol w:w="950"/>
        <w:gridCol w:w="831"/>
        <w:gridCol w:w="831"/>
        <w:gridCol w:w="982"/>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trPr>
        <w:tc>
          <w:tcPr>
            <w:tcW w:w="76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序号</w:t>
            </w:r>
          </w:p>
        </w:tc>
        <w:tc>
          <w:tcPr>
            <w:tcW w:w="657"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103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站内陪停(</w:t>
            </w:r>
            <w:r>
              <w:rPr>
                <w:rFonts w:cs="Times New Roman" w:asciiTheme="majorEastAsia" w:hAnsiTheme="majorEastAsia" w:eastAsiaTheme="majorEastAsia"/>
                <w:sz w:val="24"/>
                <w:szCs w:val="24"/>
              </w:rPr>
              <w:t>h)</w:t>
            </w:r>
          </w:p>
        </w:tc>
        <w:tc>
          <w:tcPr>
            <w:tcW w:w="97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站外陪停(</w:t>
            </w:r>
            <w:r>
              <w:rPr>
                <w:rFonts w:cs="Times New Roman" w:asciiTheme="majorEastAsia" w:hAnsiTheme="majorEastAsia" w:eastAsiaTheme="majorEastAsia"/>
                <w:sz w:val="24"/>
                <w:szCs w:val="24"/>
              </w:rPr>
              <w:t>h)</w:t>
            </w:r>
          </w:p>
        </w:tc>
        <w:tc>
          <w:tcPr>
            <w:tcW w:w="105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机组故障停机(</w:t>
            </w:r>
            <w:r>
              <w:rPr>
                <w:rFonts w:cs="Times New Roman" w:asciiTheme="majorEastAsia" w:hAnsiTheme="majorEastAsia" w:eastAsiaTheme="majorEastAsia"/>
                <w:sz w:val="24"/>
                <w:szCs w:val="24"/>
              </w:rPr>
              <w:t>h)</w:t>
            </w:r>
          </w:p>
        </w:tc>
        <w:tc>
          <w:tcPr>
            <w:tcW w:w="950"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机组例行维护(</w:t>
            </w:r>
            <w:r>
              <w:rPr>
                <w:rFonts w:cs="Times New Roman" w:asciiTheme="majorEastAsia" w:hAnsiTheme="majorEastAsia" w:eastAsiaTheme="majorEastAsia"/>
                <w:sz w:val="24"/>
                <w:szCs w:val="24"/>
              </w:rPr>
              <w:t>h)</w:t>
            </w:r>
          </w:p>
        </w:tc>
        <w:tc>
          <w:tcPr>
            <w:tcW w:w="83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其他（h）</w:t>
            </w:r>
          </w:p>
        </w:tc>
        <w:tc>
          <w:tcPr>
            <w:tcW w:w="83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正常发电(</w:t>
            </w:r>
            <w:r>
              <w:rPr>
                <w:rFonts w:cs="Times New Roman" w:asciiTheme="majorEastAsia" w:hAnsiTheme="majorEastAsia" w:eastAsiaTheme="majorEastAsia"/>
                <w:sz w:val="24"/>
                <w:szCs w:val="24"/>
              </w:rPr>
              <w:t>h)</w:t>
            </w:r>
          </w:p>
        </w:tc>
        <w:tc>
          <w:tcPr>
            <w:tcW w:w="98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电网限功率运行(</w:t>
            </w:r>
            <w:r>
              <w:rPr>
                <w:rFonts w:cs="Times New Roman" w:asciiTheme="majorEastAsia" w:hAnsiTheme="majorEastAsia" w:eastAsiaTheme="majorEastAsia"/>
                <w:sz w:val="24"/>
                <w:szCs w:val="24"/>
              </w:rPr>
              <w:t>h)</w:t>
            </w:r>
          </w:p>
        </w:tc>
        <w:tc>
          <w:tcPr>
            <w:tcW w:w="8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待机时间(</w:t>
            </w:r>
            <w:r>
              <w:rPr>
                <w:rFonts w:cs="Times New Roman" w:asciiTheme="majorEastAsia" w:hAnsiTheme="majorEastAsia" w:eastAsiaTheme="majorEastAsia"/>
                <w:sz w:val="24"/>
                <w:szCs w:val="24"/>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4</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5</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6</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7</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8</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9</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10</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11</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12</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13</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14</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15</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16</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17</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18</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19</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20</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21</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22</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23</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24</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25</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26</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27</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28</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29</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30</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31</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32</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33</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34</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35</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36</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37</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38</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Align w:val="center"/>
          </w:tcPr>
          <w:p>
            <w:pPr>
              <w:widowControl/>
              <w:spacing w:line="360" w:lineRule="auto"/>
              <w:jc w:val="center"/>
              <w:textAlignment w:val="center"/>
              <w:rPr>
                <w:rFonts w:cs="Times New Roman" w:asciiTheme="majorEastAsia" w:hAnsiTheme="majorEastAsia" w:eastAsiaTheme="majorEastAsia"/>
                <w:sz w:val="24"/>
                <w:szCs w:val="24"/>
              </w:rPr>
            </w:pPr>
            <w:r>
              <w:rPr>
                <w:rFonts w:hint="eastAsia" w:cs="微软雅黑" w:asciiTheme="majorEastAsia" w:hAnsiTheme="majorEastAsia" w:eastAsiaTheme="majorEastAsia"/>
                <w:color w:val="575962"/>
                <w:kern w:val="0"/>
                <w:sz w:val="24"/>
                <w:szCs w:val="24"/>
                <w:lang w:bidi="ar"/>
              </w:rPr>
              <w:t>39</w:t>
            </w:r>
          </w:p>
        </w:tc>
        <w:tc>
          <w:tcPr>
            <w:tcW w:w="657" w:type="dxa"/>
            <w:vAlign w:val="bottom"/>
          </w:tcPr>
          <w:p>
            <w:pPr>
              <w:widowControl/>
              <w:jc w:val="center"/>
              <w:textAlignment w:val="bottom"/>
              <w:rPr>
                <w:rFonts w:cs="Times New Roman" w:asciiTheme="majorEastAsia" w:hAnsiTheme="majorEastAsia" w:eastAsiaTheme="majorEastAsia"/>
                <w:sz w:val="24"/>
                <w:szCs w:val="24"/>
              </w:rPr>
            </w:pPr>
          </w:p>
        </w:tc>
        <w:tc>
          <w:tcPr>
            <w:tcW w:w="1039" w:type="dxa"/>
            <w:vAlign w:val="bottom"/>
          </w:tcPr>
          <w:p>
            <w:pPr>
              <w:widowControl/>
              <w:jc w:val="center"/>
              <w:textAlignment w:val="bottom"/>
              <w:rPr>
                <w:rFonts w:cs="Times New Roman" w:asciiTheme="majorEastAsia" w:hAnsiTheme="majorEastAsia" w:eastAsiaTheme="majorEastAsia"/>
                <w:sz w:val="24"/>
                <w:szCs w:val="24"/>
              </w:rPr>
            </w:pPr>
          </w:p>
        </w:tc>
        <w:tc>
          <w:tcPr>
            <w:tcW w:w="972" w:type="dxa"/>
            <w:vAlign w:val="bottom"/>
          </w:tcPr>
          <w:p>
            <w:pPr>
              <w:widowControl/>
              <w:jc w:val="center"/>
              <w:textAlignment w:val="bottom"/>
              <w:rPr>
                <w:rFonts w:cs="Times New Roman" w:asciiTheme="majorEastAsia" w:hAnsiTheme="majorEastAsia" w:eastAsiaTheme="majorEastAsia"/>
                <w:sz w:val="24"/>
                <w:szCs w:val="24"/>
              </w:rPr>
            </w:pPr>
          </w:p>
        </w:tc>
        <w:tc>
          <w:tcPr>
            <w:tcW w:w="1055" w:type="dxa"/>
            <w:vAlign w:val="bottom"/>
          </w:tcPr>
          <w:p>
            <w:pPr>
              <w:widowControl/>
              <w:jc w:val="center"/>
              <w:textAlignment w:val="bottom"/>
              <w:rPr>
                <w:rFonts w:cs="Times New Roman" w:asciiTheme="majorEastAsia" w:hAnsiTheme="majorEastAsia" w:eastAsiaTheme="majorEastAsia"/>
                <w:sz w:val="24"/>
                <w:szCs w:val="24"/>
              </w:rPr>
            </w:pPr>
          </w:p>
        </w:tc>
        <w:tc>
          <w:tcPr>
            <w:tcW w:w="950" w:type="dxa"/>
            <w:vAlign w:val="bottom"/>
          </w:tcPr>
          <w:p>
            <w:pPr>
              <w:widowControl/>
              <w:jc w:val="center"/>
              <w:textAlignment w:val="bottom"/>
              <w:rPr>
                <w:rFonts w:cs="Times New Roman" w:asciiTheme="majorEastAsia" w:hAnsiTheme="majorEastAsia" w:eastAsiaTheme="majorEastAsia"/>
                <w:sz w:val="24"/>
                <w:szCs w:val="24"/>
              </w:rPr>
            </w:pPr>
          </w:p>
        </w:tc>
        <w:tc>
          <w:tcPr>
            <w:tcW w:w="831" w:type="dxa"/>
            <w:vAlign w:val="bottom"/>
          </w:tcPr>
          <w:p>
            <w:pPr>
              <w:widowControl/>
              <w:jc w:val="center"/>
              <w:textAlignment w:val="bottom"/>
              <w:rPr>
                <w:rFonts w:cs="Calibri" w:asciiTheme="majorEastAsia" w:hAnsiTheme="majorEastAsia" w:eastAsiaTheme="majorEastAsia"/>
                <w:color w:val="000000"/>
                <w:kern w:val="0"/>
                <w:sz w:val="24"/>
                <w:szCs w:val="24"/>
                <w:lang w:bidi="ar"/>
              </w:rPr>
            </w:pPr>
          </w:p>
        </w:tc>
        <w:tc>
          <w:tcPr>
            <w:tcW w:w="831" w:type="dxa"/>
            <w:vAlign w:val="bottom"/>
          </w:tcPr>
          <w:p>
            <w:pPr>
              <w:widowControl/>
              <w:jc w:val="center"/>
              <w:textAlignment w:val="bottom"/>
              <w:rPr>
                <w:rFonts w:cs="Times New Roman" w:asciiTheme="majorEastAsia" w:hAnsiTheme="majorEastAsia" w:eastAsiaTheme="majorEastAsia"/>
                <w:sz w:val="24"/>
                <w:szCs w:val="24"/>
              </w:rPr>
            </w:pPr>
          </w:p>
        </w:tc>
        <w:tc>
          <w:tcPr>
            <w:tcW w:w="982" w:type="dxa"/>
            <w:vAlign w:val="bottom"/>
          </w:tcPr>
          <w:p>
            <w:pPr>
              <w:widowControl/>
              <w:jc w:val="center"/>
              <w:textAlignment w:val="bottom"/>
              <w:rPr>
                <w:rFonts w:cs="Times New Roman" w:asciiTheme="majorEastAsia" w:hAnsiTheme="majorEastAsia" w:eastAsiaTheme="majorEastAsia"/>
                <w:sz w:val="24"/>
                <w:szCs w:val="24"/>
              </w:rPr>
            </w:pPr>
          </w:p>
        </w:tc>
        <w:tc>
          <w:tcPr>
            <w:tcW w:w="871" w:type="dxa"/>
            <w:vAlign w:val="bottom"/>
          </w:tcPr>
          <w:p>
            <w:pPr>
              <w:widowControl/>
              <w:jc w:val="center"/>
              <w:textAlignment w:val="bottom"/>
              <w:rPr>
                <w:rFonts w:cs="Times New Roman" w:asciiTheme="majorEastAsia" w:hAnsiTheme="majorEastAsia" w:eastAsiaTheme="majorEastAsia"/>
                <w:sz w:val="24"/>
                <w:szCs w:val="24"/>
              </w:rPr>
            </w:pPr>
          </w:p>
        </w:tc>
      </w:tr>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7" w:name="_Toc93583523"/>
      <w:r>
        <w:rPr>
          <w:rFonts w:ascii="Times New Roman" w:hAnsi="Times New Roman" w:eastAsia="宋体" w:cs="Times New Roman"/>
          <w:b/>
          <w:bCs/>
          <w:sz w:val="32"/>
          <w:szCs w:val="32"/>
        </w:rPr>
        <w:t xml:space="preserve">2.3 </w:t>
      </w:r>
      <w:r>
        <w:rPr>
          <w:rFonts w:hint="eastAsia" w:ascii="Times New Roman" w:hAnsi="Times New Roman" w:eastAsia="宋体" w:cs="Times New Roman"/>
          <w:b/>
          <w:bCs/>
          <w:sz w:val="32"/>
          <w:szCs w:val="32"/>
        </w:rPr>
        <w:t>故障分析</w:t>
      </w:r>
      <w:bookmarkEnd w:id="7"/>
    </w:p>
    <w:p>
      <w:pPr>
        <w:pStyle w:val="4"/>
        <w:numPr>
          <w:ilvl w:val="0"/>
          <w:numId w:val="0"/>
        </w:numPr>
        <w:ind w:left="720" w:hanging="720"/>
      </w:pPr>
      <w:bookmarkStart w:id="8" w:name="_Toc93583524"/>
      <w:r>
        <w:t>2.3.1</w:t>
      </w:r>
      <w:r>
        <w:rPr>
          <w:rFonts w:hint="eastAsia"/>
        </w:rPr>
        <w:t>故障情况统计</w:t>
      </w:r>
      <w:bookmarkEnd w:id="8"/>
    </w:p>
    <w:p>
      <w:pPr>
        <w:spacing w:line="360" w:lineRule="auto"/>
        <w:ind w:firstLine="560" w:firstLineChars="200"/>
        <w:rPr>
          <w:rFonts w:cs="Times New Roman" w:asciiTheme="majorEastAsia" w:hAnsiTheme="majorEastAsia" w:eastAsiaTheme="majorEastAsia"/>
          <w:sz w:val="28"/>
          <w:szCs w:val="28"/>
        </w:rPr>
      </w:pPr>
      <w:bookmarkStart w:id="9" w:name="_Hlk93481145"/>
      <w:r>
        <w:rPr>
          <w:rFonts w:hint="eastAsia" w:cs="Times New Roman" w:asciiTheme="majorEastAsia" w:hAnsiTheme="majorEastAsia" w:eastAsiaTheme="majorEastAsia"/>
          <w:sz w:val="28"/>
          <w:szCs w:val="28"/>
        </w:rPr>
        <w:t>XXX风电场本季度共计发生风电机组故障</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次，其中X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部件故障次数最多为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部件故障时长最长为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小时，请结合巡检或定期检修计划对该类部件进行检查，确定导致该部件故障频发的原因，并及时解决。风电场内按部件进行故障情况分析结果如下图所示（注：图中“其他”指未知故障）。</w:t>
      </w:r>
    </w:p>
    <w:p>
      <w:pPr>
        <w:spacing w:line="360" w:lineRule="auto"/>
        <w:ind w:firstLine="420" w:firstLineChars="200"/>
        <w:jc w:val="center"/>
        <w:rPr>
          <w:rFonts w:cs="Times New Roman" w:asciiTheme="majorEastAsia" w:hAnsiTheme="majorEastAsia" w:eastAsiaTheme="majorEastAsia"/>
          <w:sz w:val="28"/>
          <w:szCs w:val="28"/>
        </w:rPr>
      </w:pPr>
      <w:r>
        <w:drawing>
          <wp:inline distT="0" distB="0" distL="114300" distR="114300">
            <wp:extent cx="5269865" cy="2288540"/>
            <wp:effectExtent l="0" t="0" r="6985" b="16510"/>
            <wp:docPr id="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9"/>
                    <pic:cNvPicPr>
                      <a:picLocks noChangeAspect="1"/>
                    </pic:cNvPicPr>
                  </pic:nvPicPr>
                  <pic:blipFill>
                    <a:blip r:embed="rId10"/>
                    <a:stretch>
                      <a:fillRect/>
                    </a:stretch>
                  </pic:blipFill>
                  <pic:spPr>
                    <a:xfrm>
                      <a:off x="0" y="0"/>
                      <a:ext cx="5269865" cy="2288540"/>
                    </a:xfrm>
                    <a:prstGeom prst="rect">
                      <a:avLst/>
                    </a:prstGeom>
                    <a:noFill/>
                    <a:ln>
                      <a:noFill/>
                    </a:ln>
                  </pic:spPr>
                </pic:pic>
              </a:graphicData>
            </a:graphic>
          </wp:inline>
        </w:drawing>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风电场故障次数统计</w:t>
      </w:r>
    </w:p>
    <w:p>
      <w:pPr>
        <w:spacing w:line="360" w:lineRule="auto"/>
        <w:ind w:firstLine="420" w:firstLineChars="200"/>
        <w:jc w:val="center"/>
        <w:rPr>
          <w:rFonts w:cs="Times New Roman" w:asciiTheme="majorEastAsia" w:hAnsiTheme="majorEastAsia" w:eastAsiaTheme="majorEastAsia"/>
          <w:sz w:val="28"/>
          <w:szCs w:val="28"/>
        </w:rPr>
      </w:pPr>
      <w:r>
        <w:drawing>
          <wp:inline distT="0" distB="0" distL="114300" distR="114300">
            <wp:extent cx="5267960" cy="2248535"/>
            <wp:effectExtent l="0" t="0" r="8890" b="18415"/>
            <wp:docPr id="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0"/>
                    <pic:cNvPicPr>
                      <a:picLocks noChangeAspect="1"/>
                    </pic:cNvPicPr>
                  </pic:nvPicPr>
                  <pic:blipFill>
                    <a:blip r:embed="rId11"/>
                    <a:stretch>
                      <a:fillRect/>
                    </a:stretch>
                  </pic:blipFill>
                  <pic:spPr>
                    <a:xfrm>
                      <a:off x="0" y="0"/>
                      <a:ext cx="5267960" cy="2248535"/>
                    </a:xfrm>
                    <a:prstGeom prst="rect">
                      <a:avLst/>
                    </a:prstGeom>
                    <a:noFill/>
                    <a:ln>
                      <a:noFill/>
                    </a:ln>
                  </pic:spPr>
                </pic:pic>
              </a:graphicData>
            </a:graphic>
          </wp:inline>
        </w:drawing>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风电场故障时长统计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进一步按照故障代码对风电场故障情况进行详细分析，得出本季度故障代码发生次数TOP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和累计时长TOP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如表2-</w:t>
      </w:r>
      <w:r>
        <w:rPr>
          <w:rFonts w:cs="Times New Roman" w:asciiTheme="majorEastAsia" w:hAnsiTheme="majorEastAsia" w:eastAsiaTheme="majorEastAsia"/>
          <w:sz w:val="28"/>
          <w:szCs w:val="28"/>
        </w:rPr>
        <w:t>3</w:t>
      </w:r>
      <w:r>
        <w:rPr>
          <w:rFonts w:hint="eastAsia" w:cs="Times New Roman" w:asciiTheme="majorEastAsia" w:hAnsiTheme="majorEastAsia" w:eastAsiaTheme="majorEastAsia"/>
          <w:sz w:val="28"/>
          <w:szCs w:val="28"/>
        </w:rPr>
        <w:t>所示，结合日常巡检结果，建议在下一维护周期内对通过专项技改、或综合分析等手段对该类的故障进行处理，提升机组的可利用率。其中发生故障次数最多的故障代码为“XX”，发生次数为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次；故障时长最长的故障代码为“XX”，累计故障时长为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小时，在例行维护与日常巡检过程中应重点关注。</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rPr>
        <w:t>风电场频发故障TOP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分析（正序）</w:t>
      </w:r>
    </w:p>
    <w:tbl>
      <w:tblPr>
        <w:tblStyle w:val="38"/>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985"/>
        <w:gridCol w:w="1701"/>
        <w:gridCol w:w="2098"/>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129" w:type="dxa"/>
            <w:vMerge w:val="restart"/>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序号</w:t>
            </w:r>
          </w:p>
        </w:tc>
        <w:tc>
          <w:tcPr>
            <w:tcW w:w="3686"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发生次数TOP</w:t>
            </w:r>
            <w:r>
              <w:rPr>
                <w:rFonts w:cs="Times New Roman" w:asciiTheme="majorEastAsia" w:hAnsiTheme="majorEastAsia" w:eastAsiaTheme="majorEastAsia"/>
                <w:sz w:val="24"/>
                <w:szCs w:val="24"/>
              </w:rPr>
              <w:t>10</w:t>
            </w:r>
          </w:p>
        </w:tc>
        <w:tc>
          <w:tcPr>
            <w:tcW w:w="3685"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累计时长TOP</w:t>
            </w:r>
            <w:r>
              <w:rPr>
                <w:rFonts w:cs="Times New Roman" w:asciiTheme="majorEastAsia" w:hAnsiTheme="majorEastAsia" w:eastAsiaTheme="majorEastAsia"/>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129" w:type="dxa"/>
            <w:vMerge w:val="continue"/>
            <w:vAlign w:val="center"/>
          </w:tcPr>
          <w:p>
            <w:pPr>
              <w:spacing w:line="360" w:lineRule="auto"/>
              <w:jc w:val="center"/>
              <w:rPr>
                <w:rFonts w:cs="Times New Roman" w:asciiTheme="majorEastAsia" w:hAnsiTheme="majorEastAsia" w:eastAsiaTheme="majorEastAsia"/>
                <w:sz w:val="24"/>
                <w:szCs w:val="24"/>
              </w:rPr>
            </w:pPr>
          </w:p>
        </w:tc>
        <w:tc>
          <w:tcPr>
            <w:tcW w:w="1985"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故障代码名称</w:t>
            </w:r>
          </w:p>
        </w:tc>
        <w:tc>
          <w:tcPr>
            <w:tcW w:w="1701"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发生的次数</w:t>
            </w:r>
          </w:p>
        </w:tc>
        <w:tc>
          <w:tcPr>
            <w:tcW w:w="2098"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故障代码名称</w:t>
            </w:r>
          </w:p>
        </w:tc>
        <w:tc>
          <w:tcPr>
            <w:tcW w:w="1587"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2</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3</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4</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5</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6</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7</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8</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9</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10</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bookmarkEnd w:id="9"/>
    </w:tbl>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其中</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机组发生故障次数最多，为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机组故障累计时长最长，为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小时，故障次数排名前1</w:t>
      </w:r>
      <w:r>
        <w:rPr>
          <w:rFonts w:cs="Times New Roman" w:asciiTheme="majorEastAsia" w:hAnsiTheme="majorEastAsia" w:eastAsiaTheme="majorEastAsia"/>
          <w:sz w:val="28"/>
          <w:szCs w:val="28"/>
        </w:rPr>
        <w:t>0</w:t>
      </w:r>
      <w:r>
        <w:rPr>
          <w:rFonts w:hint="eastAsia" w:cs="Times New Roman" w:asciiTheme="majorEastAsia" w:hAnsiTheme="majorEastAsia" w:eastAsiaTheme="majorEastAsia"/>
          <w:sz w:val="28"/>
          <w:szCs w:val="28"/>
        </w:rPr>
        <w:t>及故障累计时长排名前1</w:t>
      </w:r>
      <w:r>
        <w:rPr>
          <w:rFonts w:cs="Times New Roman" w:asciiTheme="majorEastAsia" w:hAnsiTheme="majorEastAsia" w:eastAsiaTheme="majorEastAsia"/>
          <w:sz w:val="28"/>
          <w:szCs w:val="28"/>
        </w:rPr>
        <w:t>0</w:t>
      </w:r>
      <w:r>
        <w:rPr>
          <w:rFonts w:hint="eastAsia" w:cs="Times New Roman" w:asciiTheme="majorEastAsia" w:hAnsiTheme="majorEastAsia" w:eastAsiaTheme="majorEastAsia"/>
          <w:sz w:val="28"/>
          <w:szCs w:val="28"/>
        </w:rPr>
        <w:t>机组，如下表所示，该台次机组</w:t>
      </w:r>
      <w:bookmarkStart w:id="10" w:name="_Hlk93474222"/>
      <w:r>
        <w:rPr>
          <w:rFonts w:hint="eastAsia" w:cs="Times New Roman" w:asciiTheme="majorEastAsia" w:hAnsiTheme="majorEastAsia" w:eastAsiaTheme="majorEastAsia"/>
          <w:sz w:val="28"/>
          <w:szCs w:val="28"/>
        </w:rPr>
        <w:t>在例行维护与日常巡检过程中应重点关注</w:t>
      </w:r>
      <w:bookmarkEnd w:id="10"/>
      <w:r>
        <w:rPr>
          <w:rFonts w:hint="eastAsia" w:cs="Times New Roman" w:asciiTheme="majorEastAsia" w:hAnsiTheme="majorEastAsia" w:eastAsiaTheme="majorEastAsia"/>
          <w:sz w:val="28"/>
          <w:szCs w:val="28"/>
        </w:rPr>
        <w:t>。</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4 </w:t>
      </w:r>
      <w:r>
        <w:rPr>
          <w:rFonts w:hint="eastAsia" w:cs="Times New Roman" w:asciiTheme="majorEastAsia" w:hAnsiTheme="majorEastAsia" w:eastAsiaTheme="majorEastAsia"/>
          <w:sz w:val="24"/>
          <w:szCs w:val="24"/>
        </w:rPr>
        <w:t>故障次数TOP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机组分析（正序）</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排名</w:t>
            </w:r>
          </w:p>
        </w:tc>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276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机组故障次数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2</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3</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4</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5</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6</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7</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8</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9</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10</w:t>
            </w: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bl>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故障累计时长TOP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机组分析（正序）</w:t>
      </w:r>
    </w:p>
    <w:tbl>
      <w:tblPr>
        <w:tblStyle w:val="38"/>
        <w:tblW w:w="8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1"/>
        <w:gridCol w:w="2671"/>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排名</w:t>
            </w:r>
          </w:p>
        </w:tc>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300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2</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3</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4</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5</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6</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7</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8</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7"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9</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10</w:t>
            </w:r>
          </w:p>
        </w:tc>
        <w:tc>
          <w:tcPr>
            <w:tcW w:w="267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bl>
    <w:p>
      <w:pPr>
        <w:pStyle w:val="4"/>
        <w:numPr>
          <w:ilvl w:val="0"/>
          <w:numId w:val="0"/>
        </w:numPr>
        <w:ind w:left="720" w:hanging="720"/>
      </w:pPr>
      <w:bookmarkStart w:id="11" w:name="_Toc93583525"/>
      <w:r>
        <w:t>2.3.2</w:t>
      </w:r>
      <w:r>
        <w:rPr>
          <w:rFonts w:hint="eastAsia"/>
        </w:rPr>
        <w:t>故障指标分析</w:t>
      </w:r>
      <w:bookmarkEnd w:id="11"/>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机组的故障指标主要包括平均无故障运行时间和平均可利用率，代表了机组可靠性的情况。</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平均无故障运行时间是指设备在一定时间长度内，相邻两次故障之间的平均工作时间，代表了机组故障发生的频次，平均无故障运行时间越短，说明机组发生故障的频次越高</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可利用率Ai是指在一定时间长度内，设备可利用小时数占具备条件运行时间的百分比，是反映机组运行可靠性的关键指标。其中具备条件运行时间不包括因电网、外部电气设备故障、气象条件及其它不可抗力等原因造成的停机时间。</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对XXX风电场的故障数据进行了故障指标评价计算，评价结果如下表所示。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各台机组故障指标情况统计（正序）</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平均无故障运行时间</w:t>
            </w:r>
          </w:p>
        </w:tc>
        <w:tc>
          <w:tcPr>
            <w:tcW w:w="276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平均可利用率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766"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bl>
    <w:p/>
    <w:p>
      <w:pPr>
        <w:pStyle w:val="4"/>
        <w:numPr>
          <w:ilvl w:val="0"/>
          <w:numId w:val="0"/>
        </w:numPr>
        <w:ind w:left="720" w:hanging="720"/>
      </w:pPr>
      <w:bookmarkStart w:id="12" w:name="_Toc93583526"/>
      <w:r>
        <w:t>2.3</w:t>
      </w:r>
      <w:r>
        <w:rPr>
          <w:rFonts w:hint="eastAsia"/>
        </w:rPr>
        <w:t>.</w:t>
      </w:r>
      <w:r>
        <w:t>3</w:t>
      </w:r>
      <w:r>
        <w:rPr>
          <w:rFonts w:hint="eastAsia"/>
        </w:rPr>
        <w:t>检修指标分析</w:t>
      </w:r>
      <w:bookmarkEnd w:id="12"/>
    </w:p>
    <w:p>
      <w:pPr>
        <w:spacing w:line="360" w:lineRule="auto"/>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检修故障平均间隔时间是指设备在一定时间长度内，相邻两次需就地检修故障之间的平均工作时间。检修故障平均间隔时间能够体现发电设备大型故障或缺陷的发生概率，在一定程度上能够反映设备的设计、安装和调试质量</w:t>
      </w:r>
      <w:r>
        <w:rPr>
          <w:rFonts w:hint="eastAsia" w:cs="Times New Roman" w:asciiTheme="majorEastAsia" w:hAnsiTheme="majorEastAsia" w:eastAsiaTheme="majorEastAsia"/>
          <w:sz w:val="28"/>
          <w:szCs w:val="28"/>
        </w:rPr>
        <w:t>，同时也反映了机组检修的频度</w:t>
      </w:r>
      <w:r>
        <w:rPr>
          <w:rFonts w:cs="Times New Roman" w:asciiTheme="majorEastAsia" w:hAnsiTheme="majorEastAsia" w:eastAsiaTheme="majorEastAsia"/>
          <w:sz w:val="28"/>
          <w:szCs w:val="28"/>
        </w:rPr>
        <w:t>。</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检修故障平均修复时间是指设备在一定时间长度内，平均每次需就地检修故障的修复时间。检修故障平均修复时间能够直接衡量维修服务团队故障诊断和修复效率的参量，包括充足的备件保障。</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对XXX风电场的进行了检修指标评价计算，评价结果如下表所示。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7 </w:t>
      </w:r>
      <w:r>
        <w:rPr>
          <w:rFonts w:hint="eastAsia" w:cs="Times New Roman" w:asciiTheme="majorEastAsia" w:hAnsiTheme="majorEastAsia" w:eastAsiaTheme="majorEastAsia"/>
          <w:sz w:val="24"/>
          <w:szCs w:val="24"/>
        </w:rPr>
        <w:t>各台机组检修指标情况统计（正序）</w:t>
      </w:r>
    </w:p>
    <w:tbl>
      <w:tblPr>
        <w:tblStyle w:val="38"/>
        <w:tblW w:w="8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2"/>
        <w:gridCol w:w="3004"/>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3004" w:type="dxa"/>
          </w:tcPr>
          <w:p>
            <w:pPr>
              <w:spacing w:line="360" w:lineRule="auto"/>
              <w:jc w:val="center"/>
              <w:rPr>
                <w:rFonts w:cs="Times New Roman" w:asciiTheme="majorEastAsia" w:hAnsiTheme="majorEastAsia" w:eastAsiaTheme="majorEastAsia"/>
                <w:sz w:val="24"/>
                <w:szCs w:val="24"/>
              </w:rPr>
            </w:pPr>
            <w:r>
              <w:rPr>
                <w:rFonts w:cs="Times New Roman" w:asciiTheme="majorEastAsia" w:hAnsiTheme="majorEastAsia" w:eastAsiaTheme="majorEastAsia"/>
                <w:sz w:val="24"/>
                <w:szCs w:val="24"/>
              </w:rPr>
              <w:t>检修故障平均间隔时间</w:t>
            </w:r>
          </w:p>
        </w:tc>
        <w:tc>
          <w:tcPr>
            <w:tcW w:w="299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检修故障平均修复时间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1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3004"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992"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3" w:name="_Toc93583527"/>
      <w:r>
        <w:rPr>
          <w:rFonts w:ascii="Times New Roman" w:hAnsi="Times New Roman" w:eastAsia="宋体" w:cs="Times New Roman"/>
          <w:b/>
          <w:bCs/>
          <w:sz w:val="32"/>
          <w:szCs w:val="32"/>
        </w:rPr>
        <w:t xml:space="preserve">2.4 </w:t>
      </w:r>
      <w:r>
        <w:rPr>
          <w:rFonts w:hint="eastAsia" w:ascii="Times New Roman" w:hAnsi="Times New Roman" w:eastAsia="宋体" w:cs="Times New Roman"/>
          <w:b/>
          <w:bCs/>
          <w:sz w:val="32"/>
          <w:szCs w:val="32"/>
        </w:rPr>
        <w:t>损失电量分析</w:t>
      </w:r>
      <w:bookmarkEnd w:id="13"/>
    </w:p>
    <w:p>
      <w:pPr>
        <w:ind w:firstLine="560" w:firstLineChars="200"/>
        <w:rPr>
          <w:rFonts w:cs="Times New Roman" w:asciiTheme="majorEastAsia" w:hAnsiTheme="majorEastAsia" w:eastAsiaTheme="majorEastAsia"/>
          <w:sz w:val="28"/>
          <w:szCs w:val="28"/>
        </w:rPr>
      </w:pPr>
      <w:bookmarkStart w:id="14" w:name="_Hlk93481654"/>
      <w:r>
        <w:rPr>
          <w:rFonts w:hint="eastAsia" w:cs="Times New Roman" w:asciiTheme="majorEastAsia" w:hAnsiTheme="majorEastAsia" w:eastAsiaTheme="majorEastAsia"/>
          <w:sz w:val="28"/>
          <w:szCs w:val="28"/>
        </w:rPr>
        <w:t>XXX风电场损失电量分析结果如下图所示，其中造成损失电量较大的原因主要包括：</w:t>
      </w:r>
    </w:p>
    <w:p>
      <w:pPr>
        <w:ind w:left="181" w:leftChars="86"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1、XXX，损失电量占比为XX%；</w:t>
      </w:r>
    </w:p>
    <w:p>
      <w:pPr>
        <w:ind w:left="181" w:leftChars="86"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2、XXX，损失电量占比为XX%；</w:t>
      </w:r>
    </w:p>
    <w:p>
      <w:pPr>
        <w:ind w:left="181" w:leftChars="86"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3、XXX，损失电量占比为XX%；</w:t>
      </w:r>
    </w:p>
    <w:p>
      <w:pPr>
        <w:ind w:left="181" w:leftChars="86"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4、XXX，损失电量占比为XX%；</w:t>
      </w:r>
    </w:p>
    <w:p>
      <w:pPr>
        <w:ind w:left="181" w:leftChars="86"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5、XXX，损失电量占比为XX%。</w:t>
      </w:r>
      <w:r>
        <w:rPr>
          <w:rFonts w:hint="eastAsia" w:cs="Times New Roman" w:asciiTheme="majorEastAsia" w:hAnsiTheme="majorEastAsia" w:eastAsiaTheme="majorEastAsia"/>
          <w:sz w:val="28"/>
          <w:szCs w:val="28"/>
          <w:highlight w:val="yellow"/>
        </w:rPr>
        <w:t>（从系统中自动确定损失电量前五名列到此处）</w:t>
      </w:r>
    </w:p>
    <w:p>
      <w:pPr>
        <w:rPr>
          <w:rFonts w:cs="Times New Roman" w:asciiTheme="majorEastAsia" w:hAnsiTheme="majorEastAsia" w:eastAsiaTheme="majorEastAsia"/>
          <w:sz w:val="28"/>
          <w:szCs w:val="28"/>
          <w:highlight w:val="yellow"/>
        </w:rPr>
      </w:pPr>
      <w:r>
        <w:drawing>
          <wp:inline distT="0" distB="0" distL="114300" distR="114300">
            <wp:extent cx="5143500" cy="28194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5143500" cy="2819400"/>
                    </a:xfrm>
                    <a:prstGeom prst="rect">
                      <a:avLst/>
                    </a:prstGeom>
                    <a:noFill/>
                    <a:ln>
                      <a:noFill/>
                    </a:ln>
                  </pic:spPr>
                </pic:pic>
              </a:graphicData>
            </a:graphic>
          </wp:inline>
        </w:drawing>
      </w:r>
    </w:p>
    <w:p>
      <w:pPr>
        <w:ind w:left="181" w:leftChars="86"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图2-</w:t>
      </w:r>
      <w:r>
        <w:rPr>
          <w:rFonts w:cs="Times New Roman" w:asciiTheme="majorEastAsia" w:hAnsiTheme="majorEastAsia" w:eastAsiaTheme="majorEastAsia"/>
          <w:sz w:val="24"/>
          <w:szCs w:val="24"/>
        </w:rPr>
        <w:t xml:space="preserve">7 </w:t>
      </w:r>
      <w:r>
        <w:rPr>
          <w:rFonts w:hint="eastAsia" w:cs="Times New Roman" w:asciiTheme="majorEastAsia" w:hAnsiTheme="majorEastAsia" w:eastAsiaTheme="majorEastAsia"/>
          <w:sz w:val="24"/>
          <w:szCs w:val="24"/>
        </w:rPr>
        <w:t>XX风电场损失电量占比</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损失电量按照月度统计如下图所示。</w:t>
      </w:r>
    </w:p>
    <w:p>
      <w:pPr>
        <w:rPr>
          <w:rFonts w:cs="Times New Roman" w:asciiTheme="majorEastAsia" w:hAnsiTheme="majorEastAsia" w:eastAsiaTheme="majorEastAsia"/>
          <w:sz w:val="28"/>
          <w:szCs w:val="28"/>
          <w:highlight w:val="yellow"/>
        </w:rPr>
      </w:pPr>
      <w:r>
        <w:drawing>
          <wp:inline distT="0" distB="0" distL="114300" distR="114300">
            <wp:extent cx="5265420" cy="1383030"/>
            <wp:effectExtent l="0" t="0" r="11430" b="762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13"/>
                    <a:stretch>
                      <a:fillRect/>
                    </a:stretch>
                  </pic:blipFill>
                  <pic:spPr>
                    <a:xfrm>
                      <a:off x="0" y="0"/>
                      <a:ext cx="5265420" cy="1383030"/>
                    </a:xfrm>
                    <a:prstGeom prst="rect">
                      <a:avLst/>
                    </a:prstGeom>
                    <a:noFill/>
                    <a:ln>
                      <a:noFill/>
                    </a:ln>
                  </pic:spPr>
                </pic:pic>
              </a:graphicData>
            </a:graphic>
          </wp:inline>
        </w:drawing>
      </w:r>
    </w:p>
    <w:p>
      <w:pPr>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图2-</w:t>
      </w:r>
      <w:r>
        <w:rPr>
          <w:rFonts w:cs="Times New Roman" w:asciiTheme="majorEastAsia" w:hAnsiTheme="majorEastAsia" w:eastAsiaTheme="majorEastAsia"/>
          <w:sz w:val="24"/>
          <w:szCs w:val="24"/>
        </w:rPr>
        <w:t>8</w:t>
      </w:r>
      <w:r>
        <w:rPr>
          <w:rFonts w:hint="eastAsia" w:cs="Times New Roman" w:asciiTheme="majorEastAsia" w:hAnsiTheme="majorEastAsia" w:eastAsiaTheme="majorEastAsia"/>
          <w:sz w:val="24"/>
          <w:szCs w:val="24"/>
        </w:rPr>
        <w:t xml:space="preserve"> XX风电场月度损失电量统计</w:t>
      </w:r>
      <w:bookmarkEnd w:id="14"/>
    </w:p>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5" w:name="_Toc93583528"/>
      <w:r>
        <w:rPr>
          <w:rFonts w:ascii="Times New Roman" w:hAnsi="Times New Roman" w:eastAsia="宋体" w:cs="Times New Roman"/>
          <w:b/>
          <w:bCs/>
          <w:sz w:val="32"/>
          <w:szCs w:val="32"/>
        </w:rPr>
        <w:t xml:space="preserve">2.5 </w:t>
      </w:r>
      <w:r>
        <w:rPr>
          <w:rFonts w:hint="eastAsia" w:ascii="Times New Roman" w:hAnsi="Times New Roman" w:eastAsia="宋体" w:cs="Times New Roman"/>
          <w:b/>
          <w:bCs/>
          <w:sz w:val="32"/>
          <w:szCs w:val="32"/>
        </w:rPr>
        <w:t>小结</w:t>
      </w:r>
      <w:bookmarkEnd w:id="15"/>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本章从发电量、运行小时数、机组故障、损失电量四方面对XXX风电场的整体情况及各风电机组进行了分析。由分析结果可知，在发电量方面，本季度风电场发电量最高月份为X月，发电量X</w:t>
      </w:r>
      <w:r>
        <w:rPr>
          <w:rFonts w:cs="Times New Roman" w:asciiTheme="majorEastAsia" w:hAnsiTheme="majorEastAsia" w:eastAsiaTheme="majorEastAsia"/>
          <w:sz w:val="28"/>
          <w:szCs w:val="28"/>
        </w:rPr>
        <w:t>XMW</w:t>
      </w:r>
      <w:r>
        <w:rPr>
          <w:rFonts w:hint="eastAsia" w:cs="Times New Roman" w:asciiTheme="majorEastAsia" w:hAnsiTheme="majorEastAsia" w:eastAsiaTheme="majorEastAsia"/>
          <w:sz w:val="28"/>
          <w:szCs w:val="28"/>
        </w:rPr>
        <w:t>；编号</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机组发电量最高，编号</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机组发电量最低，机组间发电量的最大偏差为XXMWh。</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在运行小时数方面，本季度风电场正常运行小时数最高月份为X月，正常运行小时占比为X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。本季度限功率运行小数占比为XX%，机组停机时间占比为XX%，其中导致机组停机时间最长的原因为：“XX”占比为XX%。</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在机组故障方面，X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风电场故障次数最多部件为X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，共发生故障X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次，请结合巡检或定期检修计划对该类部件进行检查，确定导致该部件故障频发的原因，并及时解决。其中编号</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机组故障次数最多，编号</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机组累计故障时间最长，在下一阶段例行维护与日常巡检过程中应重点关注。；风电场平均无故障运行时间为XX小时，可利用率为XX%，其中编号</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机组平均可利用率最高，为X</w:t>
      </w:r>
      <w:r>
        <w:rPr>
          <w:rFonts w:cs="Times New Roman" w:asciiTheme="majorEastAsia" w:hAnsiTheme="majorEastAsia" w:eastAsiaTheme="majorEastAsia"/>
          <w:sz w:val="28"/>
          <w:szCs w:val="28"/>
        </w:rPr>
        <w:t>X% ,</w:t>
      </w:r>
      <w:r>
        <w:rPr>
          <w:rFonts w:hint="eastAsia" w:cs="Times New Roman" w:asciiTheme="majorEastAsia" w:hAnsiTheme="majorEastAsia" w:eastAsiaTheme="majorEastAsia"/>
          <w:sz w:val="28"/>
          <w:szCs w:val="28"/>
        </w:rPr>
        <w:t>编号</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 xml:space="preserve">平均可利用率最差,为XX%； </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在损失电量方面，“XX”原因导致的损失电量占比最高，请结合现场实际情况对损失电量原因进一步核实。</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16" w:name="_Toc93583529"/>
      <w:r>
        <w:rPr>
          <w:rFonts w:hint="eastAsia" w:cs="Times New Roman" w:asciiTheme="majorEastAsia" w:hAnsiTheme="majorEastAsia" w:eastAsiaTheme="majorEastAsia"/>
          <w:b/>
          <w:bCs/>
          <w:sz w:val="32"/>
          <w:szCs w:val="32"/>
        </w:rPr>
        <w:t>三、风电机组发电性能评价及缺陷预警</w:t>
      </w:r>
      <w:bookmarkEnd w:id="16"/>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7" w:name="_Toc93583530"/>
      <w:r>
        <w:rPr>
          <w:rFonts w:ascii="Times New Roman" w:hAnsi="Times New Roman" w:eastAsia="宋体" w:cs="Times New Roman"/>
          <w:b/>
          <w:bCs/>
          <w:sz w:val="32"/>
          <w:szCs w:val="32"/>
        </w:rPr>
        <w:t xml:space="preserve">3.1 </w:t>
      </w:r>
      <w:r>
        <w:rPr>
          <w:rFonts w:hint="eastAsia" w:ascii="Times New Roman" w:hAnsi="Times New Roman" w:eastAsia="宋体" w:cs="Times New Roman"/>
          <w:b/>
          <w:bCs/>
          <w:sz w:val="32"/>
          <w:szCs w:val="32"/>
        </w:rPr>
        <w:t>发电性能一致性分析</w:t>
      </w:r>
      <w:bookmarkEnd w:id="17"/>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利用运行数据，统计了分析了XXX风电场各台机组的功率特性曲线，通过机组间功率特性曲线的横向对比，分析风电场运行机组发电特性的差异程度，下图为XX风电场XX型号风电机组最优功率特性曲线及最差功率特性曲线的分析。</w:t>
      </w:r>
    </w:p>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（1）X</w:t>
      </w:r>
      <w:r>
        <w:rPr>
          <w:rFonts w:cs="Times New Roman" w:asciiTheme="majorEastAsia" w:hAnsiTheme="majorEastAsia" w:eastAsiaTheme="majorEastAsia"/>
          <w:sz w:val="28"/>
          <w:szCs w:val="28"/>
          <w:shd w:val="clear" w:color="auto" w:fill="FFFF00"/>
        </w:rPr>
        <w:t>X</w:t>
      </w:r>
      <w:r>
        <w:rPr>
          <w:rFonts w:hint="eastAsia" w:cs="Times New Roman" w:asciiTheme="majorEastAsia" w:hAnsiTheme="majorEastAsia" w:eastAsiaTheme="majorEastAsia"/>
          <w:sz w:val="28"/>
          <w:szCs w:val="28"/>
          <w:shd w:val="clear" w:color="auto" w:fill="FFFF00"/>
        </w:rPr>
        <w:t>型号</w:t>
      </w:r>
    </w:p>
    <w:p>
      <w:pPr>
        <w:spacing w:line="360" w:lineRule="auto"/>
        <w:jc w:val="center"/>
        <w:rPr>
          <w:rFonts w:cs="Times New Roman" w:asciiTheme="majorEastAsia" w:hAnsiTheme="majorEastAsia" w:eastAsiaTheme="majorEastAsia"/>
          <w:sz w:val="28"/>
          <w:szCs w:val="28"/>
        </w:rPr>
      </w:pPr>
      <w:r>
        <w:drawing>
          <wp:inline distT="0" distB="0" distL="0" distR="0">
            <wp:extent cx="5274310" cy="2689860"/>
            <wp:effectExtent l="0" t="0" r="2540" b="1524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1 </w:t>
      </w:r>
      <w:r>
        <w:rPr>
          <w:rFonts w:hint="eastAsia" w:cs="Times New Roman" w:asciiTheme="majorEastAsia" w:hAnsiTheme="majorEastAsia" w:eastAsiaTheme="majorEastAsia"/>
          <w:sz w:val="24"/>
          <w:szCs w:val="24"/>
        </w:rPr>
        <w:t>X</w:t>
      </w:r>
      <w:r>
        <w:rPr>
          <w:rFonts w:cs="Times New Roman" w:asciiTheme="majorEastAsia" w:hAnsiTheme="majorEastAsia" w:eastAsiaTheme="majorEastAsia"/>
          <w:sz w:val="24"/>
          <w:szCs w:val="24"/>
        </w:rPr>
        <w:t>X</w:t>
      </w:r>
      <w:r>
        <w:rPr>
          <w:rFonts w:hint="eastAsia" w:cs="Times New Roman" w:asciiTheme="majorEastAsia" w:hAnsiTheme="majorEastAsia" w:eastAsiaTheme="majorEastAsia"/>
          <w:sz w:val="24"/>
          <w:szCs w:val="24"/>
        </w:rPr>
        <w:t>型号机组实际运行的最优功率曲线与最差功率曲线</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进一步对各台机组功率特性曲线进行详细分析，根据风电机组间的差异程度将风电场功率特性曲线划分为“优”“良”“中”“差”四类，其中“中”“差</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两类机组的发电能力一致性较差，可能造成较大的发电量损失。</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经计算，XXX风电场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风电机组的功率特性曲线分类的占比如图2-</w:t>
      </w:r>
      <w:r>
        <w:rPr>
          <w:rFonts w:cs="Times New Roman" w:asciiTheme="majorEastAsia" w:hAnsiTheme="majorEastAsia" w:eastAsiaTheme="majorEastAsia"/>
          <w:sz w:val="28"/>
          <w:szCs w:val="28"/>
        </w:rPr>
        <w:t>5</w:t>
      </w:r>
      <w:r>
        <w:rPr>
          <w:rFonts w:hint="eastAsia" w:cs="Times New Roman" w:asciiTheme="majorEastAsia" w:hAnsiTheme="majorEastAsia" w:eastAsiaTheme="majorEastAsia"/>
          <w:sz w:val="28"/>
          <w:szCs w:val="28"/>
        </w:rPr>
        <w:t>所示。其中，性能评价为“优”的有</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；“良”为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%；“中”为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%；“差”为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w:t>
      </w:r>
    </w:p>
    <w:p>
      <w:pPr>
        <w:spacing w:line="360" w:lineRule="auto"/>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drawing>
          <wp:inline distT="0" distB="0" distL="0" distR="0">
            <wp:extent cx="5274310" cy="3076575"/>
            <wp:effectExtent l="0" t="0" r="254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X</w:t>
      </w:r>
      <w:r>
        <w:rPr>
          <w:rFonts w:cs="Times New Roman" w:asciiTheme="majorEastAsia" w:hAnsiTheme="majorEastAsia" w:eastAsiaTheme="majorEastAsia"/>
          <w:sz w:val="24"/>
          <w:szCs w:val="24"/>
        </w:rPr>
        <w:t>X</w:t>
      </w:r>
      <w:r>
        <w:rPr>
          <w:rFonts w:hint="eastAsia" w:cs="Times New Roman" w:asciiTheme="majorEastAsia" w:hAnsiTheme="majorEastAsia" w:eastAsiaTheme="majorEastAsia"/>
          <w:sz w:val="24"/>
          <w:szCs w:val="24"/>
        </w:rPr>
        <w:t>风电机组功率曲线分类占比饼状图</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XXX风电场各机组功率曲线的分类详情如下表所示。</w:t>
      </w:r>
    </w:p>
    <w:p>
      <w:pPr>
        <w:spacing w:line="360" w:lineRule="auto"/>
        <w:ind w:firstLine="564"/>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-1</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rPr>
        <w:t>XXX风电场风电机组的功率曲线分类</w:t>
      </w:r>
    </w:p>
    <w:tbl>
      <w:tblPr>
        <w:tblStyle w:val="38"/>
        <w:tblW w:w="83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5"/>
        <w:gridCol w:w="2140"/>
        <w:gridCol w:w="1551"/>
        <w:gridCol w:w="2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风电场名称</w:t>
            </w:r>
          </w:p>
        </w:tc>
        <w:tc>
          <w:tcPr>
            <w:tcW w:w="2140"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风电机组型号</w:t>
            </w:r>
          </w:p>
        </w:tc>
        <w:tc>
          <w:tcPr>
            <w:tcW w:w="1551"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编号</w:t>
            </w:r>
          </w:p>
        </w:tc>
        <w:tc>
          <w:tcPr>
            <w:tcW w:w="2068"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功率曲线分类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575" w:type="dxa"/>
            <w:vAlign w:val="center"/>
          </w:tcPr>
          <w:p>
            <w:pPr>
              <w:widowControl/>
              <w:jc w:val="center"/>
              <w:textAlignment w:val="center"/>
              <w:rPr>
                <w:rFonts w:asciiTheme="minorEastAsia" w:hAnsiTheme="minorEastAsia" w:cstheme="minorEastAsia"/>
                <w:sz w:val="28"/>
                <w:szCs w:val="28"/>
              </w:rPr>
            </w:pPr>
          </w:p>
        </w:tc>
        <w:tc>
          <w:tcPr>
            <w:tcW w:w="2140" w:type="dxa"/>
            <w:vAlign w:val="center"/>
          </w:tcPr>
          <w:p>
            <w:pPr>
              <w:widowControl/>
              <w:jc w:val="center"/>
              <w:textAlignment w:val="center"/>
              <w:rPr>
                <w:rFonts w:asciiTheme="minorEastAsia" w:hAnsiTheme="minorEastAsia" w:cstheme="minorEastAsia"/>
                <w:sz w:val="28"/>
                <w:szCs w:val="28"/>
              </w:rPr>
            </w:pPr>
          </w:p>
        </w:tc>
        <w:tc>
          <w:tcPr>
            <w:tcW w:w="1551" w:type="dxa"/>
            <w:vAlign w:val="center"/>
          </w:tcPr>
          <w:p>
            <w:pPr>
              <w:widowControl/>
              <w:jc w:val="center"/>
              <w:textAlignment w:val="center"/>
              <w:rPr>
                <w:rFonts w:asciiTheme="minorEastAsia" w:hAnsiTheme="minorEastAsia" w:cstheme="minorEastAsia"/>
                <w:sz w:val="28"/>
                <w:szCs w:val="28"/>
              </w:rPr>
            </w:pPr>
          </w:p>
        </w:tc>
        <w:tc>
          <w:tcPr>
            <w:tcW w:w="2068" w:type="dxa"/>
            <w:vAlign w:val="center"/>
          </w:tcPr>
          <w:p>
            <w:pPr>
              <w:widowControl/>
              <w:jc w:val="center"/>
              <w:textAlignment w:val="center"/>
              <w:rPr>
                <w:rFonts w:asciiTheme="minorEastAsia" w:hAnsiTheme="minorEastAsia" w:cstheme="minorEastAsia"/>
                <w:sz w:val="28"/>
                <w:szCs w:val="28"/>
              </w:rPr>
            </w:pPr>
          </w:p>
        </w:tc>
      </w:tr>
    </w:tbl>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（2）X</w:t>
      </w:r>
      <w:r>
        <w:rPr>
          <w:rFonts w:cs="Times New Roman" w:asciiTheme="majorEastAsia" w:hAnsiTheme="majorEastAsia" w:eastAsiaTheme="majorEastAsia"/>
          <w:sz w:val="28"/>
          <w:szCs w:val="28"/>
          <w:shd w:val="clear" w:color="auto" w:fill="FFFF00"/>
        </w:rPr>
        <w:t>X</w:t>
      </w:r>
      <w:r>
        <w:rPr>
          <w:rFonts w:hint="eastAsia" w:cs="Times New Roman" w:asciiTheme="majorEastAsia" w:hAnsiTheme="majorEastAsia" w:eastAsiaTheme="majorEastAsia"/>
          <w:sz w:val="28"/>
          <w:szCs w:val="28"/>
          <w:shd w:val="clear" w:color="auto" w:fill="FFFF00"/>
        </w:rPr>
        <w:t>型号</w:t>
      </w:r>
    </w:p>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（多个机组型号出多个图）</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8" w:name="_Toc93583531"/>
      <w:r>
        <w:rPr>
          <w:rFonts w:ascii="Times New Roman" w:hAnsi="Times New Roman" w:eastAsia="宋体" w:cs="Times New Roman"/>
          <w:b/>
          <w:bCs/>
          <w:sz w:val="32"/>
          <w:szCs w:val="32"/>
        </w:rPr>
        <w:t xml:space="preserve">3.2 </w:t>
      </w:r>
      <w:r>
        <w:rPr>
          <w:rFonts w:hint="eastAsia" w:ascii="Times New Roman" w:hAnsi="Times New Roman" w:eastAsia="宋体" w:cs="Times New Roman"/>
          <w:b/>
          <w:bCs/>
          <w:sz w:val="32"/>
          <w:szCs w:val="32"/>
        </w:rPr>
        <w:t>发电能力指标Fg分析</w:t>
      </w:r>
      <w:bookmarkEnd w:id="18"/>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风力发电机组发电能力指标Fg表示风力发电机组实际发电功率与最优发电功率的比值，代表了各台风电机组与场内发电能力最优机组的差异程度。</w:t>
      </w:r>
    </w:p>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w:t>
      </w:r>
      <w:r>
        <w:rPr>
          <w:rFonts w:cs="Times New Roman" w:asciiTheme="majorEastAsia" w:hAnsiTheme="majorEastAsia" w:eastAsiaTheme="majorEastAsia"/>
          <w:sz w:val="28"/>
          <w:szCs w:val="28"/>
          <w:shd w:val="clear" w:color="auto" w:fill="FFFF00"/>
        </w:rPr>
        <w:t>1</w:t>
      </w:r>
      <w:r>
        <w:rPr>
          <w:rFonts w:hint="eastAsia" w:cs="Times New Roman" w:asciiTheme="majorEastAsia" w:hAnsiTheme="majorEastAsia" w:eastAsiaTheme="majorEastAsia"/>
          <w:sz w:val="28"/>
          <w:szCs w:val="28"/>
          <w:shd w:val="clear" w:color="auto" w:fill="FFFF00"/>
        </w:rPr>
        <w:t>）X</w:t>
      </w:r>
      <w:r>
        <w:rPr>
          <w:rFonts w:cs="Times New Roman" w:asciiTheme="majorEastAsia" w:hAnsiTheme="majorEastAsia" w:eastAsiaTheme="majorEastAsia"/>
          <w:sz w:val="28"/>
          <w:szCs w:val="28"/>
          <w:shd w:val="clear" w:color="auto" w:fill="FFFF00"/>
        </w:rPr>
        <w:t>X</w:t>
      </w:r>
      <w:r>
        <w:rPr>
          <w:rFonts w:hint="eastAsia" w:cs="Times New Roman" w:asciiTheme="majorEastAsia" w:hAnsiTheme="majorEastAsia" w:eastAsiaTheme="majorEastAsia"/>
          <w:sz w:val="28"/>
          <w:szCs w:val="28"/>
          <w:shd w:val="clear" w:color="auto" w:fill="FFFF00"/>
        </w:rPr>
        <w:t>型号</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风电机组的发电能力指标统计如下图所示。</w:t>
      </w:r>
    </w:p>
    <w:p>
      <w:pPr>
        <w:spacing w:line="360" w:lineRule="auto"/>
        <w:jc w:val="center"/>
        <w:rPr>
          <w:rFonts w:cs="Times New Roman" w:asciiTheme="majorEastAsia" w:hAnsiTheme="majorEastAsia" w:eastAsiaTheme="majorEastAsia"/>
          <w:sz w:val="28"/>
          <w:szCs w:val="28"/>
        </w:rPr>
      </w:pPr>
      <w:r>
        <w:drawing>
          <wp:inline distT="0" distB="0" distL="0" distR="0">
            <wp:extent cx="5037455" cy="2599055"/>
            <wp:effectExtent l="0" t="0" r="10795" b="10795"/>
            <wp:docPr id="152" name="图表 1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spacing w:line="360" w:lineRule="auto"/>
        <w:jc w:val="center"/>
        <w:rPr>
          <w:rFonts w:asciiTheme="majorEastAsia" w:hAnsiTheme="majorEastAsia" w:eastAsiaTheme="majorEastAsia"/>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rPr>
        <w:t>X</w:t>
      </w:r>
      <w:r>
        <w:rPr>
          <w:rFonts w:cs="Times New Roman" w:asciiTheme="majorEastAsia" w:hAnsiTheme="majorEastAsia" w:eastAsiaTheme="majorEastAsia"/>
          <w:sz w:val="24"/>
          <w:szCs w:val="24"/>
        </w:rPr>
        <w:t>X</w:t>
      </w:r>
      <w:r>
        <w:rPr>
          <w:rFonts w:hint="eastAsia" w:cs="Times New Roman" w:asciiTheme="majorEastAsia" w:hAnsiTheme="majorEastAsia" w:eastAsiaTheme="majorEastAsia"/>
          <w:sz w:val="24"/>
          <w:szCs w:val="24"/>
        </w:rPr>
        <w:t>风电机组的发电能力指标统计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通过发电能力指标分析，XXX风电场本季度发电能力最优的机组为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，最差的的机组为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，各机组风电场发电能力指标Fg计算结果如下图所示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XXX风电场的2.5MW机组发电能力指标Fg（正序）</w:t>
      </w:r>
    </w:p>
    <w:tbl>
      <w:tblPr>
        <w:tblStyle w:val="3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rPr>
              <w:t>机组编号</w:t>
            </w:r>
          </w:p>
        </w:tc>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rPr>
              <w:t>Fg</w:t>
            </w:r>
          </w:p>
        </w:tc>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c>
          <w:tcPr>
            <w:tcW w:w="2074" w:type="dxa"/>
            <w:vAlign w:val="center"/>
          </w:tcPr>
          <w:p>
            <w:pPr>
              <w:widowControl/>
              <w:jc w:val="center"/>
              <w:textAlignment w:val="center"/>
              <w:rPr>
                <w:rFonts w:asciiTheme="majorEastAsia" w:hAnsiTheme="majorEastAsia" w:eastAsiaTheme="majorEastAsia" w:cstheme="minorEastAsia"/>
                <w:sz w:val="24"/>
                <w:szCs w:val="24"/>
              </w:rPr>
            </w:pPr>
          </w:p>
        </w:tc>
      </w:tr>
    </w:tbl>
    <w:p/>
    <w:p/>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w:t>
      </w:r>
      <w:r>
        <w:rPr>
          <w:rFonts w:cs="Times New Roman" w:asciiTheme="majorEastAsia" w:hAnsiTheme="majorEastAsia" w:eastAsiaTheme="majorEastAsia"/>
          <w:sz w:val="28"/>
          <w:szCs w:val="28"/>
          <w:shd w:val="clear" w:color="auto" w:fill="FFFF00"/>
        </w:rPr>
        <w:t>2</w:t>
      </w:r>
      <w:r>
        <w:rPr>
          <w:rFonts w:hint="eastAsia" w:cs="Times New Roman" w:asciiTheme="majorEastAsia" w:hAnsiTheme="majorEastAsia" w:eastAsiaTheme="majorEastAsia"/>
          <w:sz w:val="28"/>
          <w:szCs w:val="28"/>
          <w:shd w:val="clear" w:color="auto" w:fill="FFFF00"/>
        </w:rPr>
        <w:t>）X</w:t>
      </w:r>
      <w:r>
        <w:rPr>
          <w:rFonts w:cs="Times New Roman" w:asciiTheme="majorEastAsia" w:hAnsiTheme="majorEastAsia" w:eastAsiaTheme="majorEastAsia"/>
          <w:sz w:val="28"/>
          <w:szCs w:val="28"/>
          <w:shd w:val="clear" w:color="auto" w:fill="FFFF00"/>
        </w:rPr>
        <w:t>X</w:t>
      </w:r>
      <w:r>
        <w:rPr>
          <w:rFonts w:hint="eastAsia" w:cs="Times New Roman" w:asciiTheme="majorEastAsia" w:hAnsiTheme="majorEastAsia" w:eastAsiaTheme="majorEastAsia"/>
          <w:sz w:val="28"/>
          <w:szCs w:val="28"/>
          <w:shd w:val="clear" w:color="auto" w:fill="FFFF00"/>
        </w:rPr>
        <w:t>型号</w:t>
      </w:r>
    </w:p>
    <w:p>
      <w:pPr>
        <w:ind w:firstLine="420" w:firstLineChars="200"/>
      </w:pP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9" w:name="_Toc93583532"/>
      <w:r>
        <w:rPr>
          <w:rFonts w:ascii="Times New Roman" w:hAnsi="Times New Roman" w:eastAsia="宋体" w:cs="Times New Roman"/>
          <w:b/>
          <w:bCs/>
          <w:sz w:val="32"/>
          <w:szCs w:val="32"/>
        </w:rPr>
        <w:t xml:space="preserve">3.3 </w:t>
      </w:r>
      <w:r>
        <w:rPr>
          <w:rFonts w:hint="eastAsia" w:ascii="Times New Roman" w:hAnsi="Times New Roman" w:eastAsia="宋体" w:cs="Times New Roman"/>
          <w:b/>
          <w:bCs/>
          <w:sz w:val="32"/>
          <w:szCs w:val="32"/>
        </w:rPr>
        <w:t>偏航静态偏差分析及预警</w:t>
      </w:r>
      <w:bookmarkEnd w:id="19"/>
    </w:p>
    <w:p>
      <w:pPr>
        <w:spacing w:line="360" w:lineRule="auto"/>
        <w:rPr>
          <w:rFonts w:cs="Times New Roman" w:asciiTheme="majorEastAsia" w:hAnsiTheme="majorEastAsia" w:eastAsiaTheme="majorEastAsia"/>
          <w:sz w:val="28"/>
          <w:szCs w:val="28"/>
        </w:rPr>
      </w:pPr>
      <w:r>
        <w:rPr>
          <w:rFonts w:hint="eastAsia" w:asciiTheme="majorEastAsia" w:hAnsiTheme="majorEastAsia" w:eastAsiaTheme="majorEastAsia"/>
        </w:rPr>
        <w:t xml:space="preserve"> </w:t>
      </w:r>
      <w:r>
        <w:rPr>
          <w:rFonts w:asciiTheme="majorEastAsia" w:hAnsiTheme="majorEastAsia" w:eastAsiaTheme="majorEastAsia"/>
        </w:rPr>
        <w:t xml:space="preserve">    </w:t>
      </w:r>
      <w:r>
        <w:rPr>
          <w:rFonts w:hint="eastAsia" w:cs="Times New Roman" w:asciiTheme="majorEastAsia" w:hAnsiTheme="majorEastAsia" w:eastAsiaTheme="majorEastAsia"/>
          <w:sz w:val="28"/>
          <w:szCs w:val="28"/>
        </w:rPr>
        <w:t>偏航系统是实现风电机组风电机组快速精准有效对风的执行机构，偏航控制系统性能直接决定着风电机组的安全性和经济性。风向传感器位于下风向，其测量值受叶片尾流、传感器误差、安装等因素影响使偏航控制系统产生偏航静态偏差，使风向与机舱轴线会产生一个偏差角度（偏航误差），偏航误差的存在会引起机组输出有功功率的减小，导致风电机组发电性能的损失，且对机组的载荷特性产生不利影响。</w:t>
      </w:r>
    </w:p>
    <w:p>
      <w:pPr>
        <w:spacing w:line="360" w:lineRule="auto"/>
        <w:ind w:left="181" w:leftChars="86"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偏航静态偏差反映的是偏航误差分布位置，体现的是风向测量值和实际来流风向的分布偏置情况，如下图所示。</w:t>
      </w:r>
    </w:p>
    <w:p>
      <w:pPr>
        <w:adjustRightInd w:val="0"/>
        <w:snapToGrid w:val="0"/>
        <w:spacing w:line="276" w:lineRule="auto"/>
        <w:ind w:left="181" w:leftChars="86"/>
        <w:jc w:val="center"/>
        <w:rPr>
          <w:rFonts w:ascii="Times New Roman" w:hAnsi="Times New Roman"/>
        </w:rPr>
      </w:pPr>
    </w:p>
    <w:p>
      <w:pPr>
        <w:spacing w:line="360" w:lineRule="auto"/>
        <w:ind w:firstLine="420" w:firstLineChars="200"/>
        <w:rPr>
          <w:rFonts w:ascii="Times New Roman" w:hAnsi="Times New Roman" w:eastAsia="仿宋_GB2312" w:cs="Times New Roman"/>
          <w:sz w:val="28"/>
          <w:szCs w:val="28"/>
        </w:rPr>
      </w:pPr>
      <w:r>
        <w:rPr>
          <w:rFonts w:ascii="Times New Roman" w:hAnsi="Times New Roman" w:eastAsia="宋体" w:cs="Times New Roman"/>
        </w:rPr>
        <w:object>
          <v:shape id="_x0000_i1025" o:spt="75" type="#_x0000_t75" style="height:225pt;width:329.25pt;" o:ole="t" filled="f" o:preferrelative="t" stroked="f" coordsize="21600,21600">
            <v:path/>
            <v:fill on="f" focussize="0,0"/>
            <v:stroke on="f" joinstyle="miter"/>
            <v:imagedata r:id="rId18" o:title=""/>
            <o:lock v:ext="edit" aspectratio="t"/>
            <w10:wrap type="none"/>
            <w10:anchorlock/>
          </v:shape>
          <o:OLEObject Type="Embed" ProgID="Visio.Drawing.15" ShapeID="_x0000_i1025" DrawAspect="Content" ObjectID="_1468075725" r:id="rId17">
            <o:LockedField>false</o:LockedField>
          </o:OLEObject>
        </w:objec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图3-</w:t>
      </w:r>
      <w:r>
        <w:rPr>
          <w:rFonts w:cs="Times New Roman" w:asciiTheme="majorEastAsia" w:hAnsiTheme="majorEastAsia" w:eastAsiaTheme="majorEastAsia"/>
          <w:sz w:val="28"/>
          <w:szCs w:val="28"/>
        </w:rPr>
        <w:t xml:space="preserve">X </w:t>
      </w:r>
      <w:r>
        <w:rPr>
          <w:rFonts w:hint="eastAsia" w:cs="Times New Roman" w:asciiTheme="majorEastAsia" w:hAnsiTheme="majorEastAsia" w:eastAsiaTheme="majorEastAsia"/>
          <w:sz w:val="28"/>
          <w:szCs w:val="28"/>
        </w:rPr>
        <w:t>偏航静态偏差示意图</w:t>
      </w:r>
    </w:p>
    <w:p>
      <w:pPr>
        <w:pStyle w:val="4"/>
        <w:numPr>
          <w:ilvl w:val="0"/>
          <w:numId w:val="0"/>
        </w:numPr>
        <w:ind w:left="720" w:hanging="720"/>
      </w:pPr>
      <w:bookmarkStart w:id="20" w:name="_Toc93583533"/>
      <w:r>
        <w:t>3.3.1</w:t>
      </w:r>
      <w:r>
        <w:rPr>
          <w:rFonts w:hint="eastAsia"/>
        </w:rPr>
        <w:t>偏航静态偏差分析</w:t>
      </w:r>
      <w:bookmarkEnd w:id="20"/>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XXX风电场机组的静态偏差分布范围为XX°（最大负偏差-最大正偏差），平均偏差值为X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°，风电机组偏航静态偏差情况统计如图所示。</w:t>
      </w:r>
    </w:p>
    <w:p>
      <w:pPr>
        <w:spacing w:line="360" w:lineRule="auto"/>
        <w:rPr>
          <w:rFonts w:cs="Times New Roman" w:asciiTheme="majorEastAsia" w:hAnsiTheme="majorEastAsia" w:eastAsiaTheme="majorEastAsia"/>
          <w:sz w:val="28"/>
          <w:szCs w:val="28"/>
        </w:rPr>
      </w:pPr>
      <w:r>
        <w:drawing>
          <wp:inline distT="0" distB="0" distL="114300" distR="114300">
            <wp:extent cx="5334000" cy="2898775"/>
            <wp:effectExtent l="0" t="0" r="0" b="15875"/>
            <wp:docPr id="124"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spacing w:line="360" w:lineRule="auto"/>
        <w:jc w:val="center"/>
        <w:rPr>
          <w:rFonts w:asciiTheme="majorEastAsia" w:hAnsiTheme="majorEastAsia" w:eastAsiaTheme="majorEastAsia"/>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XXX风电场中风电机组偏航静态偏差情况统计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其中偏航静态偏差绝对值大于</w:t>
      </w:r>
      <w:r>
        <w:rPr>
          <w:rFonts w:cs="Times New Roman" w:asciiTheme="majorEastAsia" w:hAnsiTheme="majorEastAsia" w:eastAsiaTheme="majorEastAsia"/>
          <w:sz w:val="28"/>
          <w:szCs w:val="28"/>
        </w:rPr>
        <w:t>5</w:t>
      </w:r>
      <w:r>
        <w:rPr>
          <w:rFonts w:hint="eastAsia" w:cs="Times New Roman" w:asciiTheme="majorEastAsia" w:hAnsiTheme="majorEastAsia" w:eastAsiaTheme="majorEastAsia"/>
          <w:sz w:val="28"/>
          <w:szCs w:val="28"/>
        </w:rPr>
        <w:t>°认为对风电机组的发电性能会产生较大的影响。其中XX台机组存在偏航静态偏差缺陷，可能导致风电机组发电性能的损失，其中XX机组偏航静态偏差最大，为XX°，详细情况如下图所示。</w:t>
      </w:r>
    </w:p>
    <w:p>
      <w:pPr>
        <w:spacing w:line="360" w:lineRule="auto"/>
        <w:rPr>
          <w:rFonts w:cs="Times New Roman" w:asciiTheme="majorEastAsia" w:hAnsiTheme="majorEastAsia" w:eastAsiaTheme="majorEastAsia"/>
          <w:sz w:val="28"/>
          <w:szCs w:val="28"/>
        </w:rPr>
      </w:pPr>
      <w:r>
        <w:drawing>
          <wp:inline distT="0" distB="0" distL="114300" distR="114300">
            <wp:extent cx="5095240" cy="2743200"/>
            <wp:effectExtent l="0" t="0" r="0" b="0"/>
            <wp:docPr id="1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3"/>
                    <pic:cNvPicPr>
                      <a:picLocks noChangeAspect="1"/>
                    </pic:cNvPicPr>
                  </pic:nvPicPr>
                  <pic:blipFill>
                    <a:blip r:embed="rId20"/>
                    <a:srcRect b="14286"/>
                    <a:stretch>
                      <a:fillRect/>
                    </a:stretch>
                  </pic:blipFill>
                  <pic:spPr>
                    <a:xfrm>
                      <a:off x="0" y="0"/>
                      <a:ext cx="5102277" cy="2746989"/>
                    </a:xfrm>
                    <a:prstGeom prst="rect">
                      <a:avLst/>
                    </a:prstGeom>
                    <a:noFill/>
                    <a:ln>
                      <a:noFill/>
                    </a:ln>
                  </pic:spPr>
                </pic:pic>
              </a:graphicData>
            </a:graphic>
          </wp:inline>
        </w:drawing>
      </w:r>
    </w:p>
    <w:p>
      <w:pPr>
        <w:spacing w:line="360" w:lineRule="auto"/>
        <w:ind w:firstLine="564"/>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XXX风电场中风电机组偏航缺陷情况</w:t>
      </w:r>
    </w:p>
    <w:p>
      <w:pPr>
        <w:pStyle w:val="4"/>
        <w:numPr>
          <w:ilvl w:val="0"/>
          <w:numId w:val="0"/>
        </w:numPr>
        <w:ind w:left="720" w:hanging="720"/>
      </w:pPr>
      <w:bookmarkStart w:id="21" w:name="_Toc93583534"/>
      <w:r>
        <w:t>3.3.2</w:t>
      </w:r>
      <w:r>
        <w:rPr>
          <w:rFonts w:hint="eastAsia"/>
        </w:rPr>
        <w:t>偏航评价</w:t>
      </w:r>
      <w:bookmarkEnd w:id="21"/>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为了评价风电机组的偏航性能，根据偏航静态偏差的大小，将风电机组的偏航性能定义为“偏航正常”、“偏航预警”、“偏航异常”三种状态。XXX风电场各风电机组偏航静差角度及偏航评价如下表所示。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rPr>
        <w:t>XXX风电场各风电机组偏航角度及偏航评价</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8"/>
        <w:gridCol w:w="2769"/>
        <w:gridCol w:w="2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276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偏航角度</w:t>
            </w:r>
          </w:p>
        </w:tc>
        <w:tc>
          <w:tcPr>
            <w:tcW w:w="275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偏航评价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8" w:type="dxa"/>
            <w:vAlign w:val="center"/>
          </w:tcPr>
          <w:p>
            <w:pPr>
              <w:widowControl/>
              <w:jc w:val="center"/>
              <w:textAlignment w:val="center"/>
              <w:rPr>
                <w:rFonts w:cs="Times New Roman" w:asciiTheme="majorEastAsia" w:hAnsiTheme="majorEastAsia" w:eastAsiaTheme="majorEastAsia"/>
                <w:sz w:val="24"/>
                <w:szCs w:val="24"/>
              </w:rPr>
            </w:pPr>
          </w:p>
        </w:tc>
        <w:tc>
          <w:tcPr>
            <w:tcW w:w="2769" w:type="dxa"/>
            <w:vAlign w:val="center"/>
          </w:tcPr>
          <w:p>
            <w:pPr>
              <w:widowControl/>
              <w:jc w:val="center"/>
              <w:textAlignment w:val="center"/>
              <w:rPr>
                <w:rFonts w:cs="Times New Roman" w:asciiTheme="majorEastAsia" w:hAnsiTheme="majorEastAsia" w:eastAsiaTheme="majorEastAsia"/>
                <w:sz w:val="24"/>
                <w:szCs w:val="24"/>
              </w:rPr>
            </w:pPr>
          </w:p>
        </w:tc>
        <w:tc>
          <w:tcPr>
            <w:tcW w:w="2759" w:type="dxa"/>
            <w:vAlign w:val="center"/>
          </w:tcPr>
          <w:p>
            <w:pPr>
              <w:widowControl/>
              <w:jc w:val="center"/>
              <w:textAlignment w:val="center"/>
              <w:rPr>
                <w:rFonts w:cs="Times New Roman" w:asciiTheme="majorEastAsia" w:hAnsiTheme="majorEastAsia" w:eastAsiaTheme="majorEastAsia"/>
                <w:sz w:val="24"/>
                <w:szCs w:val="24"/>
              </w:rPr>
            </w:pPr>
          </w:p>
        </w:tc>
      </w:tr>
    </w:tbl>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22" w:name="_Toc93583535"/>
      <w:r>
        <w:rPr>
          <w:rFonts w:ascii="Times New Roman" w:hAnsi="Times New Roman" w:eastAsia="宋体" w:cs="Times New Roman"/>
          <w:b/>
          <w:bCs/>
          <w:sz w:val="32"/>
          <w:szCs w:val="32"/>
        </w:rPr>
        <w:t xml:space="preserve">3.4 </w:t>
      </w:r>
      <w:r>
        <w:rPr>
          <w:rFonts w:hint="eastAsia" w:ascii="Times New Roman" w:hAnsi="Times New Roman" w:eastAsia="宋体" w:cs="Times New Roman"/>
          <w:b/>
          <w:bCs/>
          <w:sz w:val="32"/>
          <w:szCs w:val="32"/>
        </w:rPr>
        <w:t>小结</w:t>
      </w:r>
      <w:bookmarkEnd w:id="22"/>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本章从发电性能一致性、发电能力指标、偏航静态偏差情况三部分对XXX风电场的整体情况及各风电机组进行了分析。由分析结果可得，在发电性能方面，编号</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的风电机组发电性能最佳，编号X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的风电机组发电性能最差；在偏航性能方面，X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台机组处于偏航正常状态，占比X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台机组处于偏航预警状态，占比X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%。偏航静态偏差处于预警状态的机组应尽快开展进一步的分析，可通过优化偏航控制参数进行优化，以消除偏差，避免发电量的损失。</w:t>
      </w:r>
    </w:p>
    <w:p>
      <w:pPr>
        <w:keepNext/>
        <w:keepLines/>
        <w:tabs>
          <w:tab w:val="left" w:pos="5124"/>
        </w:tabs>
        <w:spacing w:before="240" w:after="120" w:line="360" w:lineRule="auto"/>
        <w:outlineLvl w:val="1"/>
        <w:rPr>
          <w:rFonts w:ascii="宋体" w:hAnsi="宋体" w:eastAsia="宋体" w:cs="Times New Roman"/>
          <w:b/>
          <w:bCs/>
          <w:sz w:val="32"/>
          <w:szCs w:val="32"/>
        </w:rPr>
      </w:pPr>
      <w:bookmarkStart w:id="23" w:name="_Toc93583536"/>
      <w:r>
        <w:rPr>
          <w:rFonts w:hint="eastAsia" w:ascii="宋体" w:hAnsi="宋体" w:eastAsia="宋体" w:cs="Times New Roman"/>
          <w:b/>
          <w:bCs/>
          <w:sz w:val="32"/>
          <w:szCs w:val="32"/>
        </w:rPr>
        <w:t>四、涉网性能评价及分析</w:t>
      </w:r>
      <w:bookmarkEnd w:id="23"/>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24" w:name="_Toc93583537"/>
      <w:r>
        <w:rPr>
          <w:rFonts w:ascii="Times New Roman" w:hAnsi="Times New Roman" w:eastAsia="宋体" w:cs="Times New Roman"/>
          <w:b/>
          <w:bCs/>
          <w:sz w:val="32"/>
          <w:szCs w:val="32"/>
        </w:rPr>
        <w:t>4.1 AGC性能评价</w:t>
      </w:r>
      <w:r>
        <w:rPr>
          <w:rFonts w:hint="eastAsia" w:ascii="Times New Roman" w:hAnsi="Times New Roman" w:eastAsia="宋体" w:cs="Times New Roman"/>
          <w:b/>
          <w:bCs/>
          <w:sz w:val="32"/>
          <w:szCs w:val="32"/>
        </w:rPr>
        <w:t>及分析</w:t>
      </w:r>
      <w:bookmarkEnd w:id="24"/>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5" w:name="_Toc93583538"/>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w:t>
      </w:r>
      <w:r>
        <w:rPr>
          <w:rFonts w:hint="eastAsia" w:ascii="Times New Roman" w:hAnsi="Times New Roman" w:eastAsia="宋体" w:cs="Times New Roman"/>
          <w:b/>
          <w:bCs/>
          <w:sz w:val="32"/>
          <w:szCs w:val="32"/>
        </w:rPr>
        <w:t>1</w:t>
      </w:r>
      <w:r>
        <w:rPr>
          <w:rFonts w:ascii="Times New Roman" w:hAnsi="Times New Roman" w:eastAsia="宋体" w:cs="Times New Roman"/>
          <w:b/>
          <w:bCs/>
          <w:sz w:val="32"/>
          <w:szCs w:val="32"/>
        </w:rPr>
        <w:t>.1</w:t>
      </w:r>
      <w:r>
        <w:rPr>
          <w:rFonts w:hint="eastAsia" w:ascii="Times New Roman" w:hAnsi="Times New Roman" w:eastAsia="宋体" w:cs="Times New Roman"/>
          <w:b/>
          <w:bCs/>
          <w:sz w:val="32"/>
          <w:szCs w:val="32"/>
        </w:rPr>
        <w:t>月度跟踪评价</w:t>
      </w:r>
      <w:bookmarkEnd w:id="25"/>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AGC性能</w:t>
      </w:r>
      <w:r>
        <w:rPr>
          <w:rFonts w:hint="eastAsia" w:ascii="Times New Roman" w:hAnsi="Times New Roman" w:eastAsia="宋体" w:cs="Times New Roman"/>
          <w:sz w:val="28"/>
          <w:szCs w:val="28"/>
        </w:rPr>
        <w:t>评价</w:t>
      </w:r>
      <w:r>
        <w:rPr>
          <w:rFonts w:ascii="Times New Roman" w:hAnsi="Times New Roman" w:eastAsia="宋体" w:cs="Times New Roman"/>
          <w:sz w:val="28"/>
          <w:szCs w:val="28"/>
        </w:rPr>
        <w:t>指标主要包括调节精度、控制精度、绝对平均偏差、最大正偏差和最大负偏差</w:t>
      </w:r>
      <w:r>
        <w:rPr>
          <w:rFonts w:hint="eastAsia" w:ascii="Times New Roman" w:hAnsi="Times New Roman" w:eastAsia="宋体" w:cs="Times New Roman"/>
          <w:sz w:val="28"/>
          <w:szCs w:val="28"/>
        </w:rPr>
        <w:t>，</w:t>
      </w:r>
      <w:r>
        <w:rPr>
          <w:rFonts w:ascii="Times New Roman" w:hAnsi="Times New Roman" w:eastAsia="宋体" w:cs="Times New Roman"/>
          <w:sz w:val="28"/>
          <w:szCs w:val="28"/>
        </w:rPr>
        <w:t>这些</w:t>
      </w:r>
      <w:r>
        <w:rPr>
          <w:rFonts w:hint="eastAsia" w:ascii="Times New Roman" w:hAnsi="Times New Roman" w:eastAsia="宋体" w:cs="Times New Roman"/>
          <w:sz w:val="28"/>
          <w:szCs w:val="28"/>
        </w:rPr>
        <w:t>指标均反映了风电场响应目标出力的准确程度。</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调节精度</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实际功率与AGC指令之差的绝对值</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控制精度</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调节精度与装机容量之比</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绝对平均偏差指实际功率与AGC指令差的绝对值的平均值</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最大正/负偏差为当天调节精度的最大正/负值。</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每日</w:t>
      </w:r>
      <w:r>
        <w:rPr>
          <w:rFonts w:ascii="Times New Roman" w:hAnsi="Times New Roman" w:eastAsia="宋体" w:cs="Times New Roman"/>
          <w:sz w:val="28"/>
          <w:szCs w:val="28"/>
        </w:rPr>
        <w:t>AGC性能进行统计，得到图4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4</w:t>
      </w:r>
      <w:r>
        <w:rPr>
          <w:rFonts w:hint="eastAsia" w:ascii="Times New Roman" w:hAnsi="Times New Roman" w:eastAsia="宋体" w:cs="Times New Roman"/>
          <w:sz w:val="28"/>
          <w:szCs w:val="28"/>
        </w:rPr>
        <w:t>-</w:t>
      </w:r>
      <w:r>
        <w:rPr>
          <w:rFonts w:ascii="Times New Roman" w:hAnsi="Times New Roman" w:eastAsia="宋体" w:cs="Times New Roman"/>
          <w:sz w:val="28"/>
          <w:szCs w:val="28"/>
        </w:rPr>
        <w:t>2。</w:t>
      </w:r>
    </w:p>
    <w:p>
      <w:pPr>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3488690" cy="2543810"/>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1"/>
                    <a:stretch>
                      <a:fillRect/>
                    </a:stretch>
                  </pic:blipFill>
                  <pic:spPr>
                    <a:xfrm>
                      <a:off x="0" y="0"/>
                      <a:ext cx="3498762" cy="2551181"/>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图4-1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月AGC调节精度</w:t>
      </w:r>
      <w:r>
        <w:rPr>
          <w:rFonts w:hint="eastAsia" w:ascii="Times New Roman" w:hAnsi="Times New Roman" w:eastAsia="宋体" w:cs="Times New Roman"/>
          <w:sz w:val="24"/>
          <w:szCs w:val="24"/>
        </w:rPr>
        <w:t>统计</w:t>
      </w:r>
      <w:r>
        <w:rPr>
          <w:rFonts w:ascii="Times New Roman" w:hAnsi="Times New Roman" w:eastAsia="宋体" w:cs="Times New Roman"/>
          <w:sz w:val="24"/>
          <w:szCs w:val="24"/>
        </w:rPr>
        <w:t>图</w:t>
      </w: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0975" cy="1224915"/>
            <wp:effectExtent l="0" t="0" r="15875" b="133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5260975" cy="122491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图4-2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月AGC性能分析图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XX年X月AGC平均调节精度为X%，同比增长/下降X%，环比增长/下降X%。</w:t>
      </w:r>
      <w:r>
        <w:rPr>
          <w:rFonts w:ascii="Times New Roman" w:hAnsi="Times New Roman" w:eastAsia="宋体" w:cs="Times New Roman"/>
          <w:sz w:val="28"/>
          <w:szCs w:val="28"/>
        </w:rPr>
        <w:t>其中调节精度小于1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%，调节精度在1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到3%之间的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%，调节精度在3%以上的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1月</w:t>
      </w:r>
      <w:r>
        <w:rPr>
          <w:rFonts w:hint="eastAsia" w:ascii="Times New Roman" w:hAnsi="Times New Roman" w:eastAsia="宋体" w:cs="Times New Roman"/>
          <w:sz w:val="28"/>
          <w:szCs w:val="28"/>
        </w:rPr>
        <w:t>每日</w:t>
      </w:r>
      <w:r>
        <w:rPr>
          <w:rFonts w:ascii="Times New Roman" w:hAnsi="Times New Roman" w:eastAsia="宋体" w:cs="Times New Roman"/>
          <w:sz w:val="28"/>
          <w:szCs w:val="28"/>
        </w:rPr>
        <w:t>AGC性能进行统计，得到图4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3</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4</w:t>
      </w:r>
      <w:r>
        <w:rPr>
          <w:rFonts w:hint="eastAsia" w:ascii="Times New Roman" w:hAnsi="Times New Roman" w:eastAsia="宋体" w:cs="Times New Roman"/>
          <w:sz w:val="28"/>
          <w:szCs w:val="28"/>
        </w:rPr>
        <w:t>-</w:t>
      </w:r>
      <w:r>
        <w:rPr>
          <w:rFonts w:ascii="Times New Roman" w:hAnsi="Times New Roman" w:eastAsia="宋体" w:cs="Times New Roman"/>
          <w:sz w:val="28"/>
          <w:szCs w:val="28"/>
        </w:rPr>
        <w:t>4。</w:t>
      </w:r>
    </w:p>
    <w:p>
      <w:pPr>
        <w:ind w:firstLine="480"/>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3488690" cy="2543810"/>
            <wp:effectExtent l="0" t="0" r="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1"/>
                    <a:stretch>
                      <a:fillRect/>
                    </a:stretch>
                  </pic:blipFill>
                  <pic:spPr>
                    <a:xfrm>
                      <a:off x="0" y="0"/>
                      <a:ext cx="3498762" cy="2551181"/>
                    </a:xfrm>
                    <a:prstGeom prst="rect">
                      <a:avLst/>
                    </a:prstGeom>
                    <a:noFill/>
                    <a:ln>
                      <a:noFill/>
                    </a:ln>
                  </pic:spPr>
                </pic:pic>
              </a:graphicData>
            </a:graphic>
          </wp:inline>
        </w:drawing>
      </w:r>
    </w:p>
    <w:p>
      <w:pPr>
        <w:ind w:firstLine="480"/>
        <w:jc w:val="center"/>
        <w:rPr>
          <w:rFonts w:ascii="Times New Roman" w:hAnsi="Times New Roman" w:eastAsia="宋体" w:cs="Times New Roman"/>
          <w:sz w:val="24"/>
          <w:szCs w:val="24"/>
        </w:rPr>
      </w:pPr>
      <w:r>
        <w:rPr>
          <w:rFonts w:ascii="Times New Roman" w:hAnsi="Times New Roman" w:eastAsia="宋体" w:cs="Times New Roman"/>
          <w:sz w:val="24"/>
          <w:szCs w:val="24"/>
        </w:rPr>
        <w:t>图4-3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月AGC调节精度</w:t>
      </w:r>
      <w:r>
        <w:rPr>
          <w:rFonts w:hint="eastAsia" w:ascii="Times New Roman" w:hAnsi="Times New Roman" w:eastAsia="宋体" w:cs="Times New Roman"/>
          <w:sz w:val="24"/>
          <w:szCs w:val="24"/>
        </w:rPr>
        <w:t>统计</w:t>
      </w:r>
      <w:r>
        <w:rPr>
          <w:rFonts w:ascii="Times New Roman" w:hAnsi="Times New Roman" w:eastAsia="宋体" w:cs="Times New Roman"/>
          <w:sz w:val="24"/>
          <w:szCs w:val="24"/>
        </w:rPr>
        <w:t>图</w:t>
      </w:r>
    </w:p>
    <w:p>
      <w:pPr>
        <w:ind w:firstLine="480"/>
        <w:rPr>
          <w:rFonts w:ascii="Times New Roman" w:hAnsi="Times New Roman" w:eastAsia="宋体" w:cs="Times New Roman"/>
        </w:rPr>
      </w:pPr>
      <w:r>
        <w:rPr>
          <w:rFonts w:ascii="Times New Roman" w:hAnsi="Times New Roman" w:eastAsia="宋体" w:cs="Times New Roman"/>
        </w:rPr>
        <w:drawing>
          <wp:inline distT="0" distB="0" distL="114300" distR="114300">
            <wp:extent cx="5260975" cy="1224915"/>
            <wp:effectExtent l="0" t="0" r="15875" b="133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2"/>
                    <a:stretch>
                      <a:fillRect/>
                    </a:stretch>
                  </pic:blipFill>
                  <pic:spPr>
                    <a:xfrm>
                      <a:off x="0" y="0"/>
                      <a:ext cx="5260975" cy="1224915"/>
                    </a:xfrm>
                    <a:prstGeom prst="rect">
                      <a:avLst/>
                    </a:prstGeom>
                    <a:noFill/>
                    <a:ln>
                      <a:noFill/>
                    </a:ln>
                  </pic:spPr>
                </pic:pic>
              </a:graphicData>
            </a:graphic>
          </wp:inline>
        </w:drawing>
      </w:r>
    </w:p>
    <w:p>
      <w:pPr>
        <w:ind w:firstLine="480"/>
        <w:jc w:val="center"/>
        <w:rPr>
          <w:rFonts w:ascii="Times New Roman" w:hAnsi="Times New Roman" w:eastAsia="宋体" w:cs="Times New Roman"/>
          <w:sz w:val="24"/>
          <w:szCs w:val="24"/>
        </w:rPr>
      </w:pPr>
      <w:r>
        <w:rPr>
          <w:rFonts w:ascii="Times New Roman" w:hAnsi="Times New Roman" w:eastAsia="宋体" w:cs="Times New Roman"/>
          <w:sz w:val="24"/>
          <w:szCs w:val="24"/>
        </w:rPr>
        <w:t>图4-4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月AGC性能分析图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XX年X月AGC平均调节精度为X%，同比增长/下降X%，环比增长/下降X%。</w:t>
      </w:r>
      <w:r>
        <w:rPr>
          <w:rFonts w:ascii="Times New Roman" w:hAnsi="Times New Roman" w:eastAsia="宋体" w:cs="Times New Roman"/>
          <w:sz w:val="28"/>
          <w:szCs w:val="28"/>
        </w:rPr>
        <w:t>其中调节精度小于1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%，调节精度在1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到3%之间</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的占比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%，调节精度在3%以上</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的占比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2月</w:t>
      </w:r>
      <w:r>
        <w:rPr>
          <w:rFonts w:hint="eastAsia" w:ascii="Times New Roman" w:hAnsi="Times New Roman" w:eastAsia="宋体" w:cs="Times New Roman"/>
          <w:sz w:val="28"/>
          <w:szCs w:val="28"/>
        </w:rPr>
        <w:t>每日</w:t>
      </w:r>
      <w:r>
        <w:rPr>
          <w:rFonts w:ascii="Times New Roman" w:hAnsi="Times New Roman" w:eastAsia="宋体" w:cs="Times New Roman"/>
          <w:sz w:val="28"/>
          <w:szCs w:val="28"/>
        </w:rPr>
        <w:t>AGC性能进行统计，得到图4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5</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4</w:t>
      </w:r>
      <w:r>
        <w:rPr>
          <w:rFonts w:hint="eastAsia" w:ascii="Times New Roman" w:hAnsi="Times New Roman" w:eastAsia="宋体" w:cs="Times New Roman"/>
          <w:sz w:val="28"/>
          <w:szCs w:val="28"/>
        </w:rPr>
        <w:t>-</w:t>
      </w:r>
      <w:r>
        <w:rPr>
          <w:rFonts w:ascii="Times New Roman" w:hAnsi="Times New Roman" w:eastAsia="宋体" w:cs="Times New Roman"/>
          <w:sz w:val="28"/>
          <w:szCs w:val="28"/>
        </w:rPr>
        <w:t>6。</w:t>
      </w:r>
    </w:p>
    <w:p>
      <w:pPr>
        <w:ind w:firstLine="480"/>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3488690" cy="2543810"/>
            <wp:effectExtent l="0" t="0" r="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1"/>
                    <a:stretch>
                      <a:fillRect/>
                    </a:stretch>
                  </pic:blipFill>
                  <pic:spPr>
                    <a:xfrm>
                      <a:off x="0" y="0"/>
                      <a:ext cx="3498762" cy="2551181"/>
                    </a:xfrm>
                    <a:prstGeom prst="rect">
                      <a:avLst/>
                    </a:prstGeom>
                    <a:noFill/>
                    <a:ln>
                      <a:noFill/>
                    </a:ln>
                  </pic:spPr>
                </pic:pic>
              </a:graphicData>
            </a:graphic>
          </wp:inline>
        </w:drawing>
      </w:r>
    </w:p>
    <w:p>
      <w:pPr>
        <w:ind w:firstLine="480"/>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图4-5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月AGC调节精度</w:t>
      </w:r>
      <w:r>
        <w:rPr>
          <w:rFonts w:hint="eastAsia" w:ascii="Times New Roman" w:hAnsi="Times New Roman" w:eastAsia="宋体" w:cs="Times New Roman"/>
          <w:sz w:val="24"/>
          <w:szCs w:val="24"/>
        </w:rPr>
        <w:t>统计</w:t>
      </w:r>
      <w:r>
        <w:rPr>
          <w:rFonts w:ascii="Times New Roman" w:hAnsi="Times New Roman" w:eastAsia="宋体" w:cs="Times New Roman"/>
          <w:sz w:val="24"/>
          <w:szCs w:val="24"/>
        </w:rPr>
        <w:t>图</w:t>
      </w:r>
    </w:p>
    <w:p>
      <w:pPr>
        <w:rPr>
          <w:rFonts w:ascii="Times New Roman" w:hAnsi="Times New Roman" w:eastAsia="宋体" w:cs="Times New Roman"/>
          <w:sz w:val="28"/>
          <w:szCs w:val="28"/>
        </w:rPr>
      </w:pPr>
    </w:p>
    <w:p>
      <w:pPr>
        <w:ind w:firstLine="480"/>
        <w:rPr>
          <w:rFonts w:ascii="Times New Roman" w:hAnsi="Times New Roman" w:eastAsia="宋体" w:cs="Times New Roman"/>
        </w:rPr>
      </w:pPr>
      <w:r>
        <w:rPr>
          <w:rFonts w:ascii="Times New Roman" w:hAnsi="Times New Roman" w:eastAsia="宋体" w:cs="Times New Roman"/>
        </w:rPr>
        <w:drawing>
          <wp:inline distT="0" distB="0" distL="114300" distR="114300">
            <wp:extent cx="5260975" cy="1224915"/>
            <wp:effectExtent l="0" t="0" r="1587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5260975" cy="1224915"/>
                    </a:xfrm>
                    <a:prstGeom prst="rect">
                      <a:avLst/>
                    </a:prstGeom>
                    <a:noFill/>
                    <a:ln>
                      <a:noFill/>
                    </a:ln>
                  </pic:spPr>
                </pic:pic>
              </a:graphicData>
            </a:graphic>
          </wp:inline>
        </w:drawing>
      </w:r>
    </w:p>
    <w:p>
      <w:pPr>
        <w:ind w:firstLine="480"/>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图4-6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月AGC性能分析图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XX年X月AGC平均调节精度为X%，同比增长/下降X%，环比增长/下降X%。</w:t>
      </w:r>
      <w:r>
        <w:rPr>
          <w:rFonts w:ascii="Times New Roman" w:hAnsi="Times New Roman" w:eastAsia="宋体" w:cs="Times New Roman"/>
          <w:sz w:val="28"/>
          <w:szCs w:val="28"/>
        </w:rPr>
        <w:t>其中调节精度小于1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%，调节精度在1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到3%之间</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的占比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%，调节精度在3%以上的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rPr>
        <w:t>X</w:t>
      </w:r>
      <w:r>
        <w:rPr>
          <w:rFonts w:ascii="Times New Roman" w:hAnsi="Times New Roman" w:eastAsia="宋体" w:cs="Times New Roman"/>
          <w:sz w:val="28"/>
          <w:szCs w:val="28"/>
        </w:rPr>
        <w:t>%。</w:t>
      </w: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6" w:name="_Toc93583539"/>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w:t>
      </w:r>
      <w:r>
        <w:rPr>
          <w:rFonts w:hint="eastAsia" w:ascii="Times New Roman" w:hAnsi="Times New Roman" w:eastAsia="宋体" w:cs="Times New Roman"/>
          <w:b/>
          <w:bCs/>
          <w:sz w:val="32"/>
          <w:szCs w:val="32"/>
        </w:rPr>
        <w:t>1</w:t>
      </w:r>
      <w:r>
        <w:rPr>
          <w:rFonts w:ascii="Times New Roman" w:hAnsi="Times New Roman" w:eastAsia="宋体" w:cs="Times New Roman"/>
          <w:b/>
          <w:bCs/>
          <w:sz w:val="32"/>
          <w:szCs w:val="32"/>
        </w:rPr>
        <w:t>.2</w:t>
      </w:r>
      <w:r>
        <w:rPr>
          <w:rFonts w:hint="eastAsia" w:ascii="Times New Roman" w:hAnsi="Times New Roman" w:eastAsia="宋体" w:cs="Times New Roman"/>
          <w:b/>
          <w:bCs/>
          <w:sz w:val="32"/>
          <w:szCs w:val="32"/>
        </w:rPr>
        <w:t>典型日运行情况分析</w:t>
      </w:r>
      <w:bookmarkEnd w:id="26"/>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XXX风电场</w:t>
      </w:r>
      <w:r>
        <w:rPr>
          <w:rFonts w:hint="eastAsia" w:ascii="Times New Roman" w:hAnsi="Times New Roman" w:eastAsia="宋体" w:cs="Times New Roman"/>
          <w:sz w:val="28"/>
          <w:szCs w:val="28"/>
        </w:rPr>
        <w:t>XX年第X季度运行期间</w:t>
      </w:r>
      <w:r>
        <w:rPr>
          <w:rFonts w:ascii="Times New Roman" w:hAnsi="Times New Roman" w:eastAsia="宋体" w:cs="Times New Roman"/>
          <w:sz w:val="28"/>
          <w:szCs w:val="28"/>
        </w:rPr>
        <w:t>，</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日AGC控制精度最佳，达到</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%，当日的AGC控制曲线如图4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7所示</w:t>
      </w:r>
      <w:r>
        <w:rPr>
          <w:rFonts w:hint="eastAsia" w:ascii="Times New Roman" w:hAnsi="Times New Roman" w:eastAsia="宋体" w:cs="Times New Roman"/>
          <w:sz w:val="28"/>
          <w:szCs w:val="28"/>
        </w:rPr>
        <w:t>。</w:t>
      </w:r>
    </w:p>
    <w:p>
      <w:pPr>
        <w:jc w:val="center"/>
        <w:rPr>
          <w:rFonts w:ascii="Times New Roman" w:hAnsi="Times New Roman" w:eastAsia="宋体" w:cs="Times New Roman"/>
          <w:sz w:val="28"/>
          <w:szCs w:val="28"/>
        </w:rPr>
      </w:pPr>
      <w:r>
        <w:rPr>
          <w:rFonts w:ascii="Times New Roman" w:hAnsi="Times New Roman" w:eastAsia="宋体" w:cs="Times New Roman"/>
        </w:rPr>
        <w:drawing>
          <wp:inline distT="0" distB="0" distL="114300" distR="114300">
            <wp:extent cx="5265420" cy="1971675"/>
            <wp:effectExtent l="0" t="0" r="1143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3"/>
                    <a:stretch>
                      <a:fillRect/>
                    </a:stretch>
                  </pic:blipFill>
                  <pic:spPr>
                    <a:xfrm>
                      <a:off x="0" y="0"/>
                      <a:ext cx="5265420" cy="197167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7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日AGC控制曲线图</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XXX风电场</w:t>
      </w:r>
      <w:r>
        <w:rPr>
          <w:rFonts w:hint="eastAsia" w:ascii="Times New Roman" w:hAnsi="Times New Roman" w:eastAsia="宋体" w:cs="Times New Roman"/>
          <w:sz w:val="28"/>
          <w:szCs w:val="28"/>
        </w:rPr>
        <w:t>XX年第X季度运行期间</w:t>
      </w:r>
      <w:r>
        <w:rPr>
          <w:rFonts w:ascii="Times New Roman" w:hAnsi="Times New Roman" w:eastAsia="宋体" w:cs="Times New Roman"/>
          <w:sz w:val="28"/>
          <w:szCs w:val="28"/>
        </w:rPr>
        <w:t>，</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日AGC控制精度最差，达到</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%，当日的AGC控制曲线如图</w:t>
      </w:r>
      <w:r>
        <w:rPr>
          <w:rFonts w:hint="eastAsia" w:ascii="Times New Roman" w:hAnsi="Times New Roman" w:eastAsia="宋体" w:cs="Times New Roman"/>
          <w:sz w:val="28"/>
          <w:szCs w:val="28"/>
        </w:rPr>
        <w:t>4-</w:t>
      </w:r>
      <w:r>
        <w:rPr>
          <w:rFonts w:ascii="Times New Roman" w:hAnsi="Times New Roman" w:eastAsia="宋体" w:cs="Times New Roman"/>
          <w:sz w:val="28"/>
          <w:szCs w:val="28"/>
        </w:rPr>
        <w:t>8所示。</w:t>
      </w:r>
    </w:p>
    <w:p>
      <w:pPr>
        <w:jc w:val="center"/>
        <w:rPr>
          <w:rFonts w:ascii="Times New Roman" w:hAnsi="Times New Roman" w:eastAsia="宋体" w:cs="Times New Roman"/>
          <w:sz w:val="28"/>
          <w:szCs w:val="28"/>
        </w:rPr>
      </w:pPr>
      <w:r>
        <w:rPr>
          <w:rFonts w:ascii="Times New Roman" w:hAnsi="Times New Roman" w:eastAsia="宋体" w:cs="Times New Roman"/>
        </w:rPr>
        <w:drawing>
          <wp:inline distT="0" distB="0" distL="114300" distR="114300">
            <wp:extent cx="5265420" cy="1980565"/>
            <wp:effectExtent l="0" t="0" r="1143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4"/>
                    <a:stretch>
                      <a:fillRect/>
                    </a:stretch>
                  </pic:blipFill>
                  <pic:spPr>
                    <a:xfrm>
                      <a:off x="0" y="0"/>
                      <a:ext cx="5265420" cy="198056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8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日AGC控制曲线图</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sz w:val="32"/>
          <w:szCs w:val="32"/>
        </w:rPr>
      </w:pPr>
      <w:bookmarkStart w:id="27" w:name="_Toc91506140"/>
      <w:bookmarkStart w:id="28" w:name="_Toc93583540"/>
      <w:r>
        <w:rPr>
          <w:rFonts w:ascii="Times New Roman" w:hAnsi="Times New Roman" w:eastAsia="宋体" w:cs="Times New Roman"/>
          <w:b/>
          <w:bCs/>
          <w:sz w:val="32"/>
          <w:szCs w:val="32"/>
        </w:rPr>
        <w:t>4.2 AVC性能评价</w:t>
      </w:r>
      <w:bookmarkEnd w:id="27"/>
      <w:r>
        <w:rPr>
          <w:rFonts w:hint="eastAsia" w:ascii="Times New Roman" w:hAnsi="Times New Roman" w:eastAsia="宋体" w:cs="Times New Roman"/>
          <w:b/>
          <w:bCs/>
          <w:sz w:val="32"/>
          <w:szCs w:val="32"/>
        </w:rPr>
        <w:t>及分析</w:t>
      </w:r>
      <w:bookmarkEnd w:id="28"/>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9" w:name="_Toc93583541"/>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.2.1</w:t>
      </w:r>
      <w:r>
        <w:rPr>
          <w:rFonts w:hint="eastAsia" w:ascii="Times New Roman" w:hAnsi="Times New Roman" w:eastAsia="宋体" w:cs="Times New Roman"/>
          <w:b/>
          <w:bCs/>
          <w:sz w:val="32"/>
          <w:szCs w:val="32"/>
        </w:rPr>
        <w:t>月度跟踪评价</w:t>
      </w:r>
      <w:bookmarkEnd w:id="29"/>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场站AVC性能指标主要包括控制偏差和</w:t>
      </w:r>
      <w:r>
        <w:rPr>
          <w:rFonts w:hint="eastAsia" w:ascii="Times New Roman" w:hAnsi="Times New Roman" w:eastAsia="宋体" w:cs="Times New Roman"/>
          <w:sz w:val="28"/>
          <w:szCs w:val="28"/>
        </w:rPr>
        <w:t>电压</w:t>
      </w:r>
      <w:r>
        <w:rPr>
          <w:rFonts w:ascii="Times New Roman" w:hAnsi="Times New Roman" w:eastAsia="宋体" w:cs="Times New Roman"/>
          <w:sz w:val="28"/>
          <w:szCs w:val="28"/>
        </w:rPr>
        <w:t>合格率</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在调压过程中，调度每</w:t>
      </w:r>
      <w:r>
        <w:rPr>
          <w:rFonts w:ascii="Times New Roman" w:hAnsi="Times New Roman" w:eastAsia="宋体" w:cs="Times New Roman"/>
          <w:sz w:val="28"/>
          <w:szCs w:val="28"/>
        </w:rPr>
        <w:t>5min下发一个指令值</w:t>
      </w:r>
      <w:r>
        <w:rPr>
          <w:rFonts w:hint="eastAsia" w:ascii="Times New Roman" w:hAnsi="Times New Roman" w:eastAsia="宋体" w:cs="Times New Roman"/>
          <w:sz w:val="28"/>
          <w:szCs w:val="28"/>
        </w:rPr>
        <w:t>，</w:t>
      </w:r>
      <w:r>
        <w:rPr>
          <w:rFonts w:ascii="Times New Roman" w:hAnsi="Times New Roman" w:eastAsia="宋体" w:cs="Times New Roman"/>
          <w:sz w:val="28"/>
          <w:szCs w:val="28"/>
        </w:rPr>
        <w:t>从2min30s开始每隔30s采集一次并网点实际电压。控制偏差</w:t>
      </w:r>
      <w:r>
        <w:rPr>
          <w:rFonts w:hint="eastAsia" w:ascii="Times New Roman" w:hAnsi="Times New Roman" w:eastAsia="宋体" w:cs="Times New Roman"/>
          <w:sz w:val="28"/>
          <w:szCs w:val="28"/>
        </w:rPr>
        <w:t>是指这</w:t>
      </w:r>
      <w:r>
        <w:rPr>
          <w:rFonts w:ascii="Times New Roman" w:hAnsi="Times New Roman" w:eastAsia="宋体" w:cs="Times New Roman"/>
          <w:sz w:val="28"/>
          <w:szCs w:val="28"/>
        </w:rPr>
        <w:t>5个实测电压平均值与AVC指令电压的差值，反映了AVC</w:t>
      </w:r>
      <w:r>
        <w:rPr>
          <w:rFonts w:hint="eastAsia" w:ascii="Times New Roman" w:hAnsi="Times New Roman" w:eastAsia="宋体" w:cs="Times New Roman"/>
          <w:sz w:val="28"/>
          <w:szCs w:val="28"/>
        </w:rPr>
        <w:t>电压调节的精确度。</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电压</w:t>
      </w:r>
      <w:r>
        <w:rPr>
          <w:rFonts w:ascii="Times New Roman" w:hAnsi="Times New Roman" w:eastAsia="宋体" w:cs="Times New Roman"/>
          <w:sz w:val="28"/>
          <w:szCs w:val="28"/>
        </w:rPr>
        <w:t>合格率指实测电压平均值与AVC指令电压差值的绝对值小于500V的个数与AVC指令电压个数的比，反映了一段时间内场站电压合格情况，是调度</w:t>
      </w:r>
      <w:r>
        <w:rPr>
          <w:rFonts w:hint="eastAsia" w:ascii="Times New Roman" w:hAnsi="Times New Roman" w:eastAsia="宋体" w:cs="Times New Roman"/>
          <w:sz w:val="28"/>
          <w:szCs w:val="28"/>
        </w:rPr>
        <w:t>对电压</w:t>
      </w:r>
      <w:r>
        <w:rPr>
          <w:rFonts w:ascii="Times New Roman" w:hAnsi="Times New Roman" w:eastAsia="宋体" w:cs="Times New Roman"/>
          <w:sz w:val="28"/>
          <w:szCs w:val="28"/>
        </w:rPr>
        <w:t>考核的一项重要指标</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至X</w:t>
      </w:r>
      <w:r>
        <w:rPr>
          <w:rFonts w:ascii="Times New Roman" w:hAnsi="Times New Roman" w:eastAsia="宋体" w:cs="Times New Roman"/>
          <w:sz w:val="28"/>
          <w:szCs w:val="28"/>
        </w:rPr>
        <w:t>月的</w:t>
      </w:r>
      <w:r>
        <w:rPr>
          <w:rFonts w:hint="eastAsia" w:ascii="Times New Roman" w:hAnsi="Times New Roman" w:eastAsia="宋体" w:cs="Times New Roman"/>
          <w:sz w:val="28"/>
          <w:szCs w:val="28"/>
        </w:rPr>
        <w:t>AVC性能指标</w:t>
      </w:r>
      <w:r>
        <w:rPr>
          <w:rFonts w:ascii="Times New Roman" w:hAnsi="Times New Roman" w:eastAsia="宋体" w:cs="Times New Roman"/>
          <w:sz w:val="28"/>
          <w:szCs w:val="28"/>
        </w:rPr>
        <w:t>进行统计，得到</w:t>
      </w:r>
      <w:r>
        <w:rPr>
          <w:rFonts w:hint="eastAsia" w:ascii="Times New Roman" w:hAnsi="Times New Roman" w:eastAsia="宋体" w:cs="Times New Roman"/>
          <w:sz w:val="28"/>
          <w:szCs w:val="28"/>
        </w:rPr>
        <w:t>表4-</w:t>
      </w:r>
      <w:r>
        <w:rPr>
          <w:rFonts w:ascii="Times New Roman" w:hAnsi="Times New Roman" w:eastAsia="宋体" w:cs="Times New Roman"/>
          <w:sz w:val="28"/>
          <w:szCs w:val="28"/>
        </w:rPr>
        <w:t>1</w:t>
      </w:r>
      <w:r>
        <w:rPr>
          <w:rFonts w:hint="eastAsia" w:ascii="Times New Roman" w:hAnsi="Times New Roman" w:eastAsia="宋体" w:cs="Times New Roman"/>
          <w:sz w:val="28"/>
          <w:szCs w:val="28"/>
        </w:rPr>
        <w:t>如下。</w:t>
      </w:r>
    </w:p>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 xml:space="preserve">表 </w:t>
      </w:r>
      <w:r>
        <w:rPr>
          <w:rFonts w:ascii="Times New Roman" w:hAnsi="Times New Roman" w:eastAsia="宋体" w:cs="Times New Roman"/>
          <w:sz w:val="28"/>
          <w:szCs w:val="28"/>
        </w:rPr>
        <w:t>4</w:t>
      </w:r>
      <w:r>
        <w:rPr>
          <w:rFonts w:hint="eastAsia" w:ascii="Times New Roman" w:hAnsi="Times New Roman" w:eastAsia="宋体" w:cs="Times New Roman"/>
          <w:sz w:val="28"/>
          <w:szCs w:val="28"/>
        </w:rPr>
        <w:t>-</w:t>
      </w:r>
      <w:r>
        <w:rPr>
          <w:rFonts w:ascii="Times New Roman" w:hAnsi="Times New Roman" w:eastAsia="宋体" w:cs="Times New Roman"/>
          <w:sz w:val="28"/>
          <w:szCs w:val="28"/>
        </w:rPr>
        <w:t>1 X</w:t>
      </w:r>
      <w:r>
        <w:rPr>
          <w:rFonts w:hint="eastAsia" w:ascii="Times New Roman" w:hAnsi="Times New Roman" w:eastAsia="宋体" w:cs="Times New Roman"/>
          <w:sz w:val="28"/>
          <w:szCs w:val="28"/>
        </w:rPr>
        <w:t>XX风电场XX年第X季度AVC性能指标统计表</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185"/>
        <w:gridCol w:w="1185"/>
        <w:gridCol w:w="1185"/>
        <w:gridCol w:w="1185"/>
        <w:gridCol w:w="1185"/>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Merge w:val="restart"/>
            <w:vAlign w:val="center"/>
          </w:tcPr>
          <w:p>
            <w:pPr>
              <w:jc w:val="center"/>
              <w:rPr>
                <w:rFonts w:ascii="Calibri" w:hAnsi="Calibri"/>
                <w:sz w:val="28"/>
                <w:szCs w:val="28"/>
              </w:rPr>
            </w:pPr>
            <w:r>
              <w:rPr>
                <w:rFonts w:hint="eastAsia" w:ascii="Calibri" w:hAnsi="Calibri"/>
                <w:sz w:val="28"/>
                <w:szCs w:val="28"/>
              </w:rPr>
              <w:t>时间</w:t>
            </w:r>
          </w:p>
        </w:tc>
        <w:tc>
          <w:tcPr>
            <w:tcW w:w="3555" w:type="dxa"/>
            <w:gridSpan w:val="3"/>
            <w:vAlign w:val="center"/>
          </w:tcPr>
          <w:p>
            <w:pPr>
              <w:jc w:val="center"/>
              <w:rPr>
                <w:rFonts w:ascii="Calibri" w:hAnsi="Calibri"/>
                <w:sz w:val="28"/>
                <w:szCs w:val="28"/>
              </w:rPr>
            </w:pPr>
            <w:r>
              <w:rPr>
                <w:rFonts w:hint="eastAsia" w:ascii="Calibri" w:hAnsi="Calibri"/>
                <w:sz w:val="28"/>
                <w:szCs w:val="28"/>
              </w:rPr>
              <w:t>控制偏差</w:t>
            </w:r>
          </w:p>
        </w:tc>
        <w:tc>
          <w:tcPr>
            <w:tcW w:w="3556" w:type="dxa"/>
            <w:gridSpan w:val="3"/>
            <w:vAlign w:val="center"/>
          </w:tcPr>
          <w:p>
            <w:pPr>
              <w:jc w:val="center"/>
              <w:rPr>
                <w:rFonts w:ascii="Calibri" w:hAnsi="Calibri"/>
                <w:sz w:val="28"/>
                <w:szCs w:val="28"/>
              </w:rPr>
            </w:pPr>
            <w:r>
              <w:rPr>
                <w:rFonts w:hint="eastAsia" w:ascii="Calibri" w:hAnsi="Calibri"/>
                <w:sz w:val="28"/>
                <w:szCs w:val="28"/>
              </w:rPr>
              <w:t>合格率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continue"/>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r>
              <w:rPr>
                <w:rFonts w:hint="eastAsia" w:ascii="Calibri" w:hAnsi="Calibri"/>
                <w:sz w:val="28"/>
                <w:szCs w:val="28"/>
              </w:rPr>
              <w:t>最大值</w:t>
            </w:r>
          </w:p>
        </w:tc>
        <w:tc>
          <w:tcPr>
            <w:tcW w:w="1185" w:type="dxa"/>
            <w:vAlign w:val="center"/>
          </w:tcPr>
          <w:p>
            <w:pPr>
              <w:jc w:val="center"/>
              <w:rPr>
                <w:rFonts w:ascii="Calibri" w:hAnsi="Calibri"/>
                <w:sz w:val="28"/>
                <w:szCs w:val="28"/>
              </w:rPr>
            </w:pPr>
            <w:r>
              <w:rPr>
                <w:rFonts w:hint="eastAsia" w:ascii="Calibri" w:hAnsi="Calibri"/>
                <w:sz w:val="28"/>
                <w:szCs w:val="28"/>
              </w:rPr>
              <w:t>最小值</w:t>
            </w:r>
          </w:p>
        </w:tc>
        <w:tc>
          <w:tcPr>
            <w:tcW w:w="1185" w:type="dxa"/>
            <w:vAlign w:val="center"/>
          </w:tcPr>
          <w:p>
            <w:pPr>
              <w:jc w:val="center"/>
              <w:rPr>
                <w:rFonts w:ascii="Calibri" w:hAnsi="Calibri"/>
                <w:sz w:val="28"/>
                <w:szCs w:val="28"/>
              </w:rPr>
            </w:pPr>
            <w:r>
              <w:rPr>
                <w:rFonts w:hint="eastAsia" w:ascii="Calibri" w:hAnsi="Calibri"/>
                <w:sz w:val="28"/>
                <w:szCs w:val="28"/>
              </w:rPr>
              <w:t>平均值</w:t>
            </w:r>
          </w:p>
        </w:tc>
        <w:tc>
          <w:tcPr>
            <w:tcW w:w="1185" w:type="dxa"/>
            <w:vAlign w:val="center"/>
          </w:tcPr>
          <w:p>
            <w:pPr>
              <w:jc w:val="center"/>
              <w:rPr>
                <w:rFonts w:ascii="Calibri" w:hAnsi="Calibri"/>
                <w:sz w:val="28"/>
                <w:szCs w:val="28"/>
              </w:rPr>
            </w:pPr>
            <w:r>
              <w:rPr>
                <w:rFonts w:hint="eastAsia" w:ascii="Calibri" w:hAnsi="Calibri"/>
                <w:sz w:val="28"/>
                <w:szCs w:val="28"/>
              </w:rPr>
              <w:t>最大值</w:t>
            </w:r>
          </w:p>
        </w:tc>
        <w:tc>
          <w:tcPr>
            <w:tcW w:w="1185" w:type="dxa"/>
            <w:vAlign w:val="center"/>
          </w:tcPr>
          <w:p>
            <w:pPr>
              <w:jc w:val="center"/>
              <w:rPr>
                <w:rFonts w:ascii="Calibri" w:hAnsi="Calibri"/>
                <w:sz w:val="28"/>
                <w:szCs w:val="28"/>
              </w:rPr>
            </w:pPr>
            <w:r>
              <w:rPr>
                <w:rFonts w:hint="eastAsia" w:ascii="Calibri" w:hAnsi="Calibri"/>
                <w:sz w:val="28"/>
                <w:szCs w:val="28"/>
              </w:rPr>
              <w:t>最小值</w:t>
            </w:r>
          </w:p>
        </w:tc>
        <w:tc>
          <w:tcPr>
            <w:tcW w:w="1186" w:type="dxa"/>
            <w:vAlign w:val="center"/>
          </w:tcPr>
          <w:p>
            <w:pPr>
              <w:jc w:val="center"/>
              <w:rPr>
                <w:rFonts w:ascii="Calibri" w:hAnsi="Calibri"/>
                <w:sz w:val="28"/>
                <w:szCs w:val="28"/>
              </w:rPr>
            </w:pPr>
            <w:r>
              <w:rPr>
                <w:rFonts w:hint="eastAsia" w:ascii="Calibri" w:hAnsi="Calibri"/>
                <w:sz w:val="28"/>
                <w:szCs w:val="28"/>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sz w:val="28"/>
                <w:szCs w:val="28"/>
              </w:rPr>
            </w:pPr>
            <w:r>
              <w:rPr>
                <w:sz w:val="28"/>
                <w:szCs w:val="28"/>
              </w:rPr>
              <w:t>X月</w:t>
            </w: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6" w:type="dxa"/>
            <w:vAlign w:val="center"/>
          </w:tcPr>
          <w:p>
            <w:pPr>
              <w:jc w:val="center"/>
              <w:rPr>
                <w:rFonts w:ascii="Calibri" w:hAnsi="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sz w:val="28"/>
                <w:szCs w:val="28"/>
              </w:rPr>
            </w:pPr>
            <w:r>
              <w:rPr>
                <w:sz w:val="28"/>
                <w:szCs w:val="28"/>
              </w:rPr>
              <w:t>X+1月</w:t>
            </w: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6" w:type="dxa"/>
            <w:vAlign w:val="center"/>
          </w:tcPr>
          <w:p>
            <w:pPr>
              <w:jc w:val="center"/>
              <w:rPr>
                <w:rFonts w:ascii="Calibri" w:hAnsi="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sz w:val="28"/>
                <w:szCs w:val="28"/>
              </w:rPr>
            </w:pPr>
            <w:r>
              <w:rPr>
                <w:sz w:val="28"/>
                <w:szCs w:val="28"/>
              </w:rPr>
              <w:t>X+2月</w:t>
            </w: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p>
        </w:tc>
        <w:tc>
          <w:tcPr>
            <w:tcW w:w="1186" w:type="dxa"/>
            <w:vAlign w:val="center"/>
          </w:tcPr>
          <w:p>
            <w:pPr>
              <w:jc w:val="center"/>
              <w:rPr>
                <w:rFonts w:ascii="Calibri" w:hAnsi="Calibri"/>
                <w:sz w:val="28"/>
                <w:szCs w:val="28"/>
              </w:rPr>
            </w:pPr>
          </w:p>
        </w:tc>
      </w:tr>
    </w:tbl>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XXX风电场XX年X月至X月AVC日控制偏差和合格率进行统计结果如下</w:t>
      </w:r>
      <w:r>
        <w:rPr>
          <w:rFonts w:ascii="Times New Roman" w:hAnsi="Times New Roman" w:eastAsia="宋体" w:cs="Times New Roman"/>
          <w:sz w:val="28"/>
          <w:szCs w:val="28"/>
        </w:rPr>
        <w:t>。</w:t>
      </w:r>
    </w:p>
    <w:p>
      <w:pPr>
        <w:jc w:val="center"/>
        <w:rPr>
          <w:rFonts w:ascii="Times New Roman" w:hAnsi="Times New Roman" w:eastAsia="宋体" w:cs="Times New Roman"/>
          <w:sz w:val="28"/>
          <w:szCs w:val="28"/>
        </w:rPr>
      </w:pPr>
      <w:r>
        <w:rPr>
          <w:rFonts w:ascii="Times New Roman" w:hAnsi="Times New Roman" w:eastAsia="宋体" w:cs="Times New Roman"/>
        </w:rPr>
        <w:drawing>
          <wp:inline distT="0" distB="0" distL="114300" distR="114300">
            <wp:extent cx="5209540" cy="3237865"/>
            <wp:effectExtent l="0" t="0" r="10160" b="63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5"/>
                    <a:stretch>
                      <a:fillRect/>
                    </a:stretch>
                  </pic:blipFill>
                  <pic:spPr>
                    <a:xfrm>
                      <a:off x="0" y="0"/>
                      <a:ext cx="5209540" cy="3237865"/>
                    </a:xfrm>
                    <a:prstGeom prst="rect">
                      <a:avLst/>
                    </a:prstGeom>
                    <a:noFill/>
                    <a:ln w="9525">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图4-9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月AVC性能分析图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风电场XX年X月电压合格天数为X天，同比增长/下降X%，环比增长/下降X%；</w:t>
      </w:r>
    </w:p>
    <w:p>
      <w:pPr>
        <w:jc w:val="center"/>
        <w:rPr>
          <w:rFonts w:ascii="Times New Roman" w:hAnsi="Times New Roman" w:eastAsia="宋体" w:cs="Times New Roman"/>
          <w:sz w:val="28"/>
          <w:szCs w:val="28"/>
        </w:rPr>
      </w:pPr>
      <w:r>
        <w:rPr>
          <w:rFonts w:ascii="Times New Roman" w:hAnsi="Times New Roman" w:eastAsia="宋体" w:cs="Times New Roman"/>
        </w:rPr>
        <w:drawing>
          <wp:inline distT="0" distB="0" distL="114300" distR="114300">
            <wp:extent cx="5038725" cy="35433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6"/>
                    <a:stretch>
                      <a:fillRect/>
                    </a:stretch>
                  </pic:blipFill>
                  <pic:spPr>
                    <a:xfrm>
                      <a:off x="0" y="0"/>
                      <a:ext cx="5038725" cy="3543300"/>
                    </a:xfrm>
                    <a:prstGeom prst="rect">
                      <a:avLst/>
                    </a:prstGeom>
                    <a:noFill/>
                    <a:ln>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10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月AVC性能分析图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X月SVG电压合格天数为X天，同比增长/下降X%，环比增长/下降X%；</w:t>
      </w:r>
    </w:p>
    <w:p>
      <w:pPr>
        <w:jc w:val="center"/>
        <w:rPr>
          <w:rFonts w:ascii="Times New Roman" w:hAnsi="Times New Roman" w:eastAsia="宋体" w:cs="Times New Roman"/>
          <w:sz w:val="28"/>
          <w:szCs w:val="28"/>
        </w:rPr>
      </w:pPr>
      <w:r>
        <w:rPr>
          <w:rFonts w:ascii="Times New Roman" w:hAnsi="Times New Roman" w:eastAsia="宋体" w:cs="Times New Roman"/>
        </w:rPr>
        <w:drawing>
          <wp:inline distT="0" distB="0" distL="114300" distR="114300">
            <wp:extent cx="5029200" cy="34956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7"/>
                    <a:stretch>
                      <a:fillRect/>
                    </a:stretch>
                  </pic:blipFill>
                  <pic:spPr>
                    <a:xfrm>
                      <a:off x="0" y="0"/>
                      <a:ext cx="5029200" cy="3495675"/>
                    </a:xfrm>
                    <a:prstGeom prst="rect">
                      <a:avLst/>
                    </a:prstGeom>
                    <a:noFill/>
                    <a:ln>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图4-11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月AVC性能分析图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X月电压合格天数为X天，同比增长/下降X%，环比增长/下降X%。</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对XX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风电场本季度</w:t>
      </w:r>
      <w:r>
        <w:rPr>
          <w:rFonts w:ascii="Times New Roman" w:hAnsi="Times New Roman" w:eastAsia="宋体" w:cs="Times New Roman"/>
          <w:sz w:val="28"/>
          <w:szCs w:val="28"/>
        </w:rPr>
        <w:t>不合格电压</w:t>
      </w:r>
      <w:r>
        <w:rPr>
          <w:rFonts w:hint="eastAsia" w:ascii="Times New Roman" w:hAnsi="Times New Roman" w:eastAsia="宋体" w:cs="Times New Roman"/>
          <w:sz w:val="28"/>
          <w:szCs w:val="28"/>
        </w:rPr>
        <w:t>调节</w:t>
      </w:r>
      <w:r>
        <w:rPr>
          <w:rFonts w:ascii="Times New Roman" w:hAnsi="Times New Roman" w:eastAsia="宋体" w:cs="Times New Roman"/>
          <w:sz w:val="28"/>
          <w:szCs w:val="28"/>
        </w:rPr>
        <w:t>点</w:t>
      </w:r>
      <w:r>
        <w:rPr>
          <w:rFonts w:hint="eastAsia" w:ascii="Times New Roman" w:hAnsi="Times New Roman" w:eastAsia="宋体" w:cs="Times New Roman"/>
          <w:sz w:val="28"/>
          <w:szCs w:val="28"/>
        </w:rPr>
        <w:t>进行分析</w:t>
      </w:r>
      <w:r>
        <w:rPr>
          <w:rFonts w:ascii="Times New Roman" w:hAnsi="Times New Roman" w:eastAsia="宋体" w:cs="Times New Roman"/>
          <w:sz w:val="28"/>
          <w:szCs w:val="28"/>
        </w:rPr>
        <w:t>，可得不合格原因统计如图4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12所示。调节不合格的原因中，未检测到电压越限占</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%，调节不到位占</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%，正在调节中占</w:t>
      </w:r>
      <w:r>
        <w:rPr>
          <w:rFonts w:hint="eastAsia" w:ascii="Times New Roman" w:hAnsi="Times New Roman" w:eastAsia="宋体" w:cs="Times New Roman"/>
          <w:sz w:val="28"/>
          <w:szCs w:val="28"/>
        </w:rPr>
        <w:t>X</w:t>
      </w:r>
      <w:r>
        <w:rPr>
          <w:rFonts w:ascii="Times New Roman" w:hAnsi="Times New Roman" w:eastAsia="宋体" w:cs="Times New Roman"/>
          <w:sz w:val="28"/>
          <w:szCs w:val="28"/>
        </w:rPr>
        <w:t>%。</w:t>
      </w:r>
    </w:p>
    <w:p>
      <w:pPr>
        <w:jc w:val="center"/>
        <w:rPr>
          <w:rFonts w:ascii="Times New Roman" w:hAnsi="Times New Roman" w:eastAsia="宋体" w:cs="Times New Roman"/>
        </w:rPr>
      </w:pPr>
      <w:r>
        <w:rPr>
          <w:rFonts w:ascii="Times New Roman" w:hAnsi="Times New Roman" w:eastAsia="宋体" w:cs="Times New Roman"/>
        </w:rPr>
        <w:drawing>
          <wp:inline distT="0" distB="0" distL="0" distR="0">
            <wp:extent cx="3788410" cy="35941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807637" cy="3612226"/>
                    </a:xfrm>
                    <a:prstGeom prst="rect">
                      <a:avLst/>
                    </a:prstGeom>
                    <a:noFill/>
                    <a:ln>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12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w:t>
      </w:r>
      <w:r>
        <w:rPr>
          <w:rFonts w:hint="eastAsia" w:ascii="Times New Roman" w:hAnsi="Times New Roman" w:eastAsia="宋体" w:cs="Times New Roman"/>
          <w:sz w:val="24"/>
          <w:szCs w:val="24"/>
        </w:rPr>
        <w:t>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月电压调节不合格原因统计图</w:t>
      </w: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0" w:name="_Toc93583542"/>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.2.2</w:t>
      </w:r>
      <w:r>
        <w:rPr>
          <w:rFonts w:hint="eastAsia" w:ascii="Times New Roman" w:hAnsi="Times New Roman" w:eastAsia="宋体" w:cs="Times New Roman"/>
          <w:b/>
          <w:bCs/>
          <w:sz w:val="32"/>
          <w:szCs w:val="32"/>
        </w:rPr>
        <w:t>典型日运行情况分析</w:t>
      </w:r>
      <w:bookmarkEnd w:id="30"/>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风电场第X</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日合格率最</w:t>
      </w:r>
      <w:r>
        <w:rPr>
          <w:rFonts w:hint="eastAsia" w:ascii="Times New Roman" w:hAnsi="Times New Roman" w:eastAsia="宋体" w:cs="Times New Roman"/>
          <w:sz w:val="28"/>
          <w:szCs w:val="28"/>
        </w:rPr>
        <w:t>高</w:t>
      </w:r>
      <w:r>
        <w:rPr>
          <w:rFonts w:ascii="Times New Roman" w:hAnsi="Times New Roman" w:eastAsia="宋体" w:cs="Times New Roman"/>
          <w:sz w:val="28"/>
          <w:szCs w:val="28"/>
        </w:rPr>
        <w:t>，为</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%，当日子站AVC控制曲线如图所示。</w:t>
      </w: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7960" cy="1559560"/>
            <wp:effectExtent l="0" t="0" r="8890" b="25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9"/>
                    <a:stretch>
                      <a:fillRect/>
                    </a:stretch>
                  </pic:blipFill>
                  <pic:spPr>
                    <a:xfrm>
                      <a:off x="0" y="0"/>
                      <a:ext cx="5267960" cy="1559560"/>
                    </a:xfrm>
                    <a:prstGeom prst="rect">
                      <a:avLst/>
                    </a:prstGeom>
                    <a:noFill/>
                    <a:ln w="9525">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图4-13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日子站AVC控制曲线图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风电场第X</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日合格率最</w:t>
      </w:r>
      <w:r>
        <w:rPr>
          <w:rFonts w:hint="eastAsia" w:ascii="Times New Roman" w:hAnsi="Times New Roman" w:eastAsia="宋体" w:cs="Times New Roman"/>
          <w:sz w:val="28"/>
          <w:szCs w:val="28"/>
        </w:rPr>
        <w:t>低</w:t>
      </w:r>
      <w:r>
        <w:rPr>
          <w:rFonts w:ascii="Times New Roman" w:hAnsi="Times New Roman" w:eastAsia="宋体" w:cs="Times New Roman"/>
          <w:sz w:val="28"/>
          <w:szCs w:val="28"/>
        </w:rPr>
        <w:t>，为</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%，当日子站AVC控制曲线如图所示。</w:t>
      </w:r>
    </w:p>
    <w:p>
      <w:pPr>
        <w:rPr>
          <w:rFonts w:ascii="Times New Roman" w:hAnsi="Times New Roman" w:eastAsia="宋体" w:cs="Times New Roman"/>
        </w:rPr>
      </w:pP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8595" cy="1858010"/>
            <wp:effectExtent l="0" t="0" r="8255"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0"/>
                    <a:stretch>
                      <a:fillRect/>
                    </a:stretch>
                  </pic:blipFill>
                  <pic:spPr>
                    <a:xfrm>
                      <a:off x="0" y="0"/>
                      <a:ext cx="5268595" cy="1858010"/>
                    </a:xfrm>
                    <a:prstGeom prst="rect">
                      <a:avLst/>
                    </a:prstGeom>
                    <a:noFill/>
                    <a:ln>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图4-14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日子站AVC控制曲线图</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1" w:name="_Toc93583543"/>
      <w:r>
        <w:rPr>
          <w:rFonts w:ascii="Times New Roman" w:hAnsi="Times New Roman" w:eastAsia="宋体" w:cs="Times New Roman"/>
          <w:b/>
          <w:bCs/>
          <w:sz w:val="32"/>
          <w:szCs w:val="32"/>
        </w:rPr>
        <w:t>4.3 SVG性能评价</w:t>
      </w:r>
      <w:r>
        <w:rPr>
          <w:rFonts w:hint="eastAsia" w:ascii="Times New Roman" w:hAnsi="Times New Roman" w:eastAsia="宋体" w:cs="Times New Roman"/>
          <w:b/>
          <w:bCs/>
          <w:sz w:val="32"/>
          <w:szCs w:val="32"/>
        </w:rPr>
        <w:t>及分析</w:t>
      </w:r>
      <w:bookmarkEnd w:id="31"/>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2" w:name="_Toc93583544"/>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.3.1</w:t>
      </w:r>
      <w:r>
        <w:rPr>
          <w:rFonts w:hint="eastAsia" w:ascii="Times New Roman" w:hAnsi="Times New Roman" w:eastAsia="宋体" w:cs="Times New Roman"/>
          <w:b/>
          <w:bCs/>
          <w:sz w:val="32"/>
          <w:szCs w:val="32"/>
        </w:rPr>
        <w:t>月度跟踪评价</w:t>
      </w:r>
      <w:bookmarkEnd w:id="32"/>
    </w:p>
    <w:p>
      <w:pPr>
        <w:ind w:firstLine="560" w:firstLineChars="200"/>
        <w:rPr>
          <w:rFonts w:ascii="Times New Roman" w:hAnsi="Times New Roman" w:eastAsia="宋体" w:cs="Times New Roman"/>
          <w:sz w:val="28"/>
          <w:szCs w:val="28"/>
        </w:rPr>
      </w:pPr>
      <w:bookmarkStart w:id="33" w:name="_Toc91506139"/>
      <w:r>
        <w:rPr>
          <w:rFonts w:ascii="Times New Roman" w:hAnsi="Times New Roman" w:eastAsia="宋体" w:cs="Times New Roman"/>
          <w:sz w:val="28"/>
          <w:szCs w:val="28"/>
        </w:rPr>
        <w:t>场站无功补偿装置的性能是影响场站无功补偿能力重要因素。</w:t>
      </w:r>
      <w:r>
        <w:rPr>
          <w:rFonts w:hint="eastAsia" w:ascii="Times New Roman" w:hAnsi="Times New Roman" w:eastAsia="宋体" w:cs="Times New Roman"/>
          <w:sz w:val="28"/>
          <w:szCs w:val="28"/>
        </w:rPr>
        <w:t>SVG的</w:t>
      </w:r>
      <w:r>
        <w:rPr>
          <w:rFonts w:ascii="Times New Roman" w:hAnsi="Times New Roman" w:eastAsia="宋体" w:cs="Times New Roman"/>
          <w:sz w:val="28"/>
          <w:szCs w:val="28"/>
        </w:rPr>
        <w:t>控制偏差</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无功实际值与无功指令值之差</w:t>
      </w:r>
      <w:r>
        <w:rPr>
          <w:rFonts w:hint="eastAsia" w:ascii="Times New Roman" w:hAnsi="Times New Roman" w:eastAsia="宋体" w:cs="Times New Roman"/>
          <w:sz w:val="28"/>
          <w:szCs w:val="28"/>
        </w:rPr>
        <w:t>，是反映无功补偿装置调节精确度的重要指标之一。</w:t>
      </w:r>
      <w:r>
        <w:rPr>
          <w:rFonts w:ascii="Times New Roman" w:hAnsi="Times New Roman" w:eastAsia="宋体" w:cs="Times New Roman"/>
          <w:sz w:val="28"/>
          <w:szCs w:val="28"/>
        </w:rPr>
        <w:t>对</w:t>
      </w:r>
      <w:r>
        <w:rPr>
          <w:rFonts w:hint="eastAsia" w:ascii="Times New Roman" w:hAnsi="Times New Roman" w:eastAsia="宋体" w:cs="Times New Roman"/>
          <w:sz w:val="28"/>
          <w:szCs w:val="28"/>
        </w:rPr>
        <w:t>XXX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至X</w:t>
      </w:r>
      <w:r>
        <w:rPr>
          <w:rFonts w:ascii="Times New Roman" w:hAnsi="Times New Roman" w:eastAsia="宋体" w:cs="Times New Roman"/>
          <w:sz w:val="28"/>
          <w:szCs w:val="28"/>
        </w:rPr>
        <w:t>月的SVG控制偏差进行统计，得到</w:t>
      </w:r>
      <w:r>
        <w:rPr>
          <w:rFonts w:hint="eastAsia" w:ascii="Times New Roman" w:hAnsi="Times New Roman" w:eastAsia="宋体" w:cs="Times New Roman"/>
          <w:sz w:val="28"/>
          <w:szCs w:val="28"/>
        </w:rPr>
        <w:t>表4-</w:t>
      </w:r>
      <w:r>
        <w:rPr>
          <w:rFonts w:ascii="Times New Roman" w:hAnsi="Times New Roman" w:eastAsia="宋体" w:cs="Times New Roman"/>
          <w:sz w:val="28"/>
          <w:szCs w:val="28"/>
        </w:rPr>
        <w:t>3。</w:t>
      </w:r>
    </w:p>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表4-</w:t>
      </w:r>
      <w:r>
        <w:rPr>
          <w:rFonts w:ascii="Times New Roman" w:hAnsi="Times New Roman" w:eastAsia="宋体" w:cs="Times New Roman"/>
          <w:sz w:val="28"/>
          <w:szCs w:val="28"/>
        </w:rPr>
        <w:t xml:space="preserve">3 </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风电场XX年第X季度SVG每日控制偏差情况统计表</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ascii="Calibri" w:hAnsi="Calibri"/>
                <w:sz w:val="28"/>
                <w:szCs w:val="28"/>
              </w:rPr>
            </w:pPr>
            <w:r>
              <w:rPr>
                <w:rFonts w:hint="eastAsia" w:ascii="Calibri" w:hAnsi="Calibri"/>
                <w:sz w:val="28"/>
                <w:szCs w:val="28"/>
              </w:rPr>
              <w:t>时间</w:t>
            </w:r>
          </w:p>
        </w:tc>
        <w:tc>
          <w:tcPr>
            <w:tcW w:w="2074" w:type="dxa"/>
          </w:tcPr>
          <w:p>
            <w:pPr>
              <w:jc w:val="center"/>
              <w:rPr>
                <w:rFonts w:ascii="Calibri" w:hAnsi="Calibri"/>
                <w:sz w:val="28"/>
                <w:szCs w:val="28"/>
              </w:rPr>
            </w:pPr>
            <w:r>
              <w:rPr>
                <w:rFonts w:hint="eastAsia" w:ascii="Calibri" w:hAnsi="Calibri"/>
                <w:sz w:val="28"/>
                <w:szCs w:val="28"/>
              </w:rPr>
              <w:t>最大值</w:t>
            </w:r>
          </w:p>
        </w:tc>
        <w:tc>
          <w:tcPr>
            <w:tcW w:w="2074" w:type="dxa"/>
          </w:tcPr>
          <w:p>
            <w:pPr>
              <w:jc w:val="center"/>
              <w:rPr>
                <w:rFonts w:ascii="Calibri" w:hAnsi="Calibri"/>
                <w:sz w:val="28"/>
                <w:szCs w:val="28"/>
              </w:rPr>
            </w:pPr>
            <w:r>
              <w:rPr>
                <w:rFonts w:hint="eastAsia" w:ascii="Calibri" w:hAnsi="Calibri"/>
                <w:sz w:val="28"/>
                <w:szCs w:val="28"/>
              </w:rPr>
              <w:t>最小值</w:t>
            </w:r>
          </w:p>
        </w:tc>
        <w:tc>
          <w:tcPr>
            <w:tcW w:w="2074" w:type="dxa"/>
          </w:tcPr>
          <w:p>
            <w:pPr>
              <w:jc w:val="center"/>
              <w:rPr>
                <w:rFonts w:ascii="Calibri" w:hAnsi="Calibri"/>
                <w:sz w:val="28"/>
                <w:szCs w:val="28"/>
              </w:rPr>
            </w:pPr>
            <w:r>
              <w:rPr>
                <w:rFonts w:hint="eastAsia" w:ascii="Calibri" w:hAnsi="Calibri"/>
                <w:sz w:val="28"/>
                <w:szCs w:val="28"/>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sz w:val="28"/>
                <w:szCs w:val="28"/>
              </w:rPr>
            </w:pPr>
            <w:r>
              <w:rPr>
                <w:sz w:val="28"/>
                <w:szCs w:val="28"/>
              </w:rPr>
              <w:t>X月</w:t>
            </w:r>
          </w:p>
        </w:tc>
        <w:tc>
          <w:tcPr>
            <w:tcW w:w="2074" w:type="dxa"/>
          </w:tcPr>
          <w:p>
            <w:pPr>
              <w:jc w:val="center"/>
              <w:rPr>
                <w:rFonts w:ascii="Calibri" w:hAnsi="Calibri"/>
                <w:sz w:val="28"/>
                <w:szCs w:val="28"/>
              </w:rPr>
            </w:pPr>
          </w:p>
        </w:tc>
        <w:tc>
          <w:tcPr>
            <w:tcW w:w="2074" w:type="dxa"/>
          </w:tcPr>
          <w:p>
            <w:pPr>
              <w:jc w:val="center"/>
              <w:rPr>
                <w:rFonts w:ascii="Calibri" w:hAnsi="Calibri"/>
                <w:sz w:val="28"/>
                <w:szCs w:val="28"/>
              </w:rPr>
            </w:pPr>
          </w:p>
        </w:tc>
        <w:tc>
          <w:tcPr>
            <w:tcW w:w="2074" w:type="dxa"/>
          </w:tcPr>
          <w:p>
            <w:pPr>
              <w:jc w:val="center"/>
              <w:rPr>
                <w:rFonts w:ascii="Calibri" w:hAnsi="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sz w:val="28"/>
                <w:szCs w:val="28"/>
              </w:rPr>
            </w:pPr>
            <w:r>
              <w:rPr>
                <w:sz w:val="28"/>
                <w:szCs w:val="28"/>
              </w:rPr>
              <w:t>X+1月</w:t>
            </w:r>
          </w:p>
        </w:tc>
        <w:tc>
          <w:tcPr>
            <w:tcW w:w="2074" w:type="dxa"/>
          </w:tcPr>
          <w:p>
            <w:pPr>
              <w:jc w:val="center"/>
              <w:rPr>
                <w:rFonts w:ascii="Calibri" w:hAnsi="Calibri"/>
                <w:sz w:val="28"/>
                <w:szCs w:val="28"/>
              </w:rPr>
            </w:pPr>
          </w:p>
        </w:tc>
        <w:tc>
          <w:tcPr>
            <w:tcW w:w="2074" w:type="dxa"/>
          </w:tcPr>
          <w:p>
            <w:pPr>
              <w:jc w:val="center"/>
              <w:rPr>
                <w:rFonts w:ascii="Calibri" w:hAnsi="Calibri"/>
                <w:sz w:val="28"/>
                <w:szCs w:val="28"/>
              </w:rPr>
            </w:pPr>
          </w:p>
        </w:tc>
        <w:tc>
          <w:tcPr>
            <w:tcW w:w="2074" w:type="dxa"/>
          </w:tcPr>
          <w:p>
            <w:pPr>
              <w:jc w:val="center"/>
              <w:rPr>
                <w:rFonts w:ascii="Calibri" w:hAnsi="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sz w:val="28"/>
                <w:szCs w:val="28"/>
              </w:rPr>
            </w:pPr>
            <w:r>
              <w:rPr>
                <w:sz w:val="28"/>
                <w:szCs w:val="28"/>
              </w:rPr>
              <w:t>X+2月</w:t>
            </w:r>
          </w:p>
        </w:tc>
        <w:tc>
          <w:tcPr>
            <w:tcW w:w="2074" w:type="dxa"/>
          </w:tcPr>
          <w:p>
            <w:pPr>
              <w:jc w:val="center"/>
              <w:rPr>
                <w:rFonts w:ascii="Calibri" w:hAnsi="Calibri"/>
                <w:sz w:val="28"/>
                <w:szCs w:val="28"/>
              </w:rPr>
            </w:pPr>
          </w:p>
        </w:tc>
        <w:tc>
          <w:tcPr>
            <w:tcW w:w="2074" w:type="dxa"/>
          </w:tcPr>
          <w:p>
            <w:pPr>
              <w:jc w:val="center"/>
              <w:rPr>
                <w:rFonts w:ascii="Calibri" w:hAnsi="Calibri"/>
                <w:sz w:val="28"/>
                <w:szCs w:val="28"/>
              </w:rPr>
            </w:pPr>
          </w:p>
        </w:tc>
        <w:tc>
          <w:tcPr>
            <w:tcW w:w="2074" w:type="dxa"/>
          </w:tcPr>
          <w:p>
            <w:pPr>
              <w:jc w:val="center"/>
              <w:rPr>
                <w:rFonts w:ascii="Calibri" w:hAnsi="Calibri"/>
                <w:sz w:val="28"/>
                <w:szCs w:val="28"/>
              </w:rPr>
            </w:pPr>
          </w:p>
        </w:tc>
      </w:tr>
    </w:tbl>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对XX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风电场XX年X月至X月SVG日控制偏差进行统计，</w:t>
      </w:r>
      <w:r>
        <w:rPr>
          <w:rFonts w:ascii="Times New Roman" w:hAnsi="Times New Roman" w:eastAsia="宋体" w:cs="Times New Roman"/>
          <w:sz w:val="28"/>
          <w:szCs w:val="28"/>
        </w:rPr>
        <w:t>得到</w:t>
      </w:r>
      <w:r>
        <w:rPr>
          <w:rFonts w:hint="eastAsia" w:ascii="Times New Roman" w:hAnsi="Times New Roman" w:eastAsia="宋体" w:cs="Times New Roman"/>
          <w:sz w:val="28"/>
          <w:szCs w:val="28"/>
        </w:rPr>
        <w:t>结果如下</w:t>
      </w:r>
      <w:r>
        <w:rPr>
          <w:rFonts w:ascii="Times New Roman" w:hAnsi="Times New Roman" w:eastAsia="宋体" w:cs="Times New Roman"/>
          <w:sz w:val="28"/>
          <w:szCs w:val="28"/>
        </w:rPr>
        <w:t>。</w:t>
      </w:r>
    </w:p>
    <w:p>
      <w:pPr>
        <w:ind w:firstLine="420" w:firstLineChars="200"/>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4542155" cy="30416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1"/>
                    <a:stretch>
                      <a:fillRect/>
                    </a:stretch>
                  </pic:blipFill>
                  <pic:spPr>
                    <a:xfrm>
                      <a:off x="0" y="0"/>
                      <a:ext cx="4549466" cy="3046683"/>
                    </a:xfrm>
                    <a:prstGeom prst="rect">
                      <a:avLst/>
                    </a:prstGeom>
                    <a:noFill/>
                    <a:ln w="9525">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15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w:t>
      </w:r>
      <w:r>
        <w:rPr>
          <w:rFonts w:hint="eastAsia" w:ascii="Times New Roman" w:hAnsi="Times New Roman" w:eastAsia="宋体" w:cs="Times New Roman"/>
          <w:sz w:val="24"/>
          <w:szCs w:val="24"/>
        </w:rPr>
        <w:t>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月SVG控制性能分析图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风电场XX年X月SVG控制偏差平均值为X%，同比增长/下降X%，环比增长/下降X%。</w:t>
      </w:r>
    </w:p>
    <w:p>
      <w:pPr>
        <w:jc w:val="center"/>
        <w:rPr>
          <w:rFonts w:ascii="Times New Roman" w:hAnsi="Times New Roman" w:eastAsia="宋体" w:cs="Times New Roman"/>
          <w:sz w:val="24"/>
          <w:szCs w:val="24"/>
        </w:rPr>
      </w:pPr>
    </w:p>
    <w:p>
      <w:pPr>
        <w:ind w:firstLine="420" w:firstLineChars="200"/>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4693285" cy="32048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2"/>
                    <a:stretch>
                      <a:fillRect/>
                    </a:stretch>
                  </pic:blipFill>
                  <pic:spPr>
                    <a:xfrm>
                      <a:off x="0" y="0"/>
                      <a:ext cx="4699414" cy="3208929"/>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16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月SVG控制性能分析图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X月SVG控制偏差平均值为X%，同比增长/下降X%，环比增长/下降X%。</w:t>
      </w:r>
    </w:p>
    <w:p>
      <w:pPr>
        <w:jc w:val="center"/>
        <w:rPr>
          <w:rFonts w:ascii="Times New Roman" w:hAnsi="Times New Roman" w:eastAsia="宋体" w:cs="Times New Roman"/>
          <w:sz w:val="28"/>
          <w:szCs w:val="28"/>
        </w:rPr>
      </w:pPr>
      <w:r>
        <w:rPr>
          <w:rFonts w:ascii="Times New Roman" w:hAnsi="Times New Roman" w:eastAsia="宋体" w:cs="Times New Roman"/>
        </w:rPr>
        <w:drawing>
          <wp:inline distT="0" distB="0" distL="114300" distR="114300">
            <wp:extent cx="4617085" cy="3160395"/>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3"/>
                    <a:stretch>
                      <a:fillRect/>
                    </a:stretch>
                  </pic:blipFill>
                  <pic:spPr>
                    <a:xfrm>
                      <a:off x="0" y="0"/>
                      <a:ext cx="4622651" cy="3164672"/>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17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月SVG控制性能分析图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X月SVG控制偏差平均值为X%，同比增长/下降X%，环比增长/下降X%。</w:t>
      </w: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4" w:name="_Toc93583545"/>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.3.2</w:t>
      </w:r>
      <w:r>
        <w:rPr>
          <w:rFonts w:hint="eastAsia" w:ascii="Times New Roman" w:hAnsi="Times New Roman" w:eastAsia="宋体" w:cs="Times New Roman"/>
          <w:b/>
          <w:bCs/>
          <w:sz w:val="32"/>
          <w:szCs w:val="32"/>
        </w:rPr>
        <w:t>典型日运行情况分析</w:t>
      </w:r>
      <w:bookmarkEnd w:id="34"/>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风电场第X</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日控制偏差最大，达到</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%，当日SVG无功功率指令值、无功功率实际值如下图所示。</w:t>
      </w:r>
    </w:p>
    <w:p>
      <w:pPr>
        <w:rPr>
          <w:rFonts w:ascii="Times New Roman" w:hAnsi="Times New Roman" w:eastAsia="宋体" w:cs="Times New Roman"/>
          <w:sz w:val="28"/>
          <w:szCs w:val="28"/>
        </w:rPr>
      </w:pPr>
      <w:r>
        <w:rPr>
          <w:rFonts w:ascii="Times New Roman" w:hAnsi="Times New Roman" w:eastAsia="宋体" w:cs="Times New Roman"/>
          <w:sz w:val="28"/>
          <w:szCs w:val="28"/>
        </w:rPr>
        <w:drawing>
          <wp:inline distT="0" distB="0" distL="0" distR="0">
            <wp:extent cx="5274310" cy="1576705"/>
            <wp:effectExtent l="0" t="0" r="2540" b="4445"/>
            <wp:docPr id="1959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 name="图片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274310" cy="157670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18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日SVG控制曲线图</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将SVG无功以10%额定容量为间隔划分区间，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X</w:t>
      </w:r>
      <w:r>
        <w:rPr>
          <w:rFonts w:ascii="Times New Roman" w:hAnsi="Times New Roman" w:eastAsia="宋体" w:cs="Times New Roman"/>
          <w:sz w:val="28"/>
          <w:szCs w:val="28"/>
        </w:rPr>
        <w:t>电场</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日SVG控制偏差感性/容性区间分析结果如表4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4和表4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5所示。控制偏差平均</w:t>
      </w:r>
      <w:r>
        <w:rPr>
          <w:rFonts w:hint="eastAsia" w:ascii="Times New Roman" w:hAnsi="Times New Roman" w:eastAsia="宋体" w:cs="Times New Roman"/>
          <w:sz w:val="28"/>
          <w:szCs w:val="28"/>
        </w:rPr>
        <w:t>值的</w:t>
      </w:r>
      <w:r>
        <w:rPr>
          <w:rFonts w:ascii="Times New Roman" w:hAnsi="Times New Roman" w:eastAsia="宋体" w:cs="Times New Roman"/>
          <w:sz w:val="28"/>
          <w:szCs w:val="28"/>
        </w:rPr>
        <w:t>最大值出现在</w:t>
      </w:r>
      <w:r>
        <w:rPr>
          <w:rFonts w:hint="eastAsia" w:ascii="Times New Roman" w:hAnsi="Times New Roman" w:eastAsia="宋体" w:cs="Times New Roman"/>
          <w:sz w:val="28"/>
          <w:szCs w:val="28"/>
        </w:rPr>
        <w:t>感/</w:t>
      </w:r>
      <w:r>
        <w:rPr>
          <w:rFonts w:ascii="Times New Roman" w:hAnsi="Times New Roman" w:eastAsia="宋体" w:cs="Times New Roman"/>
          <w:sz w:val="28"/>
          <w:szCs w:val="28"/>
        </w:rPr>
        <w:t>容性</w:t>
      </w:r>
      <w:r>
        <w:rPr>
          <w:rFonts w:hint="eastAsia" w:ascii="Times New Roman" w:hAnsi="Times New Roman" w:eastAsia="宋体" w:cs="Times New Roman"/>
          <w:sz w:val="28"/>
          <w:szCs w:val="28"/>
        </w:rPr>
        <w:t>X</w:t>
      </w:r>
      <w:r>
        <w:rPr>
          <w:rFonts w:ascii="Times New Roman" w:hAnsi="Times New Roman" w:eastAsia="宋体" w:cs="Times New Roman"/>
          <w:sz w:val="28"/>
          <w:szCs w:val="28"/>
        </w:rPr>
        <w:t>0%-</w:t>
      </w:r>
      <w:r>
        <w:rPr>
          <w:rFonts w:hint="eastAsia" w:ascii="Times New Roman" w:hAnsi="Times New Roman" w:eastAsia="宋体" w:cs="Times New Roman"/>
          <w:sz w:val="28"/>
          <w:szCs w:val="28"/>
        </w:rPr>
        <w:t>X</w:t>
      </w:r>
      <w:r>
        <w:rPr>
          <w:rFonts w:ascii="Times New Roman" w:hAnsi="Times New Roman" w:eastAsia="宋体" w:cs="Times New Roman"/>
          <w:sz w:val="28"/>
          <w:szCs w:val="28"/>
        </w:rPr>
        <w:t>0%区间内，达到</w:t>
      </w:r>
      <w:r>
        <w:rPr>
          <w:rFonts w:hint="eastAsia" w:ascii="Times New Roman" w:hAnsi="Times New Roman" w:eastAsia="宋体" w:cs="Times New Roman"/>
          <w:sz w:val="28"/>
          <w:szCs w:val="28"/>
        </w:rPr>
        <w:t>X</w:t>
      </w:r>
      <w:r>
        <w:rPr>
          <w:rFonts w:ascii="Times New Roman" w:hAnsi="Times New Roman" w:eastAsia="宋体" w:cs="Times New Roman"/>
          <w:sz w:val="28"/>
          <w:szCs w:val="28"/>
        </w:rPr>
        <w:t>%。</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4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日SVG控制偏差感性区间分析结果</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2074" w:type="dxa"/>
          </w:tcPr>
          <w:p>
            <w:pPr>
              <w:spacing w:line="360" w:lineRule="auto"/>
              <w:jc w:val="center"/>
              <w:rPr>
                <w:rFonts w:ascii="Calibri" w:hAnsi="Calibri"/>
                <w:sz w:val="24"/>
                <w:szCs w:val="24"/>
              </w:rPr>
            </w:pPr>
            <w:r>
              <w:rPr>
                <w:rFonts w:ascii="Calibri" w:hAnsi="Calibri"/>
                <w:sz w:val="24"/>
                <w:szCs w:val="24"/>
              </w:rPr>
              <w:t>感性无功区间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2074"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20%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30%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40%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50%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60%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70%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80%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90%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100%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bl>
    <w:p>
      <w:pPr>
        <w:spacing w:line="360" w:lineRule="auto"/>
        <w:jc w:val="center"/>
        <w:rPr>
          <w:rFonts w:ascii="Times New Roman" w:hAnsi="Times New Roman" w:eastAsia="宋体" w:cs="Times New Roman"/>
          <w:sz w:val="24"/>
          <w:szCs w:val="24"/>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5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日SVG控制偏差</w:t>
      </w:r>
      <w:r>
        <w:rPr>
          <w:rFonts w:hint="eastAsia" w:ascii="Times New Roman" w:hAnsi="Times New Roman" w:eastAsia="宋体" w:cs="Times New Roman"/>
          <w:sz w:val="24"/>
          <w:szCs w:val="24"/>
        </w:rPr>
        <w:t>容</w:t>
      </w:r>
      <w:r>
        <w:rPr>
          <w:rFonts w:ascii="Times New Roman" w:hAnsi="Times New Roman" w:eastAsia="宋体" w:cs="Times New Roman"/>
          <w:sz w:val="24"/>
          <w:szCs w:val="24"/>
        </w:rPr>
        <w:t>性区间分析结果</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2074" w:type="dxa"/>
          </w:tcPr>
          <w:p>
            <w:pPr>
              <w:spacing w:line="360" w:lineRule="auto"/>
              <w:jc w:val="center"/>
              <w:rPr>
                <w:rFonts w:ascii="Calibri" w:hAnsi="Calibri"/>
                <w:sz w:val="24"/>
                <w:szCs w:val="24"/>
              </w:rPr>
            </w:pPr>
            <w:r>
              <w:rPr>
                <w:rFonts w:ascii="Calibri" w:hAnsi="Calibri"/>
                <w:sz w:val="24"/>
                <w:szCs w:val="24"/>
              </w:rPr>
              <w:t>容性无功区间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2074"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20%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30%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40%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50%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60%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70%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80%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90%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100%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bl>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风电场第X</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日控制偏差最小，为</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%，当日SVG无功功率指令值、无功功率实际值如下图所示。</w:t>
      </w:r>
    </w:p>
    <w:p>
      <w:pPr>
        <w:rPr>
          <w:rFonts w:ascii="Times New Roman" w:hAnsi="Times New Roman" w:eastAsia="宋体" w:cs="Times New Roman"/>
        </w:rPr>
      </w:pP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4150" cy="1728470"/>
            <wp:effectExtent l="0" t="0" r="1270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5"/>
                    <a:stretch>
                      <a:fillRect/>
                    </a:stretch>
                  </pic:blipFill>
                  <pic:spPr>
                    <a:xfrm>
                      <a:off x="0" y="0"/>
                      <a:ext cx="5264150" cy="1728470"/>
                    </a:xfrm>
                    <a:prstGeom prst="rect">
                      <a:avLst/>
                    </a:prstGeom>
                    <a:noFill/>
                    <a:ln>
                      <a:noFill/>
                    </a:ln>
                  </pic:spPr>
                </pic:pic>
              </a:graphicData>
            </a:graphic>
          </wp:inline>
        </w:drawing>
      </w:r>
    </w:p>
    <w:p>
      <w:pPr>
        <w:rPr>
          <w:rFonts w:ascii="Times New Roman" w:hAnsi="Times New Roman" w:eastAsia="宋体" w:cs="Times New Roman"/>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图4-18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风电场XX年X月X日SVG控制曲线图</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将SVG无功以10%额定容量为间隔划分区间</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X风电场XX年X月X日SVG控制偏差感性/容性区间分析结果如表4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6和表4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7所示。控制偏差的平均最大值出现在</w:t>
      </w:r>
      <w:r>
        <w:rPr>
          <w:rFonts w:hint="eastAsia" w:ascii="Times New Roman" w:hAnsi="Times New Roman" w:eastAsia="宋体" w:cs="Times New Roman"/>
          <w:sz w:val="28"/>
          <w:szCs w:val="28"/>
        </w:rPr>
        <w:t>感/</w:t>
      </w:r>
      <w:r>
        <w:rPr>
          <w:rFonts w:ascii="Times New Roman" w:hAnsi="Times New Roman" w:eastAsia="宋体" w:cs="Times New Roman"/>
          <w:sz w:val="28"/>
          <w:szCs w:val="28"/>
        </w:rPr>
        <w:t>容性X0%-X0%区间内，达到X%。</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6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XX风电场X年X月X日SVG控制偏差感性区间分析结果</w:t>
      </w:r>
    </w:p>
    <w:tbl>
      <w:tblPr>
        <w:tblStyle w:val="3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jc w:val="center"/>
        </w:trPr>
        <w:tc>
          <w:tcPr>
            <w:tcW w:w="2074" w:type="dxa"/>
          </w:tcPr>
          <w:p>
            <w:pPr>
              <w:spacing w:line="360" w:lineRule="auto"/>
              <w:jc w:val="center"/>
              <w:rPr>
                <w:rFonts w:ascii="Calibri" w:hAnsi="Calibri"/>
                <w:sz w:val="24"/>
                <w:szCs w:val="24"/>
              </w:rPr>
            </w:pPr>
            <w:r>
              <w:rPr>
                <w:rFonts w:ascii="Calibri" w:hAnsi="Calibri"/>
                <w:sz w:val="24"/>
                <w:szCs w:val="24"/>
              </w:rPr>
              <w:t>感性无功区间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1711"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20%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30%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40%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50%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60%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70%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80%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90%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100%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bl>
    <w:p>
      <w:pPr>
        <w:spacing w:line="360" w:lineRule="auto"/>
        <w:jc w:val="center"/>
        <w:rPr>
          <w:rFonts w:ascii="Times New Roman" w:hAnsi="Times New Roman" w:eastAsia="宋体" w:cs="Times New Roman"/>
          <w:sz w:val="24"/>
          <w:szCs w:val="24"/>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7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XX风电场XX年X月X日SVG控制偏差容性区间分析结果</w:t>
      </w:r>
    </w:p>
    <w:tbl>
      <w:tblPr>
        <w:tblStyle w:val="3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jc w:val="center"/>
        </w:trPr>
        <w:tc>
          <w:tcPr>
            <w:tcW w:w="2074" w:type="dxa"/>
          </w:tcPr>
          <w:p>
            <w:pPr>
              <w:spacing w:line="360" w:lineRule="auto"/>
              <w:jc w:val="center"/>
              <w:rPr>
                <w:rFonts w:ascii="Calibri" w:hAnsi="Calibri"/>
                <w:sz w:val="24"/>
                <w:szCs w:val="24"/>
              </w:rPr>
            </w:pPr>
            <w:r>
              <w:rPr>
                <w:rFonts w:ascii="Calibri" w:hAnsi="Calibri"/>
                <w:sz w:val="24"/>
                <w:szCs w:val="24"/>
              </w:rPr>
              <w:t>容性无功区间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1711"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20%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30%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40%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50%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60%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70%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80%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90%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100%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bookmarkEnd w:id="33"/>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5" w:name="_Toc93583546"/>
      <w:r>
        <w:rPr>
          <w:rFonts w:ascii="Times New Roman" w:hAnsi="Times New Roman" w:eastAsia="宋体" w:cs="Times New Roman"/>
          <w:b/>
          <w:bCs/>
          <w:sz w:val="32"/>
          <w:szCs w:val="32"/>
        </w:rPr>
        <w:t xml:space="preserve">4.4 </w:t>
      </w:r>
      <w:r>
        <w:rPr>
          <w:rFonts w:hint="eastAsia" w:ascii="Times New Roman" w:hAnsi="Times New Roman" w:eastAsia="宋体" w:cs="Times New Roman"/>
          <w:b/>
          <w:bCs/>
          <w:sz w:val="32"/>
          <w:szCs w:val="32"/>
        </w:rPr>
        <w:t>小结</w:t>
      </w:r>
      <w:bookmarkEnd w:id="35"/>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本章从AGC、AVC和SVG三方面对场站涉网性能进行了评价和分析。由分析结果可知，XX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风电场本季度AGC控制性能X月最佳，X月最差。AVC控制偏差X月最小，X月最大，电压合格率X月最高，X月最低，电压调节不合格原因主要是XX。SVG控制性能X月最佳，X月最差。</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36" w:name="_Toc93481872"/>
      <w:bookmarkStart w:id="37" w:name="_Toc93583556"/>
      <w:r>
        <w:rPr>
          <w:rFonts w:hint="eastAsia" w:cs="Times New Roman" w:asciiTheme="majorEastAsia" w:hAnsiTheme="majorEastAsia" w:eastAsiaTheme="majorEastAsia"/>
          <w:b/>
          <w:bCs/>
          <w:sz w:val="32"/>
          <w:szCs w:val="32"/>
        </w:rPr>
        <w:t>五、功率预测性能评价及</w:t>
      </w:r>
      <w:bookmarkEnd w:id="36"/>
      <w:r>
        <w:rPr>
          <w:rFonts w:hint="eastAsia" w:cs="Times New Roman" w:asciiTheme="majorEastAsia" w:hAnsiTheme="majorEastAsia" w:eastAsiaTheme="majorEastAsia"/>
          <w:b/>
          <w:bCs/>
          <w:sz w:val="32"/>
          <w:szCs w:val="32"/>
        </w:rPr>
        <w:t>优化</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8" w:name="_Toc93481873"/>
      <w:bookmarkStart w:id="39" w:name="_Toc73967718"/>
      <w:r>
        <w:rPr>
          <w:rFonts w:ascii="Times New Roman" w:hAnsi="Times New Roman" w:eastAsia="宋体" w:cs="Times New Roman"/>
          <w:b/>
          <w:bCs/>
          <w:sz w:val="32"/>
          <w:szCs w:val="32"/>
        </w:rPr>
        <w:t xml:space="preserve">5.1 </w:t>
      </w:r>
      <w:r>
        <w:rPr>
          <w:rFonts w:hint="eastAsia" w:ascii="Times New Roman" w:hAnsi="Times New Roman" w:eastAsia="宋体" w:cs="Times New Roman"/>
          <w:b/>
          <w:bCs/>
          <w:sz w:val="32"/>
          <w:szCs w:val="32"/>
        </w:rPr>
        <w:t>风功率预测精度跟踪评价</w:t>
      </w:r>
      <w:bookmarkEnd w:id="38"/>
    </w:p>
    <w:bookmarkEnd w:id="39"/>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针对风电场整场的功率预测结果开展误差分析。所采用的短期功率预测误差评价指标与调度考核采用的误差评价指标相一致，</w:t>
      </w:r>
      <w:r>
        <w:rPr>
          <w:rFonts w:hint="eastAsia" w:cs="Times New Roman" w:asciiTheme="majorEastAsia" w:hAnsiTheme="majorEastAsia" w:eastAsiaTheme="majorEastAsia"/>
          <w:sz w:val="28"/>
          <w:szCs w:val="24"/>
        </w:rPr>
        <w:t>详情请参考两个细则考核要求。</w:t>
      </w:r>
      <w:r>
        <w:rPr>
          <w:rFonts w:cs="Times New Roman" w:asciiTheme="majorEastAsia" w:hAnsiTheme="majorEastAsia" w:eastAsiaTheme="majorEastAsia"/>
          <w:sz w:val="28"/>
          <w:szCs w:val="24"/>
        </w:rPr>
        <w:t xml:space="preserve"> </w:t>
      </w:r>
    </w:p>
    <w:p>
      <w:pPr>
        <w:pStyle w:val="4"/>
        <w:numPr>
          <w:ilvl w:val="0"/>
          <w:numId w:val="0"/>
        </w:numPr>
        <w:ind w:left="720" w:hanging="720"/>
      </w:pPr>
      <w:bookmarkStart w:id="40" w:name="_Toc93481874"/>
      <w:r>
        <w:t>5.1.1</w:t>
      </w:r>
      <w:r>
        <w:rPr>
          <w:rFonts w:hint="eastAsia"/>
        </w:rPr>
        <w:t>功率预测月度跟踪评价</w:t>
      </w:r>
      <w:bookmarkEnd w:id="40"/>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每日功率预测结果</w:t>
      </w:r>
      <w:r>
        <w:rPr>
          <w:rFonts w:ascii="Times New Roman" w:hAnsi="Times New Roman" w:eastAsia="宋体" w:cs="Times New Roman"/>
          <w:sz w:val="28"/>
          <w:szCs w:val="28"/>
        </w:rPr>
        <w:t>进行统计，得到图5</w:t>
      </w:r>
      <w:r>
        <w:rPr>
          <w:rFonts w:hint="eastAsia" w:ascii="Times New Roman" w:hAnsi="Times New Roman" w:eastAsia="宋体" w:cs="Times New Roman"/>
          <w:sz w:val="28"/>
          <w:szCs w:val="28"/>
        </w:rPr>
        <w:t>-</w:t>
      </w:r>
      <w:r>
        <w:rPr>
          <w:rFonts w:ascii="Times New Roman" w:hAnsi="Times New Roman" w:eastAsia="宋体" w:cs="Times New Roman"/>
          <w:sz w:val="28"/>
          <w:szCs w:val="28"/>
        </w:rPr>
        <w:t>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5</w:t>
      </w:r>
      <w:r>
        <w:rPr>
          <w:rFonts w:hint="eastAsia" w:ascii="Times New Roman" w:hAnsi="Times New Roman" w:eastAsia="宋体" w:cs="Times New Roman"/>
          <w:sz w:val="28"/>
          <w:szCs w:val="28"/>
        </w:rPr>
        <w:t>-</w:t>
      </w:r>
      <w:r>
        <w:rPr>
          <w:rFonts w:ascii="Times New Roman" w:hAnsi="Times New Roman" w:eastAsia="宋体" w:cs="Times New Roman"/>
          <w:sz w:val="28"/>
          <w:szCs w:val="28"/>
        </w:rPr>
        <w:t>2。</w:t>
      </w:r>
    </w:p>
    <w:p>
      <w:pPr>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3488690" cy="254381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1"/>
                    <a:stretch>
                      <a:fillRect/>
                    </a:stretch>
                  </pic:blipFill>
                  <pic:spPr>
                    <a:xfrm>
                      <a:off x="0" y="0"/>
                      <a:ext cx="3498762" cy="2551181"/>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图5-1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功率预测精度统计</w:t>
      </w:r>
      <w:r>
        <w:rPr>
          <w:rFonts w:ascii="Times New Roman" w:hAnsi="Times New Roman" w:eastAsia="宋体" w:cs="Times New Roman"/>
          <w:sz w:val="24"/>
          <w:szCs w:val="24"/>
        </w:rPr>
        <w:t>图</w:t>
      </w: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0975" cy="1224915"/>
            <wp:effectExtent l="0" t="0" r="15875" b="133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5260975" cy="122491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图5-2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w:t>
      </w:r>
      <w:r>
        <w:rPr>
          <w:rFonts w:ascii="Times New Roman" w:hAnsi="Times New Roman" w:eastAsia="宋体" w:cs="Times New Roman"/>
          <w:sz w:val="24"/>
          <w:szCs w:val="24"/>
        </w:rPr>
        <w:t>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XX年X月功率预测精度平均为X%，同比增长/下降X%，环比增长/下降X%，在冀北电网排名为XX，在XXX（地市）电网排名为XX。预测精度最高为XX%，预测精度最低为XX%</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每日功率预测结果</w:t>
      </w:r>
      <w:r>
        <w:rPr>
          <w:rFonts w:ascii="Times New Roman" w:hAnsi="Times New Roman" w:eastAsia="宋体" w:cs="Times New Roman"/>
          <w:sz w:val="28"/>
          <w:szCs w:val="28"/>
        </w:rPr>
        <w:t>进行统计，得到图5</w:t>
      </w:r>
      <w:r>
        <w:rPr>
          <w:rFonts w:hint="eastAsia" w:ascii="Times New Roman" w:hAnsi="Times New Roman" w:eastAsia="宋体" w:cs="Times New Roman"/>
          <w:sz w:val="28"/>
          <w:szCs w:val="28"/>
        </w:rPr>
        <w:t>-</w:t>
      </w:r>
      <w:r>
        <w:rPr>
          <w:rFonts w:ascii="Times New Roman" w:hAnsi="Times New Roman" w:eastAsia="宋体" w:cs="Times New Roman"/>
          <w:sz w:val="28"/>
          <w:szCs w:val="28"/>
        </w:rPr>
        <w:t>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5</w:t>
      </w:r>
      <w:r>
        <w:rPr>
          <w:rFonts w:hint="eastAsia" w:ascii="Times New Roman" w:hAnsi="Times New Roman" w:eastAsia="宋体" w:cs="Times New Roman"/>
          <w:sz w:val="28"/>
          <w:szCs w:val="28"/>
        </w:rPr>
        <w:t>-</w:t>
      </w:r>
      <w:r>
        <w:rPr>
          <w:rFonts w:ascii="Times New Roman" w:hAnsi="Times New Roman" w:eastAsia="宋体" w:cs="Times New Roman"/>
          <w:sz w:val="28"/>
          <w:szCs w:val="28"/>
        </w:rPr>
        <w:t>2。</w:t>
      </w:r>
    </w:p>
    <w:p>
      <w:pPr>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3488690" cy="2543810"/>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
                    <a:stretch>
                      <a:fillRect/>
                    </a:stretch>
                  </pic:blipFill>
                  <pic:spPr>
                    <a:xfrm>
                      <a:off x="0" y="0"/>
                      <a:ext cx="3498762" cy="2551181"/>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图5-1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功率预测精度统计</w:t>
      </w:r>
      <w:r>
        <w:rPr>
          <w:rFonts w:ascii="Times New Roman" w:hAnsi="Times New Roman" w:eastAsia="宋体" w:cs="Times New Roman"/>
          <w:sz w:val="24"/>
          <w:szCs w:val="24"/>
        </w:rPr>
        <w:t>图</w:t>
      </w: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0975" cy="1224915"/>
            <wp:effectExtent l="0" t="0" r="15875" b="133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2"/>
                    <a:stretch>
                      <a:fillRect/>
                    </a:stretch>
                  </pic:blipFill>
                  <pic:spPr>
                    <a:xfrm>
                      <a:off x="0" y="0"/>
                      <a:ext cx="5260975" cy="122491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图5-2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w:t>
      </w:r>
      <w:r>
        <w:rPr>
          <w:rFonts w:ascii="Times New Roman" w:hAnsi="Times New Roman" w:eastAsia="宋体" w:cs="Times New Roman"/>
          <w:sz w:val="24"/>
          <w:szCs w:val="24"/>
        </w:rPr>
        <w:t>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XX年X月功率预测精度平均为X%，同比增长/下降X%，环比增长/下降X%，在冀北地区排名为XX，在XXX区域排名为XX。预测精度最高为XX%，预测精度最低为XX%。</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rPr>
        <w:t>XXXX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每日功率预测结果</w:t>
      </w:r>
      <w:r>
        <w:rPr>
          <w:rFonts w:ascii="Times New Roman" w:hAnsi="Times New Roman" w:eastAsia="宋体" w:cs="Times New Roman"/>
          <w:sz w:val="28"/>
          <w:szCs w:val="28"/>
        </w:rPr>
        <w:t>进行统计，得到图5</w:t>
      </w:r>
      <w:r>
        <w:rPr>
          <w:rFonts w:hint="eastAsia" w:ascii="Times New Roman" w:hAnsi="Times New Roman" w:eastAsia="宋体" w:cs="Times New Roman"/>
          <w:sz w:val="28"/>
          <w:szCs w:val="28"/>
        </w:rPr>
        <w:t>-</w:t>
      </w:r>
      <w:r>
        <w:rPr>
          <w:rFonts w:ascii="Times New Roman" w:hAnsi="Times New Roman" w:eastAsia="宋体" w:cs="Times New Roman"/>
          <w:sz w:val="28"/>
          <w:szCs w:val="28"/>
        </w:rPr>
        <w:t>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5</w:t>
      </w:r>
      <w:r>
        <w:rPr>
          <w:rFonts w:hint="eastAsia" w:ascii="Times New Roman" w:hAnsi="Times New Roman" w:eastAsia="宋体" w:cs="Times New Roman"/>
          <w:sz w:val="28"/>
          <w:szCs w:val="28"/>
        </w:rPr>
        <w:t>-</w:t>
      </w:r>
      <w:r>
        <w:rPr>
          <w:rFonts w:ascii="Times New Roman" w:hAnsi="Times New Roman" w:eastAsia="宋体" w:cs="Times New Roman"/>
          <w:sz w:val="28"/>
          <w:szCs w:val="28"/>
        </w:rPr>
        <w:t>2。</w:t>
      </w:r>
    </w:p>
    <w:p>
      <w:pPr>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3488690" cy="2543810"/>
            <wp:effectExtent l="0" t="0" r="0"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1"/>
                    <a:stretch>
                      <a:fillRect/>
                    </a:stretch>
                  </pic:blipFill>
                  <pic:spPr>
                    <a:xfrm>
                      <a:off x="0" y="0"/>
                      <a:ext cx="3498762" cy="2551181"/>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图5-1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功率预测精度统计</w:t>
      </w:r>
      <w:r>
        <w:rPr>
          <w:rFonts w:ascii="Times New Roman" w:hAnsi="Times New Roman" w:eastAsia="宋体" w:cs="Times New Roman"/>
          <w:sz w:val="24"/>
          <w:szCs w:val="24"/>
        </w:rPr>
        <w:t>图</w:t>
      </w: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0975" cy="1224915"/>
            <wp:effectExtent l="0" t="0" r="15875" b="133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2"/>
                    <a:stretch>
                      <a:fillRect/>
                    </a:stretch>
                  </pic:blipFill>
                  <pic:spPr>
                    <a:xfrm>
                      <a:off x="0" y="0"/>
                      <a:ext cx="5260975" cy="122491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图5-2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功率预测精度</w:t>
      </w:r>
      <w:r>
        <w:rPr>
          <w:rFonts w:ascii="Times New Roman" w:hAnsi="Times New Roman" w:eastAsia="宋体" w:cs="Times New Roman"/>
          <w:sz w:val="24"/>
          <w:szCs w:val="24"/>
        </w:rPr>
        <w:t>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XX年X月功率预测精度平均为X%，同比增长/下降X%，环比增长/下降X%，在冀北地区排名为XX，在XXX区域排名为XX。预测精度最高为XX%，预测精度最低为XX%</w:t>
      </w:r>
    </w:p>
    <w:p>
      <w:pPr>
        <w:pStyle w:val="4"/>
        <w:numPr>
          <w:ilvl w:val="0"/>
          <w:numId w:val="0"/>
        </w:numPr>
        <w:ind w:left="720" w:hanging="720"/>
      </w:pPr>
      <w:bookmarkStart w:id="41" w:name="_Toc93481875"/>
      <w:r>
        <w:t xml:space="preserve">5.1.2 </w:t>
      </w:r>
      <w:r>
        <w:rPr>
          <w:rFonts w:hint="eastAsia"/>
        </w:rPr>
        <w:t>典型日综合分析</w:t>
      </w:r>
      <w:bookmarkEnd w:id="41"/>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XX风电场第X</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w:t>
      </w:r>
      <w:r>
        <w:rPr>
          <w:rFonts w:hint="eastAsia" w:ascii="Times New Roman" w:hAnsi="Times New Roman" w:eastAsia="宋体" w:cs="Times New Roman"/>
          <w:sz w:val="28"/>
          <w:szCs w:val="28"/>
        </w:rPr>
        <w:t>预测精度</w:t>
      </w:r>
      <w:r>
        <w:rPr>
          <w:rFonts w:ascii="Times New Roman" w:hAnsi="Times New Roman" w:eastAsia="宋体" w:cs="Times New Roman"/>
          <w:sz w:val="28"/>
          <w:szCs w:val="28"/>
        </w:rPr>
        <w:t>最</w:t>
      </w:r>
      <w:r>
        <w:rPr>
          <w:rFonts w:hint="eastAsia" w:ascii="Times New Roman" w:hAnsi="Times New Roman" w:eastAsia="宋体" w:cs="Times New Roman"/>
          <w:sz w:val="28"/>
          <w:szCs w:val="28"/>
        </w:rPr>
        <w:t>低</w:t>
      </w:r>
      <w:r>
        <w:rPr>
          <w:rFonts w:ascii="Times New Roman" w:hAnsi="Times New Roman" w:eastAsia="宋体" w:cs="Times New Roman"/>
          <w:sz w:val="28"/>
          <w:szCs w:val="28"/>
        </w:rPr>
        <w:t>，</w:t>
      </w:r>
      <w:r>
        <w:rPr>
          <w:rFonts w:hint="eastAsia" w:ascii="Times New Roman" w:hAnsi="Times New Roman" w:eastAsia="宋体" w:cs="Times New Roman"/>
          <w:sz w:val="28"/>
          <w:szCs w:val="28"/>
        </w:rPr>
        <w:t>为X</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ascii="Times New Roman" w:hAnsi="Times New Roman" w:eastAsia="宋体" w:cs="Times New Roman"/>
          <w:sz w:val="28"/>
          <w:szCs w:val="28"/>
        </w:rPr>
        <w:t>当日</w:t>
      </w:r>
      <w:r>
        <w:rPr>
          <w:rFonts w:hint="eastAsia" w:ascii="Times New Roman" w:hAnsi="Times New Roman" w:eastAsia="宋体" w:cs="Times New Roman"/>
          <w:sz w:val="28"/>
          <w:szCs w:val="28"/>
        </w:rPr>
        <w:t>预测值与实际值的对比分析如下图</w:t>
      </w:r>
      <w:r>
        <w:rPr>
          <w:rFonts w:ascii="Times New Roman" w:hAnsi="Times New Roman" w:eastAsia="宋体" w:cs="Times New Roman"/>
          <w:sz w:val="28"/>
          <w:szCs w:val="28"/>
        </w:rPr>
        <w:t>。</w:t>
      </w:r>
    </w:p>
    <w:p>
      <w:pPr>
        <w:rPr>
          <w:rFonts w:ascii="Times New Roman" w:hAnsi="Times New Roman" w:eastAsia="宋体" w:cs="Times New Roman"/>
          <w:sz w:val="28"/>
          <w:szCs w:val="28"/>
        </w:rPr>
      </w:pPr>
      <w:r>
        <w:rPr>
          <w:rFonts w:ascii="Times New Roman" w:hAnsi="Times New Roman" w:eastAsia="宋体" w:cs="Times New Roman"/>
          <w:sz w:val="28"/>
          <w:szCs w:val="28"/>
        </w:rPr>
        <w:drawing>
          <wp:inline distT="0" distB="0" distL="0" distR="0">
            <wp:extent cx="5274310" cy="1576705"/>
            <wp:effectExtent l="0" t="0" r="2540" b="444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274310" cy="1576705"/>
                    </a:xfrm>
                    <a:prstGeom prst="rect">
                      <a:avLst/>
                    </a:prstGeom>
                    <a:noFill/>
                    <a:ln>
                      <a:noFill/>
                    </a:ln>
                  </pic:spPr>
                </pic:pic>
              </a:graphicData>
            </a:graphic>
          </wp:inline>
        </w:drawing>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图5</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3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w:t>
      </w:r>
      <w:r>
        <w:rPr>
          <w:rFonts w:hint="eastAsia" w:ascii="Times New Roman" w:hAnsi="Times New Roman" w:eastAsia="宋体" w:cs="Times New Roman"/>
          <w:sz w:val="24"/>
          <w:szCs w:val="24"/>
        </w:rPr>
        <w:t>功率预测精度分析</w:t>
      </w:r>
    </w:p>
    <w:p>
      <w:pPr>
        <w:spacing w:line="360" w:lineRule="auto"/>
        <w:ind w:firstLine="560" w:firstLineChars="200"/>
        <w:rPr>
          <w:rFonts w:cs="Times New Roman" w:asciiTheme="majorEastAsia" w:hAnsiTheme="majorEastAsia" w:eastAsiaTheme="majorEastAsia"/>
          <w:sz w:val="28"/>
          <w:szCs w:val="24"/>
        </w:rPr>
      </w:pPr>
      <w:commentRangeStart w:id="0"/>
      <w:r>
        <w:rPr>
          <w:rFonts w:hint="eastAsia" w:cs="Times New Roman" w:asciiTheme="majorEastAsia" w:hAnsiTheme="majorEastAsia" w:eastAsiaTheme="majorEastAsia"/>
          <w:sz w:val="28"/>
          <w:szCs w:val="24"/>
        </w:rPr>
        <w:t>X</w:t>
      </w:r>
      <w:r>
        <w:rPr>
          <w:rFonts w:cs="Times New Roman" w:asciiTheme="majorEastAsia" w:hAnsiTheme="majorEastAsia" w:eastAsiaTheme="majorEastAsia"/>
          <w:sz w:val="28"/>
          <w:szCs w:val="24"/>
        </w:rPr>
        <w:t>XX风电场</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功率预测调度实际考核电量如表</w:t>
      </w:r>
      <w:r>
        <w:rPr>
          <w:rFonts w:hint="eastAsia" w:cs="Times New Roman" w:asciiTheme="majorEastAsia" w:hAnsiTheme="majorEastAsia" w:eastAsiaTheme="majorEastAsia"/>
          <w:sz w:val="28"/>
          <w:szCs w:val="24"/>
        </w:rPr>
        <w:t>5-1所示（未考虑免考等情况），其中</w:t>
      </w:r>
      <w:r>
        <w:rPr>
          <w:rFonts w:cs="Times New Roman" w:asciiTheme="majorEastAsia" w:hAnsiTheme="majorEastAsia" w:eastAsiaTheme="majorEastAsia"/>
          <w:sz w:val="28"/>
          <w:szCs w:val="24"/>
        </w:rPr>
        <w:t>X</w:t>
      </w:r>
      <w:r>
        <w:rPr>
          <w:rFonts w:hint="eastAsia" w:cs="Times New Roman" w:asciiTheme="majorEastAsia" w:hAnsiTheme="majorEastAsia" w:eastAsiaTheme="majorEastAsia"/>
          <w:sz w:val="28"/>
          <w:szCs w:val="24"/>
        </w:rPr>
        <w:t>月考核电量最高，为</w:t>
      </w:r>
      <w:r>
        <w:rPr>
          <w:rFonts w:cs="Times New Roman" w:asciiTheme="majorEastAsia" w:hAnsiTheme="majorEastAsia" w:eastAsiaTheme="majorEastAsia"/>
          <w:sz w:val="28"/>
          <w:szCs w:val="24"/>
        </w:rPr>
        <w:t>XXMW</w:t>
      </w:r>
      <w:r>
        <w:rPr>
          <w:rFonts w:hint="eastAsia" w:cs="Times New Roman" w:asciiTheme="majorEastAsia" w:hAnsiTheme="majorEastAsia" w:eastAsiaTheme="majorEastAsia"/>
          <w:sz w:val="28"/>
          <w:szCs w:val="24"/>
        </w:rPr>
        <w:t>；</w:t>
      </w:r>
      <w:r>
        <w:rPr>
          <w:rFonts w:cs="Times New Roman" w:asciiTheme="majorEastAsia" w:hAnsiTheme="majorEastAsia" w:eastAsiaTheme="majorEastAsia"/>
          <w:sz w:val="28"/>
          <w:szCs w:val="24"/>
        </w:rPr>
        <w:t>X月考核电量最低</w:t>
      </w:r>
      <w:r>
        <w:rPr>
          <w:rFonts w:hint="eastAsia" w:cs="Times New Roman" w:asciiTheme="majorEastAsia" w:hAnsiTheme="majorEastAsia" w:eastAsiaTheme="majorEastAsia"/>
          <w:sz w:val="28"/>
          <w:szCs w:val="24"/>
        </w:rPr>
        <w:t>，</w:t>
      </w:r>
      <w:r>
        <w:rPr>
          <w:rFonts w:cs="Times New Roman" w:asciiTheme="majorEastAsia" w:hAnsiTheme="majorEastAsia" w:eastAsiaTheme="majorEastAsia"/>
          <w:sz w:val="28"/>
          <w:szCs w:val="24"/>
        </w:rPr>
        <w:t>为XXMW</w:t>
      </w:r>
      <w:r>
        <w:rPr>
          <w:rFonts w:hint="eastAsia" w:cs="Times New Roman" w:asciiTheme="majorEastAsia" w:hAnsiTheme="majorEastAsia" w:eastAsiaTheme="majorEastAsia"/>
          <w:sz w:val="28"/>
          <w:szCs w:val="24"/>
        </w:rPr>
        <w:t>。</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表</w:t>
      </w:r>
      <w:r>
        <w:rPr>
          <w:rFonts w:ascii="Times New Roman" w:hAnsi="Times New Roman" w:eastAsia="宋体" w:cs="Times New Roman"/>
          <w:sz w:val="24"/>
          <w:szCs w:val="24"/>
        </w:rPr>
        <w:t>5</w:t>
      </w:r>
      <w:r>
        <w:rPr>
          <w:rFonts w:hint="eastAsia" w:ascii="Times New Roman" w:hAnsi="Times New Roman" w:eastAsia="宋体" w:cs="Times New Roman"/>
          <w:sz w:val="24"/>
          <w:szCs w:val="24"/>
        </w:rPr>
        <w:t>-</w:t>
      </w:r>
      <w:r>
        <w:rPr>
          <w:rFonts w:ascii="Times New Roman" w:hAnsi="Times New Roman" w:eastAsia="宋体" w:cs="Times New Roman"/>
          <w:sz w:val="24"/>
          <w:szCs w:val="24"/>
        </w:rPr>
        <w:t>1</w:t>
      </w:r>
      <w:r>
        <w:rPr>
          <w:rFonts w:hint="eastAsia" w:ascii="Times New Roman" w:hAnsi="Times New Roman" w:eastAsia="宋体" w:cs="Times New Roman"/>
          <w:sz w:val="24"/>
          <w:szCs w:val="24"/>
        </w:rPr>
        <w:t xml:space="preserve"> 月度</w:t>
      </w:r>
      <w:r>
        <w:rPr>
          <w:rFonts w:ascii="Times New Roman" w:hAnsi="Times New Roman" w:eastAsia="宋体" w:cs="Times New Roman"/>
          <w:sz w:val="24"/>
          <w:szCs w:val="24"/>
        </w:rPr>
        <w:t>考核电量统计</w:t>
      </w:r>
    </w:p>
    <w:tbl>
      <w:tblPr>
        <w:tblStyle w:val="37"/>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0"/>
        <w:gridCol w:w="1370"/>
        <w:gridCol w:w="1371"/>
        <w:gridCol w:w="1370"/>
        <w:gridCol w:w="1370"/>
        <w:gridCol w:w="1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 w:hRule="atLeast"/>
          <w:jc w:val="center"/>
        </w:trPr>
        <w:tc>
          <w:tcPr>
            <w:tcW w:w="1370" w:type="dxa"/>
            <w:shd w:val="clear" w:color="auto" w:fill="auto"/>
            <w:vAlign w:val="center"/>
          </w:tcPr>
          <w:p>
            <w:pPr>
              <w:widowControl/>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月份</w:t>
            </w: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1" w:type="dxa"/>
            <w:shd w:val="clear" w:color="auto" w:fill="auto"/>
            <w:vAlign w:val="center"/>
          </w:tcPr>
          <w:p>
            <w:pPr>
              <w:widowControl/>
              <w:jc w:val="center"/>
              <w:rPr>
                <w:rFonts w:ascii="Times New Roman" w:hAnsi="Times New Roman" w:eastAsia="宋体" w:cs="Times New Roman"/>
                <w:sz w:val="24"/>
                <w:szCs w:val="24"/>
              </w:rPr>
            </w:pP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1" w:type="dxa"/>
            <w:shd w:val="clear" w:color="auto" w:fill="auto"/>
            <w:vAlign w:val="center"/>
          </w:tcPr>
          <w:p>
            <w:pPr>
              <w:widowControl/>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9" w:hRule="atLeast"/>
          <w:jc w:val="center"/>
        </w:trPr>
        <w:tc>
          <w:tcPr>
            <w:tcW w:w="1370" w:type="dxa"/>
            <w:shd w:val="clear" w:color="auto" w:fill="auto"/>
            <w:vAlign w:val="center"/>
          </w:tcPr>
          <w:p>
            <w:pPr>
              <w:widowControl/>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调度实际考核电量（</w:t>
            </w:r>
            <w:r>
              <w:rPr>
                <w:rFonts w:ascii="Times New Roman" w:hAnsi="Times New Roman" w:eastAsia="宋体" w:cs="Times New Roman"/>
                <w:sz w:val="24"/>
                <w:szCs w:val="24"/>
              </w:rPr>
              <w:t>MW</w:t>
            </w:r>
            <w:r>
              <w:rPr>
                <w:rFonts w:hint="eastAsia" w:ascii="Times New Roman" w:hAnsi="Times New Roman" w:eastAsia="宋体" w:cs="Times New Roman"/>
                <w:sz w:val="24"/>
                <w:szCs w:val="24"/>
              </w:rPr>
              <w:t>）</w:t>
            </w: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1" w:type="dxa"/>
            <w:shd w:val="clear" w:color="auto" w:fill="auto"/>
            <w:vAlign w:val="center"/>
          </w:tcPr>
          <w:p>
            <w:pPr>
              <w:widowControl/>
              <w:jc w:val="center"/>
              <w:rPr>
                <w:rFonts w:ascii="Times New Roman" w:hAnsi="Times New Roman" w:eastAsia="宋体" w:cs="Times New Roman"/>
                <w:sz w:val="24"/>
                <w:szCs w:val="24"/>
              </w:rPr>
            </w:pP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0" w:type="dxa"/>
            <w:shd w:val="clear" w:color="auto" w:fill="auto"/>
            <w:vAlign w:val="center"/>
          </w:tcPr>
          <w:p>
            <w:pPr>
              <w:widowControl/>
              <w:jc w:val="center"/>
              <w:rPr>
                <w:rFonts w:ascii="Times New Roman" w:hAnsi="Times New Roman" w:eastAsia="宋体" w:cs="Times New Roman"/>
                <w:sz w:val="24"/>
                <w:szCs w:val="24"/>
              </w:rPr>
            </w:pPr>
          </w:p>
        </w:tc>
        <w:tc>
          <w:tcPr>
            <w:tcW w:w="1371" w:type="dxa"/>
            <w:shd w:val="clear" w:color="auto" w:fill="auto"/>
            <w:vAlign w:val="center"/>
          </w:tcPr>
          <w:p>
            <w:pPr>
              <w:widowControl/>
              <w:jc w:val="center"/>
              <w:rPr>
                <w:rFonts w:ascii="Times New Roman" w:hAnsi="Times New Roman" w:eastAsia="宋体" w:cs="Times New Roman"/>
                <w:sz w:val="24"/>
                <w:szCs w:val="24"/>
              </w:rPr>
            </w:pPr>
          </w:p>
        </w:tc>
      </w:tr>
      <w:commentRangeEnd w:id="0"/>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r>
        <w:rPr>
          <w:rStyle w:val="47"/>
        </w:rPr>
        <w:commentReference w:id="0"/>
      </w:r>
      <w:bookmarkStart w:id="42" w:name="_Toc93481876"/>
      <w:r>
        <w:rPr>
          <w:rFonts w:ascii="Times New Roman" w:hAnsi="Times New Roman" w:eastAsia="宋体" w:cs="Times New Roman"/>
          <w:b/>
          <w:bCs/>
          <w:sz w:val="32"/>
          <w:szCs w:val="32"/>
        </w:rPr>
        <w:t xml:space="preserve">5.2 </w:t>
      </w:r>
      <w:r>
        <w:rPr>
          <w:rFonts w:hint="eastAsia" w:ascii="Times New Roman" w:hAnsi="Times New Roman" w:eastAsia="宋体" w:cs="Times New Roman"/>
          <w:b/>
          <w:bCs/>
          <w:sz w:val="32"/>
          <w:szCs w:val="32"/>
        </w:rPr>
        <w:t>风功率预测优化及对比分析</w:t>
      </w:r>
      <w:bookmarkEnd w:id="42"/>
    </w:p>
    <w:p>
      <w:pPr>
        <w:pStyle w:val="4"/>
        <w:numPr>
          <w:ilvl w:val="0"/>
          <w:numId w:val="0"/>
        </w:numPr>
        <w:ind w:left="720" w:hanging="720"/>
      </w:pPr>
      <w:bookmarkStart w:id="43" w:name="_Toc93481877"/>
      <w:r>
        <w:t>5.2.1</w:t>
      </w:r>
      <w:r>
        <w:rPr>
          <w:rFonts w:hint="eastAsia"/>
        </w:rPr>
        <w:t>预测精度提升方案</w:t>
      </w:r>
      <w:bookmarkEnd w:id="43"/>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针对场站上报功率预测结果，依托平台气象数据等场站及单机信息数据开展预测功率结果修正优化工作。</w:t>
      </w:r>
      <w:r>
        <w:rPr>
          <w:rFonts w:hint="eastAsia" w:cs="Times New Roman" w:asciiTheme="majorEastAsia" w:hAnsiTheme="majorEastAsia" w:eastAsiaTheme="majorEastAsia"/>
          <w:sz w:val="28"/>
          <w:szCs w:val="24"/>
        </w:rPr>
        <w:t>支撑多</w:t>
      </w:r>
      <w:r>
        <w:rPr>
          <w:rFonts w:cs="Times New Roman" w:asciiTheme="majorEastAsia" w:hAnsiTheme="majorEastAsia" w:eastAsiaTheme="majorEastAsia"/>
          <w:sz w:val="28"/>
          <w:szCs w:val="24"/>
        </w:rPr>
        <w:t>NWP数据源接入、兼容多个厂家的功率预测模型，通过不同数据源-模型组合的功率预测过程建模及结果计算，实现由场站功率预测总体误差到“数据源误差+模型误差”的解耦评价，挖掘场站功率预测短板环节；针对功率预测误差引入环节，制定“数据源级-模型级-预测结果级”的个性化修正模型，对各场站上报结果修正优化，提升各场站乃至全冀北的功率预测准确度。</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针对XXX风电场XX年</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考核电量、每日的功率预测准确率以及逐15min的预测与实测结果，分别进行计算与分析，详细结果如下</w:t>
      </w:r>
      <w:r>
        <w:rPr>
          <w:rFonts w:hint="eastAsia" w:cs="Times New Roman" w:asciiTheme="majorEastAsia" w:hAnsiTheme="majorEastAsia" w:eastAsiaTheme="majorEastAsia"/>
          <w:sz w:val="28"/>
          <w:szCs w:val="24"/>
        </w:rPr>
        <w:t>。</w:t>
      </w:r>
    </w:p>
    <w:p>
      <w:pPr>
        <w:pStyle w:val="4"/>
        <w:numPr>
          <w:ilvl w:val="0"/>
          <w:numId w:val="0"/>
        </w:numPr>
        <w:ind w:left="720" w:hanging="720"/>
      </w:pPr>
      <w:bookmarkStart w:id="44" w:name="_Toc93481878"/>
      <w:r>
        <w:t>5.2.2</w:t>
      </w:r>
      <w:r>
        <w:rPr>
          <w:rFonts w:hint="eastAsia"/>
        </w:rPr>
        <w:t>优化前后月度功率预测考核电量</w:t>
      </w:r>
      <w:bookmarkEnd w:id="44"/>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对</w:t>
      </w:r>
      <w:r>
        <w:rPr>
          <w:rFonts w:hint="eastAsia" w:cs="Times New Roman" w:asciiTheme="majorEastAsia" w:hAnsiTheme="majorEastAsia" w:eastAsiaTheme="majorEastAsia"/>
          <w:sz w:val="28"/>
          <w:szCs w:val="24"/>
        </w:rPr>
        <w:t>X</w:t>
      </w:r>
      <w:r>
        <w:rPr>
          <w:rFonts w:cs="Times New Roman" w:asciiTheme="majorEastAsia" w:hAnsiTheme="majorEastAsia" w:eastAsiaTheme="majorEastAsia"/>
          <w:sz w:val="28"/>
          <w:szCs w:val="24"/>
        </w:rPr>
        <w:t>XX风电场开展功率预测优化工作前后的月度考核电量进行计算</w:t>
      </w:r>
      <w:r>
        <w:rPr>
          <w:rFonts w:hint="eastAsia" w:cs="Times New Roman" w:asciiTheme="majorEastAsia" w:hAnsiTheme="majorEastAsia" w:eastAsiaTheme="majorEastAsia"/>
          <w:sz w:val="28"/>
          <w:szCs w:val="24"/>
        </w:rPr>
        <w:t>（未考虑免考等情况）</w:t>
      </w:r>
      <w:r>
        <w:rPr>
          <w:rFonts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的修正前后月度考核电量变化如图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4所示</w:t>
      </w:r>
      <w:r>
        <w:rPr>
          <w:rFonts w:hint="eastAsia" w:cs="Times New Roman" w:asciiTheme="majorEastAsia" w:hAnsiTheme="majorEastAsia" w:eastAsiaTheme="majorEastAsia"/>
          <w:sz w:val="28"/>
          <w:szCs w:val="24"/>
        </w:rPr>
        <w:t>，估算经</w:t>
      </w:r>
      <w:r>
        <w:rPr>
          <w:rFonts w:cs="Times New Roman" w:asciiTheme="majorEastAsia" w:hAnsiTheme="majorEastAsia" w:eastAsiaTheme="majorEastAsia"/>
          <w:sz w:val="28"/>
          <w:szCs w:val="24"/>
        </w:rPr>
        <w:t>模型优化后对于考核电量的降低</w:t>
      </w:r>
      <w:r>
        <w:rPr>
          <w:rFonts w:hint="eastAsia" w:cs="Times New Roman" w:asciiTheme="majorEastAsia" w:hAnsiTheme="majorEastAsia" w:eastAsiaTheme="majorEastAsia"/>
          <w:sz w:val="28"/>
          <w:szCs w:val="24"/>
        </w:rPr>
        <w:t>情况统计</w:t>
      </w:r>
      <w:r>
        <w:rPr>
          <w:rFonts w:cs="Times New Roman" w:asciiTheme="majorEastAsia" w:hAnsiTheme="majorEastAsia" w:eastAsiaTheme="majorEastAsia"/>
          <w:sz w:val="28"/>
          <w:szCs w:val="24"/>
        </w:rPr>
        <w:t>如表</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5</w:t>
      </w:r>
      <w:r>
        <w:rPr>
          <w:rFonts w:hint="eastAsia" w:cs="Times New Roman" w:asciiTheme="majorEastAsia" w:hAnsiTheme="majorEastAsia" w:eastAsiaTheme="majorEastAsia"/>
          <w:sz w:val="28"/>
          <w:szCs w:val="24"/>
        </w:rPr>
        <w:t>所示</w:t>
      </w:r>
      <w:r>
        <w:rPr>
          <w:rFonts w:cs="Times New Roman" w:asciiTheme="majorEastAsia" w:hAnsiTheme="majorEastAsia" w:eastAsiaTheme="majorEastAsia"/>
          <w:sz w:val="28"/>
          <w:szCs w:val="24"/>
        </w:rPr>
        <w:t>。</w:t>
      </w:r>
    </w:p>
    <w:p>
      <w:pPr>
        <w:spacing w:line="360" w:lineRule="auto"/>
        <w:jc w:val="center"/>
        <w:rPr>
          <w:rFonts w:ascii="Times New Roman" w:hAnsi="Times New Roman" w:eastAsia="仿宋" w:cs="Times New Roman"/>
          <w:sz w:val="24"/>
          <w:szCs w:val="24"/>
        </w:rPr>
      </w:pPr>
      <w:r>
        <w:rPr>
          <w:rFonts w:ascii="Times New Roman" w:hAnsi="Times New Roman" w:eastAsia="仿宋" w:cs="Times New Roman"/>
          <w:sz w:val="24"/>
          <w:szCs w:val="24"/>
          <w:highlight w:val="yellow"/>
        </w:rPr>
        <w:drawing>
          <wp:inline distT="0" distB="0" distL="0" distR="0">
            <wp:extent cx="3956050" cy="2159635"/>
            <wp:effectExtent l="0" t="0" r="6350" b="0"/>
            <wp:docPr id="33" name="图片 33" descr="C:\Users\qy\Notebook\冀北工作算例\数据平台算例\202009-平台WPF准确率验证\Output Figures\new-修正前后不同月份的考核电量-鲁能迎峰岭风电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Users\qy\Notebook\冀北工作算例\数据平台算例\202009-平台WPF准确率验证\Output Figures\new-修正前后不同月份的考核电量-鲁能迎峰岭风电场.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3956586" cy="2160000"/>
                    </a:xfrm>
                    <a:prstGeom prst="rect">
                      <a:avLst/>
                    </a:prstGeom>
                    <a:noFill/>
                    <a:ln>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图</w:t>
      </w:r>
      <w:r>
        <w:rPr>
          <w:rFonts w:hint="eastAsia" w:ascii="Times New Roman" w:hAnsi="Times New Roman" w:eastAsia="宋体" w:cs="Times New Roman"/>
          <w:sz w:val="24"/>
          <w:szCs w:val="24"/>
        </w:rPr>
        <w:t>5-</w:t>
      </w:r>
      <w:r>
        <w:rPr>
          <w:rFonts w:ascii="Times New Roman" w:hAnsi="Times New Roman" w:eastAsia="宋体" w:cs="Times New Roman"/>
          <w:sz w:val="24"/>
          <w:szCs w:val="24"/>
        </w:rPr>
        <w:t>4 优化前后考核电量对比图（逐月）</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表5-</w:t>
      </w:r>
      <w:r>
        <w:rPr>
          <w:rFonts w:ascii="Times New Roman" w:hAnsi="Times New Roman" w:eastAsia="宋体" w:cs="Times New Roman"/>
          <w:sz w:val="24"/>
          <w:szCs w:val="24"/>
        </w:rPr>
        <w:t>2</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优化后</w:t>
      </w:r>
      <w:r>
        <w:rPr>
          <w:rFonts w:hint="eastAsia" w:ascii="Times New Roman" w:hAnsi="Times New Roman" w:eastAsia="宋体" w:cs="Times New Roman"/>
          <w:sz w:val="24"/>
          <w:szCs w:val="24"/>
        </w:rPr>
        <w:t>月度</w:t>
      </w:r>
      <w:r>
        <w:rPr>
          <w:rFonts w:ascii="Times New Roman" w:hAnsi="Times New Roman" w:eastAsia="宋体" w:cs="Times New Roman"/>
          <w:sz w:val="24"/>
          <w:szCs w:val="24"/>
        </w:rPr>
        <w:t>考核电量</w:t>
      </w:r>
      <w:r>
        <w:rPr>
          <w:rFonts w:hint="eastAsia" w:ascii="Times New Roman" w:hAnsi="Times New Roman" w:eastAsia="宋体" w:cs="Times New Roman"/>
          <w:sz w:val="24"/>
          <w:szCs w:val="24"/>
        </w:rPr>
        <w:t>降低</w:t>
      </w:r>
      <w:r>
        <w:rPr>
          <w:rFonts w:ascii="Times New Roman" w:hAnsi="Times New Roman" w:eastAsia="宋体" w:cs="Times New Roman"/>
          <w:sz w:val="24"/>
          <w:szCs w:val="24"/>
        </w:rPr>
        <w:t>情况统计</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月份</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优化前实际</w:t>
            </w:r>
            <w:r>
              <w:rPr>
                <w:rFonts w:ascii="Times New Roman" w:hAnsi="Times New Roman" w:eastAsia="宋体" w:cs="Times New Roman"/>
                <w:sz w:val="24"/>
                <w:szCs w:val="24"/>
              </w:rPr>
              <w:t>考核电量</w:t>
            </w:r>
            <w:r>
              <w:rPr>
                <w:rFonts w:hint="eastAsia" w:ascii="Times New Roman" w:hAnsi="Times New Roman" w:eastAsia="宋体" w:cs="Times New Roman"/>
                <w:sz w:val="24"/>
                <w:szCs w:val="24"/>
              </w:rPr>
              <w:t>（MW）</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优化</w:t>
            </w:r>
            <w:r>
              <w:rPr>
                <w:rFonts w:ascii="Times New Roman" w:hAnsi="Times New Roman" w:eastAsia="宋体" w:cs="Times New Roman"/>
                <w:sz w:val="24"/>
                <w:szCs w:val="24"/>
              </w:rPr>
              <w:t>后估算考核电量</w:t>
            </w:r>
            <w:r>
              <w:rPr>
                <w:rFonts w:hint="eastAsia" w:ascii="Times New Roman" w:hAnsi="Times New Roman" w:eastAsia="宋体" w:cs="Times New Roman"/>
                <w:sz w:val="24"/>
                <w:szCs w:val="24"/>
              </w:rPr>
              <w:t>（MW）</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考核金额</w:t>
            </w:r>
            <w:r>
              <w:rPr>
                <w:rFonts w:ascii="Times New Roman" w:hAnsi="Times New Roman" w:eastAsia="宋体" w:cs="Times New Roman"/>
                <w:sz w:val="24"/>
                <w:szCs w:val="24"/>
              </w:rPr>
              <w:t>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c>
          <w:tcPr>
            <w:tcW w:w="2074" w:type="dxa"/>
          </w:tcPr>
          <w:p>
            <w:pPr>
              <w:spacing w:line="360" w:lineRule="auto"/>
              <w:jc w:val="center"/>
              <w:rPr>
                <w:rFonts w:ascii="Times New Roman" w:hAnsi="Times New Roman" w:eastAsia="宋体" w:cs="Times New Roman"/>
                <w:sz w:val="24"/>
                <w:szCs w:val="24"/>
              </w:rPr>
            </w:pPr>
          </w:p>
        </w:tc>
      </w:tr>
    </w:tbl>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w:t>
      </w:r>
      <w:r>
        <w:rPr>
          <w:rFonts w:hint="eastAsia" w:cs="Times New Roman" w:asciiTheme="majorEastAsia" w:hAnsiTheme="majorEastAsia" w:eastAsiaTheme="majorEastAsia"/>
          <w:sz w:val="28"/>
          <w:szCs w:val="24"/>
        </w:rPr>
        <w:t>和</w:t>
      </w:r>
      <w:r>
        <w:rPr>
          <w:rFonts w:cs="Times New Roman" w:asciiTheme="majorEastAsia" w:hAnsiTheme="majorEastAsia" w:eastAsiaTheme="majorEastAsia"/>
          <w:sz w:val="28"/>
          <w:szCs w:val="24"/>
        </w:rPr>
        <w:t>表</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4显示，通过功率预测专项优化，预计能够显著降低</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考核电量，降低值分别为XXMW、XXMW、XXMW；X月份的考核电量基本维持不变；X月份的考核略有增加，增加值为XX MW。综合来看，通过场站功率预测上报结果优化，预计能将</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共计X个月份的考核电量平均每月降低了XX MW，</w:t>
      </w:r>
      <w:r>
        <w:rPr>
          <w:rFonts w:hint="eastAsia" w:cs="Times New Roman" w:asciiTheme="majorEastAsia" w:hAnsiTheme="majorEastAsia" w:eastAsiaTheme="majorEastAsia"/>
          <w:sz w:val="28"/>
          <w:szCs w:val="24"/>
        </w:rPr>
        <w:t>将月度</w:t>
      </w:r>
      <w:r>
        <w:rPr>
          <w:rFonts w:cs="Times New Roman" w:asciiTheme="majorEastAsia" w:hAnsiTheme="majorEastAsia" w:eastAsiaTheme="majorEastAsia"/>
          <w:sz w:val="28"/>
          <w:szCs w:val="24"/>
        </w:rPr>
        <w:t>考核金额平均降低XX%，X</w:t>
      </w:r>
      <w:r>
        <w:rPr>
          <w:rFonts w:hint="eastAsia" w:cs="Times New Roman" w:asciiTheme="majorEastAsia" w:hAnsiTheme="majorEastAsia" w:eastAsiaTheme="majorEastAsia"/>
          <w:sz w:val="28"/>
          <w:szCs w:val="24"/>
        </w:rPr>
        <w:t>月</w:t>
      </w:r>
      <w:r>
        <w:rPr>
          <w:rFonts w:cs="Times New Roman" w:asciiTheme="majorEastAsia" w:hAnsiTheme="majorEastAsia" w:eastAsiaTheme="majorEastAsia"/>
          <w:sz w:val="28"/>
          <w:szCs w:val="24"/>
        </w:rPr>
        <w:t>的考核金额降低百分比最高，可达XX %。</w:t>
      </w:r>
    </w:p>
    <w:p>
      <w:pPr>
        <w:pStyle w:val="4"/>
        <w:numPr>
          <w:ilvl w:val="0"/>
          <w:numId w:val="0"/>
        </w:numPr>
        <w:ind w:left="720" w:hanging="720"/>
      </w:pPr>
      <w:bookmarkStart w:id="45" w:name="_Toc93481879"/>
      <w:r>
        <w:t>5.2.3</w:t>
      </w:r>
      <w:r>
        <w:rPr>
          <w:rFonts w:hint="eastAsia"/>
        </w:rPr>
        <w:t>优化前后日前功率预测准确率</w:t>
      </w:r>
      <w:bookmarkEnd w:id="45"/>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对</w:t>
      </w:r>
      <w:r>
        <w:rPr>
          <w:rFonts w:hint="eastAsia" w:cs="Times New Roman" w:asciiTheme="majorEastAsia" w:hAnsiTheme="majorEastAsia" w:eastAsiaTheme="majorEastAsia"/>
          <w:sz w:val="28"/>
          <w:szCs w:val="24"/>
        </w:rPr>
        <w:t>X</w:t>
      </w:r>
      <w:r>
        <w:rPr>
          <w:rFonts w:cs="Times New Roman" w:asciiTheme="majorEastAsia" w:hAnsiTheme="majorEastAsia" w:eastAsiaTheme="majorEastAsia"/>
          <w:sz w:val="28"/>
          <w:szCs w:val="24"/>
        </w:rPr>
        <w:t>XX风电场开展功率预测优化工作前后的日前预测准确率进行计算，</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的修正前后逐日预测准确率变化如图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6所示。</w:t>
      </w:r>
    </w:p>
    <w:p>
      <w:pPr>
        <w:spacing w:line="360" w:lineRule="auto"/>
        <w:jc w:val="center"/>
        <w:rPr>
          <w:rFonts w:ascii="Times New Roman" w:hAnsi="Times New Roman" w:eastAsia="仿宋" w:cs="Times New Roman"/>
          <w:sz w:val="24"/>
          <w:szCs w:val="24"/>
        </w:rPr>
      </w:pPr>
      <w:r>
        <w:rPr>
          <w:rFonts w:ascii="Times New Roman" w:hAnsi="Times New Roman" w:eastAsia="仿宋" w:cs="Times New Roman"/>
          <w:sz w:val="24"/>
          <w:szCs w:val="24"/>
        </w:rPr>
        <w:drawing>
          <wp:inline distT="0" distB="0" distL="0" distR="0">
            <wp:extent cx="5039995" cy="1864360"/>
            <wp:effectExtent l="0" t="0" r="8255" b="2540"/>
            <wp:docPr id="34" name="图片 34" descr="C:\Users\qy\Notebook\冀北工作算例\数据平台算例\202009-平台WPF准确率验证\Output Figures\new-修正前后功率预测准确率-鲁能迎峰岭风电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Users\qy\Notebook\冀北工作算例\数据平台算例\202009-平台WPF准确率验证\Output Figures\new-修正前后功率预测准确率-鲁能迎峰岭风电场.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5040000" cy="1864442"/>
                    </a:xfrm>
                    <a:prstGeom prst="rect">
                      <a:avLst/>
                    </a:prstGeom>
                    <a:noFill/>
                    <a:ln>
                      <a:noFill/>
                    </a:ln>
                  </pic:spPr>
                </pic:pic>
              </a:graphicData>
            </a:graphic>
          </wp:inline>
        </w:drawing>
      </w:r>
    </w:p>
    <w:p>
      <w:pPr>
        <w:spacing w:line="360" w:lineRule="auto"/>
        <w:jc w:val="center"/>
        <w:rPr>
          <w:rFonts w:ascii="Times New Roman" w:hAnsi="Times New Roman" w:eastAsia="仿宋" w:cs="Times New Roman"/>
          <w:sz w:val="24"/>
          <w:szCs w:val="24"/>
        </w:rPr>
      </w:pPr>
      <w:r>
        <w:rPr>
          <w:rFonts w:ascii="Times New Roman" w:hAnsi="Times New Roman" w:eastAsia="仿宋" w:cs="Times New Roman"/>
          <w:sz w:val="24"/>
          <w:szCs w:val="24"/>
        </w:rPr>
        <w:t>图</w:t>
      </w:r>
      <w:r>
        <w:rPr>
          <w:rFonts w:hint="eastAsia" w:ascii="Times New Roman" w:hAnsi="Times New Roman" w:eastAsia="仿宋" w:cs="Times New Roman"/>
          <w:sz w:val="24"/>
          <w:szCs w:val="24"/>
        </w:rPr>
        <w:t>5-</w:t>
      </w:r>
      <w:r>
        <w:rPr>
          <w:rFonts w:ascii="Times New Roman" w:hAnsi="Times New Roman" w:eastAsia="仿宋" w:cs="Times New Roman"/>
          <w:sz w:val="24"/>
          <w:szCs w:val="24"/>
        </w:rPr>
        <w:t>6 优化前后预测功率准确率对比图（逐日）</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6显示，通过功率预测专项优化，</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功率预测准确率获得提升的天数分别为XX天、XX天、XX天、XX天、XX天，平均每月获得功率预测准确率提升的天数约为XX天，功率预测精度提升效果显著。</w:t>
      </w:r>
    </w:p>
    <w:p>
      <w:pPr>
        <w:keepNext/>
        <w:keepLines/>
        <w:tabs>
          <w:tab w:val="left" w:pos="576"/>
          <w:tab w:val="left" w:pos="1247"/>
          <w:tab w:val="left" w:pos="1834"/>
        </w:tabs>
        <w:spacing w:before="260" w:after="260" w:line="416" w:lineRule="auto"/>
        <w:ind w:left="576" w:hanging="576"/>
        <w:outlineLvl w:val="1"/>
        <w:rPr>
          <w:rFonts w:ascii="Times New Roman" w:hAnsi="Times New Roman" w:eastAsia="宋体" w:cs="Times New Roman"/>
          <w:b/>
          <w:bCs/>
          <w:sz w:val="32"/>
          <w:szCs w:val="32"/>
        </w:rPr>
      </w:pPr>
      <w:bookmarkStart w:id="46" w:name="_Toc93481880"/>
      <w:r>
        <w:rPr>
          <w:rFonts w:ascii="Times New Roman" w:hAnsi="Times New Roman" w:eastAsia="宋体" w:cs="Times New Roman"/>
          <w:b/>
          <w:bCs/>
          <w:sz w:val="32"/>
          <w:szCs w:val="32"/>
        </w:rPr>
        <w:t xml:space="preserve">5.3 </w:t>
      </w:r>
      <w:r>
        <w:rPr>
          <w:rFonts w:hint="eastAsia" w:ascii="Times New Roman" w:hAnsi="Times New Roman" w:eastAsia="宋体" w:cs="Times New Roman"/>
          <w:b/>
          <w:bCs/>
          <w:sz w:val="32"/>
          <w:szCs w:val="32"/>
        </w:rPr>
        <w:t>小结</w:t>
      </w:r>
      <w:bookmarkEnd w:id="46"/>
      <w:r>
        <w:rPr>
          <w:rFonts w:ascii="Times New Roman" w:hAnsi="Times New Roman" w:eastAsia="宋体" w:cs="Times New Roman"/>
          <w:b/>
          <w:bCs/>
          <w:sz w:val="32"/>
          <w:szCs w:val="32"/>
        </w:rPr>
        <w:tab/>
      </w:r>
      <w:r>
        <w:rPr>
          <w:rFonts w:ascii="Times New Roman" w:hAnsi="Times New Roman" w:eastAsia="宋体" w:cs="Times New Roman"/>
          <w:b/>
          <w:bCs/>
          <w:sz w:val="32"/>
          <w:szCs w:val="32"/>
        </w:rPr>
        <w:tab/>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本章从风功率预测精度跟踪评价、风功率预测优化两方面进行了分析。通过对XX风电场本季度的风功率预测精度评价可知，风功率预测精度X月最佳，X月最差，其中X月X日风功率预测精度最高，达到X</w:t>
      </w:r>
      <w:r>
        <w:rPr>
          <w:rFonts w:ascii="Times New Roman" w:hAnsi="Times New Roman" w:eastAsia="宋体" w:cs="Times New Roman"/>
          <w:sz w:val="28"/>
          <w:szCs w:val="28"/>
        </w:rPr>
        <w:t>%</w:t>
      </w:r>
      <w:r>
        <w:rPr>
          <w:rFonts w:hint="eastAsia" w:ascii="Times New Roman" w:hAnsi="Times New Roman" w:eastAsia="宋体" w:cs="Times New Roman"/>
          <w:sz w:val="28"/>
          <w:szCs w:val="28"/>
        </w:rPr>
        <w:t>；X月X日风功率预测精度最低，为X</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通过风电场功率预测专项优化</w:t>
      </w:r>
      <w:r>
        <w:rPr>
          <w:rFonts w:hint="eastAsia" w:cs="Times New Roman" w:asciiTheme="majorEastAsia" w:hAnsiTheme="majorEastAsia" w:eastAsiaTheme="majorEastAsia"/>
          <w:sz w:val="28"/>
          <w:szCs w:val="24"/>
        </w:rPr>
        <w:t>，可以</w:t>
      </w:r>
      <w:r>
        <w:rPr>
          <w:rFonts w:cs="Times New Roman" w:asciiTheme="majorEastAsia" w:hAnsiTheme="majorEastAsia" w:eastAsiaTheme="majorEastAsia"/>
          <w:sz w:val="28"/>
          <w:szCs w:val="24"/>
        </w:rPr>
        <w:t>提升场站上报预测功率的准确率，降低风电场因功率预测造成的考核</w:t>
      </w:r>
      <w:r>
        <w:rPr>
          <w:rFonts w:hint="eastAsia" w:cs="Times New Roman" w:asciiTheme="majorEastAsia" w:hAnsiTheme="majorEastAsia" w:eastAsiaTheme="majorEastAsia"/>
          <w:sz w:val="28"/>
          <w:szCs w:val="24"/>
        </w:rPr>
        <w:t>电量</w:t>
      </w:r>
      <w:r>
        <w:rPr>
          <w:rFonts w:cs="Times New Roman" w:asciiTheme="majorEastAsia" w:hAnsiTheme="majorEastAsia" w:eastAsiaTheme="majorEastAsia"/>
          <w:sz w:val="28"/>
          <w:szCs w:val="24"/>
        </w:rPr>
        <w:t>，预估</w:t>
      </w:r>
      <w:r>
        <w:rPr>
          <w:rFonts w:hint="eastAsia" w:ascii="Times New Roman" w:hAnsi="Times New Roman" w:eastAsia="宋体" w:cs="Times New Roman"/>
          <w:sz w:val="28"/>
          <w:szCs w:val="28"/>
        </w:rPr>
        <w:t>风功率预测精度平均值可由XX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提升到XX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hint="eastAsia" w:cs="Times New Roman" w:asciiTheme="majorEastAsia" w:hAnsiTheme="majorEastAsia" w:eastAsiaTheme="majorEastAsia"/>
          <w:sz w:val="28"/>
          <w:szCs w:val="24"/>
        </w:rPr>
        <w:t>月度</w:t>
      </w:r>
      <w:r>
        <w:rPr>
          <w:rFonts w:cs="Times New Roman" w:asciiTheme="majorEastAsia" w:hAnsiTheme="majorEastAsia" w:eastAsiaTheme="majorEastAsia"/>
          <w:sz w:val="28"/>
          <w:szCs w:val="24"/>
        </w:rPr>
        <w:t>考核金额平均可降低XX%，</w:t>
      </w:r>
      <w:r>
        <w:rPr>
          <w:rFonts w:hint="eastAsia" w:cs="Times New Roman" w:asciiTheme="majorEastAsia" w:hAnsiTheme="majorEastAsia" w:eastAsiaTheme="majorEastAsia"/>
          <w:sz w:val="28"/>
          <w:szCs w:val="24"/>
        </w:rPr>
        <w:t>其中</w:t>
      </w:r>
      <w:r>
        <w:rPr>
          <w:rFonts w:cs="Times New Roman" w:asciiTheme="majorEastAsia" w:hAnsiTheme="majorEastAsia" w:eastAsiaTheme="majorEastAsia"/>
          <w:sz w:val="28"/>
          <w:szCs w:val="24"/>
        </w:rPr>
        <w:t>X</w:t>
      </w:r>
      <w:r>
        <w:rPr>
          <w:rFonts w:hint="eastAsia" w:cs="Times New Roman" w:asciiTheme="majorEastAsia" w:hAnsiTheme="majorEastAsia" w:eastAsiaTheme="majorEastAsia"/>
          <w:sz w:val="28"/>
          <w:szCs w:val="24"/>
        </w:rPr>
        <w:t>月</w:t>
      </w:r>
      <w:r>
        <w:rPr>
          <w:rFonts w:cs="Times New Roman" w:asciiTheme="majorEastAsia" w:hAnsiTheme="majorEastAsia" w:eastAsiaTheme="majorEastAsia"/>
          <w:sz w:val="28"/>
          <w:szCs w:val="24"/>
        </w:rPr>
        <w:t>的考核金额降低百分比最高，可达XX %。</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r>
        <w:rPr>
          <w:rFonts w:hint="eastAsia" w:cs="Times New Roman" w:asciiTheme="majorEastAsia" w:hAnsiTheme="majorEastAsia" w:eastAsiaTheme="majorEastAsia"/>
          <w:b/>
          <w:bCs/>
          <w:sz w:val="32"/>
          <w:szCs w:val="32"/>
        </w:rPr>
        <w:t>六、结论</w:t>
      </w:r>
      <w:bookmarkEnd w:id="37"/>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报告从X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 xml:space="preserve">风电场运行情况、风电机组发电性能评价及缺陷预警、涉网性能评价及分析、功率预测性能评价及优化四大部分进行了分析和优化。 </w:t>
      </w:r>
      <w:r>
        <w:rPr>
          <w:rFonts w:cs="Times New Roman" w:asciiTheme="majorEastAsia" w:hAnsiTheme="majorEastAsia" w:eastAsiaTheme="majorEastAsia"/>
          <w:sz w:val="28"/>
          <w:szCs w:val="28"/>
        </w:rPr>
        <w:t xml:space="preserve"> </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经分析可得，在运行情况中，X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风电场本季度总发电量为X</w:t>
      </w:r>
      <w:r>
        <w:rPr>
          <w:rFonts w:cs="Times New Roman" w:asciiTheme="majorEastAsia" w:hAnsiTheme="majorEastAsia" w:eastAsiaTheme="majorEastAsia"/>
          <w:sz w:val="28"/>
          <w:szCs w:val="28"/>
        </w:rPr>
        <w:t>XMW</w:t>
      </w:r>
      <w:r>
        <w:rPr>
          <w:rFonts w:hint="eastAsia" w:cs="Times New Roman" w:asciiTheme="majorEastAsia" w:hAnsiTheme="majorEastAsia" w:eastAsiaTheme="majorEastAsia"/>
          <w:sz w:val="28"/>
          <w:szCs w:val="28"/>
        </w:rPr>
        <w:t>，利用小时数为X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h，正常发电的运行小时数占比为X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%，XXX风电场本季度共计发生风电机组故障XX次，其中XX故障次数最多，X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故障时长最长；本季度场站损失电量共X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M</w:t>
      </w:r>
      <w:r>
        <w:rPr>
          <w:rFonts w:cs="Times New Roman" w:asciiTheme="majorEastAsia" w:hAnsiTheme="majorEastAsia" w:eastAsiaTheme="majorEastAsia"/>
          <w:sz w:val="28"/>
          <w:szCs w:val="28"/>
        </w:rPr>
        <w:t>W</w:t>
      </w:r>
      <w:r>
        <w:rPr>
          <w:rFonts w:hint="eastAsia" w:cs="Times New Roman" w:asciiTheme="majorEastAsia" w:hAnsiTheme="majorEastAsia" w:eastAsiaTheme="majorEastAsia"/>
          <w:sz w:val="28"/>
          <w:szCs w:val="28"/>
        </w:rPr>
        <w:t>，其中由X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原因导致的损失电量最多。</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在发电性能评价方面，X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风电场中风电机组性能评价为“优”的占比X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%，评价为差的占比X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%；在缺陷预警方面，机组的静态偏差分布范围为XX°（最大负偏差-最大正偏差），平均偏差值为XX°，其中有X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%的机组处于偏航正常状态。</w:t>
      </w:r>
    </w:p>
    <w:p>
      <w:pPr>
        <w:spacing w:line="360" w:lineRule="auto"/>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在涉网性能评价方面，XX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风电场本季度AGC控制性能X月最佳，X月最差。AVC控制偏差X月最小，X月最大，电压合格率X月最高，X月最低，电压调节不合格原因主要是XX。SVG控制性能X月最佳，X月最差。</w:t>
      </w:r>
    </w:p>
    <w:p>
      <w:pPr>
        <w:spacing w:line="360" w:lineRule="auto"/>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在功率预测性能评价及优化方面，X</w:t>
      </w:r>
      <w:r>
        <w:rPr>
          <w:rFonts w:ascii="Times New Roman" w:hAnsi="Times New Roman" w:eastAsia="宋体" w:cs="Times New Roman"/>
          <w:sz w:val="28"/>
          <w:szCs w:val="28"/>
        </w:rPr>
        <w:t>XX</w:t>
      </w:r>
      <w:r>
        <w:rPr>
          <w:rFonts w:hint="eastAsia" w:ascii="Times New Roman" w:hAnsi="Times New Roman" w:eastAsia="宋体" w:cs="Times New Roman"/>
          <w:sz w:val="28"/>
          <w:szCs w:val="28"/>
        </w:rPr>
        <w:t>风电场风功率预测精度本季度内X月最佳，X月最差，其中X月X日风功率预测精度最高，达到X%，X月X日风功率预测精度最低，为X%；</w:t>
      </w:r>
      <w:r>
        <w:rPr>
          <w:rFonts w:hint="eastAsia" w:cs="Times New Roman" w:asciiTheme="majorEastAsia" w:hAnsiTheme="majorEastAsia" w:eastAsiaTheme="majorEastAsia"/>
          <w:sz w:val="28"/>
          <w:szCs w:val="24"/>
        </w:rPr>
        <w:t>经</w:t>
      </w:r>
      <w:r>
        <w:rPr>
          <w:rFonts w:cs="Times New Roman" w:asciiTheme="majorEastAsia" w:hAnsiTheme="majorEastAsia" w:eastAsiaTheme="majorEastAsia"/>
          <w:sz w:val="28"/>
          <w:szCs w:val="24"/>
        </w:rPr>
        <w:t>风电场功率预测专项优化</w:t>
      </w:r>
      <w:r>
        <w:rPr>
          <w:rFonts w:hint="eastAsia" w:cs="Times New Roman" w:asciiTheme="majorEastAsia" w:hAnsiTheme="majorEastAsia" w:eastAsiaTheme="majorEastAsia"/>
          <w:sz w:val="28"/>
          <w:szCs w:val="24"/>
        </w:rPr>
        <w:t>后，</w:t>
      </w:r>
      <w:r>
        <w:rPr>
          <w:rFonts w:hint="eastAsia" w:ascii="Times New Roman" w:hAnsi="Times New Roman" w:eastAsia="宋体" w:cs="Times New Roman"/>
          <w:sz w:val="28"/>
          <w:szCs w:val="28"/>
        </w:rPr>
        <w:t>风功率预测精度平均值可由XX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提升到XX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hint="eastAsia" w:cs="Times New Roman" w:asciiTheme="majorEastAsia" w:hAnsiTheme="majorEastAsia" w:eastAsiaTheme="majorEastAsia"/>
          <w:sz w:val="28"/>
          <w:szCs w:val="24"/>
        </w:rPr>
        <w:t>月度</w:t>
      </w:r>
      <w:r>
        <w:rPr>
          <w:rFonts w:cs="Times New Roman" w:asciiTheme="majorEastAsia" w:hAnsiTheme="majorEastAsia" w:eastAsiaTheme="majorEastAsia"/>
          <w:sz w:val="28"/>
          <w:szCs w:val="24"/>
        </w:rPr>
        <w:t>考核金额平均降低XX%</w:t>
      </w:r>
      <w:r>
        <w:rPr>
          <w:rFonts w:hint="eastAsia" w:cs="Times New Roman" w:asciiTheme="majorEastAsia" w:hAnsiTheme="majorEastAsia" w:eastAsiaTheme="majorEastAsia"/>
          <w:sz w:val="28"/>
          <w:szCs w:val="24"/>
        </w:rPr>
        <w:t>。</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同时，报告在附件中针对各台风电机组进行单机运行特性的分析和评价。依托海量的数据资源、丰富的专家知识、多元的智能算法开展X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风电场全方位、多角度、多层级的统计分析，精准定位风电场缺陷，指导风电场精益运维，有力支撑风电场增功提效，提升风电机组发电性能和风电场发电效益。</w:t>
      </w:r>
    </w:p>
    <w:p>
      <w:pPr>
        <w:widowControl/>
        <w:jc w:val="left"/>
        <w:rPr>
          <w:rFonts w:cs="Times New Roman" w:asciiTheme="majorEastAsia" w:hAnsiTheme="majorEastAsia" w:eastAsiaTheme="majorEastAsia"/>
          <w:b/>
          <w:bCs/>
          <w:sz w:val="32"/>
          <w:szCs w:val="32"/>
        </w:rPr>
      </w:pPr>
      <w:r>
        <w:rPr>
          <w:rFonts w:cs="Times New Roman" w:asciiTheme="majorEastAsia" w:hAnsiTheme="majorEastAsia" w:eastAsiaTheme="majorEastAsia"/>
          <w:b/>
          <w:bCs/>
          <w:sz w:val="32"/>
          <w:szCs w:val="32"/>
        </w:rPr>
        <w:br w:type="page"/>
      </w:r>
    </w:p>
    <w:p>
      <w:pPr>
        <w:keepNext/>
        <w:keepLines/>
        <w:tabs>
          <w:tab w:val="left" w:pos="5124"/>
        </w:tabs>
        <w:spacing w:before="240" w:after="120" w:line="360" w:lineRule="auto"/>
        <w:jc w:val="center"/>
        <w:outlineLvl w:val="1"/>
        <w:rPr>
          <w:rFonts w:cs="Times New Roman" w:asciiTheme="majorEastAsia" w:hAnsiTheme="majorEastAsia" w:eastAsiaTheme="majorEastAsia"/>
          <w:b/>
          <w:bCs/>
          <w:sz w:val="32"/>
          <w:szCs w:val="32"/>
        </w:rPr>
      </w:pPr>
      <w:bookmarkStart w:id="47" w:name="_Toc93583557"/>
      <w:r>
        <w:rPr>
          <w:rFonts w:hint="eastAsia" w:cs="Times New Roman" w:asciiTheme="majorEastAsia" w:hAnsiTheme="majorEastAsia" w:eastAsiaTheme="majorEastAsia"/>
          <w:b/>
          <w:bCs/>
          <w:sz w:val="32"/>
          <w:szCs w:val="32"/>
        </w:rPr>
        <w:t>附件 风电机组单机运行特性分析</w:t>
      </w:r>
      <w:bookmarkEnd w:id="47"/>
    </w:p>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 xml:space="preserve"> </w:t>
      </w:r>
      <w:r>
        <w:rPr>
          <w:rFonts w:cs="Times New Roman" w:asciiTheme="majorEastAsia" w:hAnsiTheme="majorEastAsia" w:eastAsiaTheme="majorEastAsia"/>
          <w:sz w:val="28"/>
          <w:szCs w:val="28"/>
        </w:rPr>
        <w:t xml:space="preserve">   </w:t>
      </w:r>
      <w:r>
        <w:rPr>
          <w:rFonts w:hint="eastAsia" w:cs="Times New Roman" w:asciiTheme="majorEastAsia" w:hAnsiTheme="majorEastAsia" w:eastAsiaTheme="majorEastAsia"/>
          <w:sz w:val="28"/>
          <w:szCs w:val="28"/>
        </w:rPr>
        <w:t>为了全方位深入评价单机的运行特性，附件部分对X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风电场各风电机组的运行情况和发电性能进行统计分析，并对机组的综合特性进行评价。</w:t>
      </w:r>
    </w:p>
    <w:p>
      <w:pPr>
        <w:spacing w:line="360" w:lineRule="auto"/>
        <w:rPr>
          <w:rFonts w:cs="Times New Roman" w:asciiTheme="majorEastAsia" w:hAnsiTheme="majorEastAsia" w:eastAsiaTheme="majorEastAsia"/>
          <w:b/>
          <w:bCs/>
          <w:sz w:val="28"/>
          <w:szCs w:val="28"/>
        </w:rPr>
      </w:pPr>
      <w:r>
        <w:rPr>
          <w:rFonts w:hint="eastAsia" w:cs="Times New Roman" w:asciiTheme="majorEastAsia" w:hAnsiTheme="majorEastAsia" w:eastAsiaTheme="majorEastAsia"/>
          <w:b/>
          <w:bCs/>
          <w:sz w:val="28"/>
          <w:szCs w:val="28"/>
        </w:rPr>
        <w:t>1.</w:t>
      </w:r>
      <w:r>
        <w:rPr>
          <w:rFonts w:cs="Times New Roman" w:asciiTheme="majorEastAsia" w:hAnsiTheme="majorEastAsia" w:eastAsiaTheme="majorEastAsia"/>
          <w:b/>
          <w:bCs/>
          <w:sz w:val="28"/>
          <w:szCs w:val="28"/>
        </w:rPr>
        <w:t>XX</w:t>
      </w:r>
      <w:r>
        <w:rPr>
          <w:rFonts w:hint="eastAsia" w:cs="Times New Roman" w:asciiTheme="majorEastAsia" w:hAnsiTheme="majorEastAsia" w:eastAsiaTheme="majorEastAsia"/>
          <w:b/>
          <w:bCs/>
          <w:sz w:val="28"/>
          <w:szCs w:val="28"/>
        </w:rPr>
        <w:t>编号机组运行特性分析</w:t>
      </w:r>
    </w:p>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（1）机组综合评价</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通过对机组的运行情况、故障性能、发电性能等多个方面的综合分析，对机组进行整体评价， 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风电机组综合得分为XX，整体评价为：X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（优/良/中/差），详细分析如下图所示。</w:t>
      </w:r>
    </w:p>
    <w:p>
      <w:pPr>
        <w:spacing w:line="360" w:lineRule="auto"/>
        <w:ind w:firstLine="564"/>
        <w:jc w:val="center"/>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drawing>
          <wp:inline distT="0" distB="0" distL="0" distR="0">
            <wp:extent cx="3324860" cy="2633980"/>
            <wp:effectExtent l="0" t="0" r="889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3330654" cy="2638400"/>
                    </a:xfrm>
                    <a:prstGeom prst="rect">
                      <a:avLst/>
                    </a:prstGeom>
                    <a:noFill/>
                    <a:ln>
                      <a:noFill/>
                    </a:ln>
                  </pic:spPr>
                </pic:pic>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1 XX</w:t>
      </w:r>
      <w:r>
        <w:rPr>
          <w:rFonts w:hint="eastAsia" w:cs="Times New Roman" w:asciiTheme="majorEastAsia" w:hAnsiTheme="majorEastAsia" w:eastAsiaTheme="majorEastAsia"/>
          <w:sz w:val="24"/>
          <w:szCs w:val="24"/>
        </w:rPr>
        <w:t>机组综合性能雷达图</w:t>
      </w:r>
    </w:p>
    <w:p>
      <w:pPr>
        <w:spacing w:line="360" w:lineRule="auto"/>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 xml:space="preserve"> </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8"/>
          <w:szCs w:val="28"/>
        </w:rPr>
        <w:t>其中X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风电机组在该型号风电机组中发电能力排名为第X名，一致性排名为第X名，发电时长排名为第X名，发电量排名为第X名，可靠性排名为第X名。</w:t>
      </w:r>
    </w:p>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w:t>
      </w:r>
      <w:r>
        <w:rPr>
          <w:rFonts w:cs="Times New Roman" w:asciiTheme="majorEastAsia" w:hAnsiTheme="majorEastAsia" w:eastAsiaTheme="majorEastAsia"/>
          <w:sz w:val="28"/>
          <w:szCs w:val="28"/>
        </w:rPr>
        <w:t>2）</w:t>
      </w:r>
      <w:r>
        <w:rPr>
          <w:rFonts w:hint="eastAsia" w:cs="Times New Roman" w:asciiTheme="majorEastAsia" w:hAnsiTheme="majorEastAsia" w:eastAsiaTheme="majorEastAsia"/>
          <w:sz w:val="28"/>
          <w:szCs w:val="28"/>
        </w:rPr>
        <w:t>运行情况分析</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a</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运行小时数</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风电机组运行小时数分析结果如下图所示，其中正常发电小时数占比为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%，站内陪停时间占比</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%，电网限功率运行小时数占比为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%，机组故障停机小时数占比为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%，待机时长占比为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%，机组例行维护时长为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%，其他时间占比共计</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w:t>
      </w:r>
    </w:p>
    <w:p>
      <w:pPr>
        <w:spacing w:line="360" w:lineRule="auto"/>
        <w:jc w:val="center"/>
        <w:rPr>
          <w:rFonts w:cs="Times New Roman" w:asciiTheme="majorEastAsia" w:hAnsiTheme="majorEastAsia" w:eastAsiaTheme="majorEastAsia"/>
          <w:sz w:val="28"/>
          <w:szCs w:val="28"/>
        </w:rPr>
      </w:pPr>
      <w:r>
        <w:drawing>
          <wp:inline distT="0" distB="0" distL="114300" distR="114300">
            <wp:extent cx="4953000" cy="3114675"/>
            <wp:effectExtent l="0" t="0" r="0" b="9525"/>
            <wp:docPr id="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
                    <pic:cNvPicPr>
                      <a:picLocks noChangeAspect="1"/>
                    </pic:cNvPicPr>
                  </pic:nvPicPr>
                  <pic:blipFill>
                    <a:blip r:embed="rId8"/>
                    <a:stretch>
                      <a:fillRect/>
                    </a:stretch>
                  </pic:blipFill>
                  <pic:spPr>
                    <a:xfrm>
                      <a:off x="0" y="0"/>
                      <a:ext cx="4953000" cy="3114675"/>
                    </a:xfrm>
                    <a:prstGeom prst="rect">
                      <a:avLst/>
                    </a:prstGeom>
                    <a:noFill/>
                    <a:ln>
                      <a:noFill/>
                    </a:ln>
                  </pic:spPr>
                </pic:pic>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X</w:t>
      </w:r>
      <w:r>
        <w:rPr>
          <w:rFonts w:cs="Times New Roman" w:asciiTheme="majorEastAsia" w:hAnsiTheme="majorEastAsia" w:eastAsiaTheme="majorEastAsia"/>
          <w:sz w:val="24"/>
          <w:szCs w:val="24"/>
        </w:rPr>
        <w:t>XX</w:t>
      </w:r>
      <w:r>
        <w:rPr>
          <w:rFonts w:hint="eastAsia" w:cs="Times New Roman" w:asciiTheme="majorEastAsia" w:hAnsiTheme="majorEastAsia" w:eastAsiaTheme="majorEastAsia"/>
          <w:sz w:val="24"/>
          <w:szCs w:val="24"/>
        </w:rPr>
        <w:t>风电机组运行小时数分析</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风电机组本季度各月损失运行时间、并网发电时间、待机时间的统计如下图所示。</w:t>
      </w:r>
    </w:p>
    <w:p>
      <w:pPr>
        <w:spacing w:line="360" w:lineRule="auto"/>
        <w:jc w:val="center"/>
        <w:rPr>
          <w:rFonts w:cs="Times New Roman" w:asciiTheme="majorEastAsia" w:hAnsiTheme="majorEastAsia" w:eastAsiaTheme="majorEastAsia"/>
          <w:sz w:val="28"/>
          <w:szCs w:val="28"/>
        </w:rPr>
      </w:pPr>
      <w:r>
        <w:drawing>
          <wp:inline distT="0" distB="0" distL="114300" distR="114300">
            <wp:extent cx="5270500" cy="1682115"/>
            <wp:effectExtent l="0" t="0" r="6350" b="13335"/>
            <wp:docPr id="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
                    <pic:cNvPicPr>
                      <a:picLocks noChangeAspect="1"/>
                    </pic:cNvPicPr>
                  </pic:nvPicPr>
                  <pic:blipFill>
                    <a:blip r:embed="rId9"/>
                    <a:stretch>
                      <a:fillRect/>
                    </a:stretch>
                  </pic:blipFill>
                  <pic:spPr>
                    <a:xfrm>
                      <a:off x="0" y="0"/>
                      <a:ext cx="5270500" cy="1682115"/>
                    </a:xfrm>
                    <a:prstGeom prst="rect">
                      <a:avLst/>
                    </a:prstGeom>
                    <a:noFill/>
                    <a:ln>
                      <a:noFill/>
                    </a:ln>
                  </pic:spPr>
                </pic:pic>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2-4 </w:t>
      </w:r>
      <w:r>
        <w:rPr>
          <w:rFonts w:hint="eastAsia" w:cs="Times New Roman" w:asciiTheme="majorEastAsia" w:hAnsiTheme="majorEastAsia" w:eastAsiaTheme="majorEastAsia"/>
          <w:sz w:val="24"/>
          <w:szCs w:val="24"/>
        </w:rPr>
        <w:t>XXX风电机组运行小时数月度分析</w:t>
      </w:r>
    </w:p>
    <w:p>
      <w:pPr>
        <w:spacing w:line="360" w:lineRule="auto"/>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XX机组</w:t>
      </w:r>
      <w:r>
        <w:rPr>
          <w:rFonts w:hint="eastAsia" w:cs="Times New Roman" w:asciiTheme="majorEastAsia" w:hAnsiTheme="majorEastAsia" w:eastAsiaTheme="majorEastAsia"/>
          <w:sz w:val="28"/>
          <w:szCs w:val="28"/>
        </w:rPr>
        <w:t>正常运行时间占总时间的比重为</w:t>
      </w:r>
      <w:r>
        <w:rPr>
          <w:rFonts w:cs="Times New Roman" w:asciiTheme="majorEastAsia" w:hAnsiTheme="majorEastAsia" w:eastAsiaTheme="majorEastAsia"/>
          <w:sz w:val="28"/>
          <w:szCs w:val="28"/>
        </w:rPr>
        <w:t>XX%，停运时间占比为XX%。对各种原因导致的</w:t>
      </w:r>
      <w:r>
        <w:rPr>
          <w:rFonts w:hint="eastAsia" w:cs="Times New Roman" w:asciiTheme="majorEastAsia" w:hAnsiTheme="majorEastAsia" w:eastAsiaTheme="majorEastAsia"/>
          <w:sz w:val="28"/>
          <w:szCs w:val="28"/>
        </w:rPr>
        <w:t>机组停运时间进行分析，所得结果如下图所示。其中XX原因导致XX机组停运的时间最长，占总停机时间为XX%。</w:t>
      </w:r>
    </w:p>
    <w:p>
      <w:pPr>
        <w:spacing w:line="360" w:lineRule="auto"/>
        <w:jc w:val="center"/>
        <w:rPr>
          <w:rFonts w:cs="Times New Roman" w:asciiTheme="majorEastAsia" w:hAnsiTheme="majorEastAsia" w:eastAsiaTheme="majorEastAsia"/>
          <w:sz w:val="24"/>
          <w:szCs w:val="24"/>
        </w:rPr>
      </w:pP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5 XX</w:t>
      </w:r>
      <w:r>
        <w:rPr>
          <w:rFonts w:hint="eastAsia" w:cs="Times New Roman" w:asciiTheme="majorEastAsia" w:hAnsiTheme="majorEastAsia" w:eastAsiaTheme="majorEastAsia"/>
          <w:sz w:val="24"/>
          <w:szCs w:val="24"/>
        </w:rPr>
        <w:t>机组停运小时数统计</w:t>
      </w:r>
    </w:p>
    <w:p>
      <w:pPr>
        <w:spacing w:line="360" w:lineRule="auto"/>
        <w:jc w:val="center"/>
        <w:rPr>
          <w:rFonts w:cs="Times New Roman" w:asciiTheme="majorEastAsia" w:hAnsiTheme="majorEastAsia" w:eastAsiaTheme="majorEastAsia"/>
          <w:sz w:val="24"/>
          <w:szCs w:val="24"/>
        </w:rPr>
      </w:pPr>
    </w:p>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b</w:t>
      </w:r>
      <w:r>
        <w:rPr>
          <w:rFonts w:hint="eastAsia" w:cs="Times New Roman" w:asciiTheme="majorEastAsia" w:hAnsiTheme="majorEastAsia" w:eastAsiaTheme="majorEastAsia"/>
          <w:sz w:val="28"/>
          <w:szCs w:val="28"/>
        </w:rPr>
        <w:t>.故障情况</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XXX风电机组本季度共计发生故障</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次，其中X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部件故障次数最多为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部件故障时长最长为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小时，可结合巡检或定期检修计划对该类部件进行检查，确定导致该部件故障频发的原因，并及时解决。XX风电机组按部件进行故障情况分析结果如下图所示（注：图中“其他”指未知故障）。</w:t>
      </w:r>
    </w:p>
    <w:p>
      <w:pPr>
        <w:spacing w:line="360" w:lineRule="auto"/>
        <w:ind w:firstLine="420" w:firstLineChars="200"/>
        <w:jc w:val="center"/>
        <w:rPr>
          <w:rFonts w:cs="Times New Roman" w:asciiTheme="majorEastAsia" w:hAnsiTheme="majorEastAsia" w:eastAsiaTheme="majorEastAsia"/>
          <w:sz w:val="28"/>
          <w:szCs w:val="28"/>
        </w:rPr>
      </w:pPr>
      <w:r>
        <w:drawing>
          <wp:inline distT="0" distB="0" distL="114300" distR="114300">
            <wp:extent cx="5269865" cy="2288540"/>
            <wp:effectExtent l="0" t="0" r="6985" b="16510"/>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r:embed="rId10"/>
                    <a:stretch>
                      <a:fillRect/>
                    </a:stretch>
                  </pic:blipFill>
                  <pic:spPr>
                    <a:xfrm>
                      <a:off x="0" y="0"/>
                      <a:ext cx="5269865" cy="2288540"/>
                    </a:xfrm>
                    <a:prstGeom prst="rect">
                      <a:avLst/>
                    </a:prstGeom>
                    <a:noFill/>
                    <a:ln>
                      <a:noFill/>
                    </a:ln>
                  </pic:spPr>
                </pic:pic>
              </a:graphicData>
            </a:graphic>
          </wp:inline>
        </w:drawing>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风电机组故障次数统计</w:t>
      </w:r>
    </w:p>
    <w:p>
      <w:pPr>
        <w:spacing w:line="360" w:lineRule="auto"/>
        <w:ind w:firstLine="420" w:firstLineChars="200"/>
        <w:jc w:val="center"/>
        <w:rPr>
          <w:rFonts w:cs="Times New Roman" w:asciiTheme="majorEastAsia" w:hAnsiTheme="majorEastAsia" w:eastAsiaTheme="majorEastAsia"/>
          <w:sz w:val="28"/>
          <w:szCs w:val="28"/>
        </w:rPr>
      </w:pPr>
      <w:r>
        <w:drawing>
          <wp:inline distT="0" distB="0" distL="114300" distR="114300">
            <wp:extent cx="5267960" cy="2248535"/>
            <wp:effectExtent l="0" t="0" r="8890" b="18415"/>
            <wp:docPr id="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pic:cNvPicPr>
                      <a:picLocks noChangeAspect="1"/>
                    </pic:cNvPicPr>
                  </pic:nvPicPr>
                  <pic:blipFill>
                    <a:blip r:embed="rId11"/>
                    <a:stretch>
                      <a:fillRect/>
                    </a:stretch>
                  </pic:blipFill>
                  <pic:spPr>
                    <a:xfrm>
                      <a:off x="0" y="0"/>
                      <a:ext cx="5267960" cy="2248535"/>
                    </a:xfrm>
                    <a:prstGeom prst="rect">
                      <a:avLst/>
                    </a:prstGeom>
                    <a:noFill/>
                    <a:ln>
                      <a:noFill/>
                    </a:ln>
                  </pic:spPr>
                </pic:pic>
              </a:graphicData>
            </a:graphic>
          </wp:inline>
        </w:drawing>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风电场故障时长统计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进一步按照故障代码对XX风电机组故障情况进行详细分析，得出本季度故障代码发生次数TOP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和累计时长TOP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如表2-</w:t>
      </w:r>
      <w:r>
        <w:rPr>
          <w:rFonts w:cs="Times New Roman" w:asciiTheme="majorEastAsia" w:hAnsiTheme="majorEastAsia" w:eastAsiaTheme="majorEastAsia"/>
          <w:sz w:val="28"/>
          <w:szCs w:val="28"/>
        </w:rPr>
        <w:t>3</w:t>
      </w:r>
      <w:r>
        <w:rPr>
          <w:rFonts w:hint="eastAsia" w:cs="Times New Roman" w:asciiTheme="majorEastAsia" w:hAnsiTheme="majorEastAsia" w:eastAsiaTheme="majorEastAsia"/>
          <w:sz w:val="28"/>
          <w:szCs w:val="28"/>
        </w:rPr>
        <w:t>所示，可结合日常巡检结果，建议在下一维护周期内对通过专项技改、或综合分析等手段对该类的故障进行处理，提升机组的可利用率。其中发生故障次数最多的故障代码为“XX”，发生次数为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次；故障时长最长的故障代码为“XX”，累计故障时长为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小时，在例行维护与日常巡检过程中应重点关注。</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rPr>
        <w:t>XX风电机组频发故障TOP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分析（正序）</w:t>
      </w:r>
    </w:p>
    <w:tbl>
      <w:tblPr>
        <w:tblStyle w:val="38"/>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985"/>
        <w:gridCol w:w="1701"/>
        <w:gridCol w:w="2098"/>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129" w:type="dxa"/>
            <w:vMerge w:val="restart"/>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序号</w:t>
            </w:r>
          </w:p>
        </w:tc>
        <w:tc>
          <w:tcPr>
            <w:tcW w:w="3686"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发生次数TOP</w:t>
            </w:r>
            <w:r>
              <w:rPr>
                <w:rFonts w:cs="Times New Roman" w:asciiTheme="majorEastAsia" w:hAnsiTheme="majorEastAsia" w:eastAsiaTheme="majorEastAsia"/>
                <w:sz w:val="24"/>
                <w:szCs w:val="24"/>
              </w:rPr>
              <w:t>10</w:t>
            </w:r>
          </w:p>
        </w:tc>
        <w:tc>
          <w:tcPr>
            <w:tcW w:w="3685"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累计时长TOP</w:t>
            </w:r>
            <w:r>
              <w:rPr>
                <w:rFonts w:cs="Times New Roman" w:asciiTheme="majorEastAsia" w:hAnsiTheme="majorEastAsia" w:eastAsiaTheme="majorEastAsia"/>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129" w:type="dxa"/>
            <w:vMerge w:val="continue"/>
            <w:vAlign w:val="center"/>
          </w:tcPr>
          <w:p>
            <w:pPr>
              <w:spacing w:line="360" w:lineRule="auto"/>
              <w:jc w:val="center"/>
              <w:rPr>
                <w:rFonts w:cs="Times New Roman" w:asciiTheme="majorEastAsia" w:hAnsiTheme="majorEastAsia" w:eastAsiaTheme="majorEastAsia"/>
                <w:sz w:val="24"/>
                <w:szCs w:val="24"/>
              </w:rPr>
            </w:pPr>
          </w:p>
        </w:tc>
        <w:tc>
          <w:tcPr>
            <w:tcW w:w="1985"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故障代码名称</w:t>
            </w:r>
          </w:p>
        </w:tc>
        <w:tc>
          <w:tcPr>
            <w:tcW w:w="1701"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发生的次数</w:t>
            </w:r>
          </w:p>
        </w:tc>
        <w:tc>
          <w:tcPr>
            <w:tcW w:w="2098"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故障代码名称</w:t>
            </w:r>
          </w:p>
        </w:tc>
        <w:tc>
          <w:tcPr>
            <w:tcW w:w="1587"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2</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3</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4</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5</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6</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7</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8</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9</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10</w:t>
            </w:r>
          </w:p>
        </w:tc>
        <w:tc>
          <w:tcPr>
            <w:tcW w:w="1985"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701"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2098"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c>
          <w:tcPr>
            <w:tcW w:w="1587" w:type="dxa"/>
            <w:vAlign w:val="center"/>
          </w:tcPr>
          <w:p>
            <w:pPr>
              <w:widowControl/>
              <w:spacing w:line="360" w:lineRule="auto"/>
              <w:jc w:val="center"/>
              <w:textAlignment w:val="center"/>
              <w:rPr>
                <w:rFonts w:cs="微软雅黑" w:asciiTheme="majorEastAsia" w:hAnsiTheme="majorEastAsia" w:eastAsiaTheme="majorEastAsia"/>
                <w:color w:val="575962"/>
                <w:kern w:val="0"/>
                <w:sz w:val="24"/>
                <w:szCs w:val="24"/>
                <w:lang w:bidi="ar"/>
              </w:rPr>
            </w:pPr>
          </w:p>
        </w:tc>
      </w:tr>
    </w:tbl>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对XXX风电机组的故障数据进行了故障指标评价计算，结果如下表所示。</w:t>
      </w:r>
    </w:p>
    <w:p>
      <w:pPr>
        <w:ind w:firstLine="560" w:firstLineChars="200"/>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XX风电机组故障指标统计情况</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p>
        </w:tc>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指标</w:t>
            </w:r>
          </w:p>
        </w:tc>
        <w:tc>
          <w:tcPr>
            <w:tcW w:w="2766"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平均无故障运行时间</w:t>
            </w:r>
          </w:p>
        </w:tc>
        <w:tc>
          <w:tcPr>
            <w:tcW w:w="2765" w:type="dxa"/>
          </w:tcPr>
          <w:p>
            <w:pPr>
              <w:rPr>
                <w:rFonts w:cs="Times New Roman" w:asciiTheme="majorEastAsia" w:hAnsiTheme="majorEastAsia" w:eastAsiaTheme="majorEastAsia"/>
                <w:sz w:val="28"/>
                <w:szCs w:val="28"/>
              </w:rPr>
            </w:pPr>
          </w:p>
        </w:tc>
        <w:tc>
          <w:tcPr>
            <w:tcW w:w="2766" w:type="dxa"/>
          </w:tcPr>
          <w:p>
            <w:pPr>
              <w:rPr>
                <w:rFonts w:cs="Times New Roman"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平均可利用率</w:t>
            </w:r>
          </w:p>
        </w:tc>
        <w:tc>
          <w:tcPr>
            <w:tcW w:w="2765" w:type="dxa"/>
          </w:tcPr>
          <w:p>
            <w:pPr>
              <w:rPr>
                <w:rFonts w:cs="Times New Roman" w:asciiTheme="majorEastAsia" w:hAnsiTheme="majorEastAsia" w:eastAsiaTheme="majorEastAsia"/>
                <w:sz w:val="28"/>
                <w:szCs w:val="28"/>
              </w:rPr>
            </w:pPr>
          </w:p>
        </w:tc>
        <w:tc>
          <w:tcPr>
            <w:tcW w:w="2766" w:type="dxa"/>
          </w:tcPr>
          <w:p>
            <w:pPr>
              <w:rPr>
                <w:rFonts w:cs="Times New Roman"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故障检修间隔时间</w:t>
            </w:r>
          </w:p>
        </w:tc>
        <w:tc>
          <w:tcPr>
            <w:tcW w:w="2765" w:type="dxa"/>
          </w:tcPr>
          <w:p>
            <w:pPr>
              <w:rPr>
                <w:rFonts w:cs="Times New Roman" w:asciiTheme="majorEastAsia" w:hAnsiTheme="majorEastAsia" w:eastAsiaTheme="majorEastAsia"/>
                <w:sz w:val="28"/>
                <w:szCs w:val="28"/>
              </w:rPr>
            </w:pPr>
          </w:p>
        </w:tc>
        <w:tc>
          <w:tcPr>
            <w:tcW w:w="2766" w:type="dxa"/>
          </w:tcPr>
          <w:p>
            <w:pPr>
              <w:rPr>
                <w:rFonts w:cs="Times New Roman"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故障平均修复时间</w:t>
            </w:r>
          </w:p>
        </w:tc>
        <w:tc>
          <w:tcPr>
            <w:tcW w:w="2765" w:type="dxa"/>
          </w:tcPr>
          <w:p>
            <w:pPr>
              <w:rPr>
                <w:rFonts w:cs="Times New Roman" w:asciiTheme="majorEastAsia" w:hAnsiTheme="majorEastAsia" w:eastAsiaTheme="majorEastAsia"/>
                <w:sz w:val="28"/>
                <w:szCs w:val="28"/>
              </w:rPr>
            </w:pPr>
          </w:p>
        </w:tc>
        <w:tc>
          <w:tcPr>
            <w:tcW w:w="2766" w:type="dxa"/>
          </w:tcPr>
          <w:p>
            <w:pPr>
              <w:rPr>
                <w:rFonts w:cs="Times New Roman" w:asciiTheme="majorEastAsia" w:hAnsiTheme="majorEastAsia" w:eastAsiaTheme="majorEastAsia"/>
                <w:sz w:val="28"/>
                <w:szCs w:val="28"/>
              </w:rPr>
            </w:pPr>
          </w:p>
        </w:tc>
      </w:tr>
    </w:tbl>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c</w:t>
      </w:r>
      <w:r>
        <w:rPr>
          <w:rFonts w:hint="eastAsia" w:cs="Times New Roman" w:asciiTheme="majorEastAsia" w:hAnsiTheme="majorEastAsia" w:eastAsiaTheme="majorEastAsia"/>
          <w:sz w:val="28"/>
          <w:szCs w:val="28"/>
        </w:rPr>
        <w:t>.发电量</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机组的发电量为</w:t>
      </w:r>
      <w:r>
        <w:rPr>
          <w:rFonts w:cs="Times New Roman" w:asciiTheme="majorEastAsia" w:hAnsiTheme="majorEastAsia" w:eastAsiaTheme="majorEastAsia"/>
          <w:sz w:val="28"/>
          <w:szCs w:val="28"/>
        </w:rPr>
        <w:t>XX MW</w:t>
      </w:r>
      <w:r>
        <w:rPr>
          <w:rFonts w:hint="eastAsia" w:cs="Times New Roman" w:asciiTheme="majorEastAsia" w:hAnsiTheme="majorEastAsia" w:eastAsiaTheme="majorEastAsia"/>
          <w:sz w:val="28"/>
          <w:szCs w:val="28"/>
        </w:rPr>
        <w:t>h，最大风速为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m/s，平均风速为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m/s，在同型号机组中发电量排名为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名。X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机组月度发电量统计如图附1-</w:t>
      </w:r>
      <w:r>
        <w:rPr>
          <w:rFonts w:cs="Times New Roman" w:asciiTheme="majorEastAsia" w:hAnsiTheme="majorEastAsia" w:eastAsiaTheme="majorEastAsia"/>
          <w:sz w:val="28"/>
          <w:szCs w:val="28"/>
        </w:rPr>
        <w:t>4</w:t>
      </w:r>
      <w:r>
        <w:rPr>
          <w:rFonts w:hint="eastAsia" w:cs="Times New Roman" w:asciiTheme="majorEastAsia" w:hAnsiTheme="majorEastAsia" w:eastAsiaTheme="majorEastAsia"/>
          <w:sz w:val="28"/>
          <w:szCs w:val="28"/>
        </w:rPr>
        <w:t>所示。</w:t>
      </w:r>
    </w:p>
    <w:p>
      <w:pPr>
        <w:spacing w:line="360" w:lineRule="auto"/>
        <w:jc w:val="center"/>
        <w:rPr>
          <w:rFonts w:cs="Times New Roman" w:asciiTheme="majorEastAsia" w:hAnsiTheme="majorEastAsia" w:eastAsiaTheme="majorEastAsia"/>
          <w:sz w:val="24"/>
          <w:szCs w:val="24"/>
        </w:rPr>
      </w:pP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4 XX</w:t>
      </w:r>
      <w:r>
        <w:rPr>
          <w:rFonts w:hint="eastAsia" w:cs="Times New Roman" w:asciiTheme="majorEastAsia" w:hAnsiTheme="majorEastAsia" w:eastAsiaTheme="majorEastAsia"/>
          <w:sz w:val="24"/>
          <w:szCs w:val="24"/>
        </w:rPr>
        <w:t>机组月度发电量统计</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d</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损失电量分析</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XXX风电机组损失电量分析结果如下图所示，其中造成损失电量较大的原因主要包括：</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1、XXX，损失电量占比为XX%；</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2、XXX，损失电量占比为XX%；</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3、XXX，损失电量占比为XX%；</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4、XXX，损失电量占比为XX%；</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5、XXX，损失电量占比为XX%。</w:t>
      </w:r>
      <w:r>
        <w:rPr>
          <w:rFonts w:hint="eastAsia" w:cs="Times New Roman" w:asciiTheme="majorEastAsia" w:hAnsiTheme="majorEastAsia" w:eastAsiaTheme="majorEastAsia"/>
          <w:sz w:val="28"/>
          <w:szCs w:val="28"/>
          <w:highlight w:val="yellow"/>
        </w:rPr>
        <w:t>（从系统中自动确定损失电量前五名列到此处）</w:t>
      </w:r>
    </w:p>
    <w:p>
      <w:pPr>
        <w:rPr>
          <w:rFonts w:cs="Times New Roman" w:asciiTheme="majorEastAsia" w:hAnsiTheme="majorEastAsia" w:eastAsiaTheme="majorEastAsia"/>
          <w:sz w:val="28"/>
          <w:szCs w:val="28"/>
          <w:highlight w:val="yellow"/>
        </w:rPr>
      </w:pPr>
      <w:r>
        <w:drawing>
          <wp:inline distT="0" distB="0" distL="114300" distR="114300">
            <wp:extent cx="5143500" cy="2819400"/>
            <wp:effectExtent l="0" t="0" r="0" b="0"/>
            <wp:docPr id="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
                    <pic:cNvPicPr>
                      <a:picLocks noChangeAspect="1"/>
                    </pic:cNvPicPr>
                  </pic:nvPicPr>
                  <pic:blipFill>
                    <a:blip r:embed="rId12"/>
                    <a:stretch>
                      <a:fillRect/>
                    </a:stretch>
                  </pic:blipFill>
                  <pic:spPr>
                    <a:xfrm>
                      <a:off x="0" y="0"/>
                      <a:ext cx="5143500" cy="2819400"/>
                    </a:xfrm>
                    <a:prstGeom prst="rect">
                      <a:avLst/>
                    </a:prstGeom>
                    <a:noFill/>
                    <a:ln>
                      <a:noFill/>
                    </a:ln>
                  </pic:spPr>
                </pic:pic>
              </a:graphicData>
            </a:graphic>
          </wp:inline>
        </w:drawing>
      </w:r>
    </w:p>
    <w:p>
      <w:pPr>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 XX风电机组损失电量占比</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按照月度统计如下图所示。</w:t>
      </w:r>
    </w:p>
    <w:p>
      <w:pPr>
        <w:rPr>
          <w:rFonts w:cs="Times New Roman" w:asciiTheme="majorEastAsia" w:hAnsiTheme="majorEastAsia" w:eastAsiaTheme="majorEastAsia"/>
          <w:sz w:val="28"/>
          <w:szCs w:val="28"/>
          <w:highlight w:val="yellow"/>
        </w:rPr>
      </w:pPr>
      <w:r>
        <w:drawing>
          <wp:inline distT="0" distB="0" distL="114300" distR="114300">
            <wp:extent cx="5265420" cy="1383030"/>
            <wp:effectExtent l="0" t="0" r="11430" b="7620"/>
            <wp:docPr id="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pic:cNvPicPr>
                      <a:picLocks noChangeAspect="1"/>
                    </pic:cNvPicPr>
                  </pic:nvPicPr>
                  <pic:blipFill>
                    <a:blip r:embed="rId13"/>
                    <a:stretch>
                      <a:fillRect/>
                    </a:stretch>
                  </pic:blipFill>
                  <pic:spPr>
                    <a:xfrm>
                      <a:off x="0" y="0"/>
                      <a:ext cx="5265420" cy="1383030"/>
                    </a:xfrm>
                    <a:prstGeom prst="rect">
                      <a:avLst/>
                    </a:prstGeom>
                    <a:noFill/>
                    <a:ln>
                      <a:noFill/>
                    </a:ln>
                  </pic:spPr>
                </pic:pic>
              </a:graphicData>
            </a:graphic>
          </wp:inline>
        </w:drawing>
      </w:r>
    </w:p>
    <w:p>
      <w:pPr>
        <w:ind w:firstLine="480" w:firstLineChars="200"/>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图XX风电机组月度损失电量统计</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e</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发电性能</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机组的运行功率特性曲线分析如下图所示。</w:t>
      </w:r>
    </w:p>
    <w:p>
      <w:pPr>
        <w:ind w:firstLine="210" w:firstLineChars="100"/>
        <w:rPr>
          <w:rFonts w:cs="Times New Roman" w:asciiTheme="majorEastAsia" w:hAnsiTheme="majorEastAsia" w:eastAsiaTheme="majorEastAsia"/>
          <w:sz w:val="28"/>
          <w:szCs w:val="28"/>
        </w:rPr>
      </w:pPr>
      <w:r>
        <w:drawing>
          <wp:inline distT="0" distB="0" distL="0" distR="0">
            <wp:extent cx="5274310" cy="2591435"/>
            <wp:effectExtent l="0" t="0" r="2540" b="18415"/>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5 XX</w:t>
      </w:r>
      <w:r>
        <w:rPr>
          <w:rFonts w:hint="eastAsia" w:cs="Times New Roman" w:asciiTheme="majorEastAsia" w:hAnsiTheme="majorEastAsia" w:eastAsiaTheme="majorEastAsia"/>
          <w:sz w:val="24"/>
          <w:szCs w:val="24"/>
        </w:rPr>
        <w:t>机组运行功率曲线及该型号机组的标准化功率曲线</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基于功率曲线对比，根据机组发电性能的判断规则，判断</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机组在本季度的运行性能分类为：X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（优/良/中/差）。</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机组的发电能力指标</w:t>
      </w:r>
      <w:r>
        <w:rPr>
          <w:rFonts w:cs="Times New Roman" w:asciiTheme="majorEastAsia" w:hAnsiTheme="majorEastAsia" w:eastAsiaTheme="majorEastAsia"/>
          <w:sz w:val="28"/>
          <w:szCs w:val="28"/>
        </w:rPr>
        <w:t>F</w:t>
      </w:r>
      <w:r>
        <w:rPr>
          <w:rFonts w:hint="eastAsia" w:cs="Times New Roman" w:asciiTheme="majorEastAsia" w:hAnsiTheme="majorEastAsia" w:eastAsiaTheme="majorEastAsia"/>
          <w:sz w:val="28"/>
          <w:szCs w:val="28"/>
        </w:rPr>
        <w:t>g为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，在同型号风电机组中排行2</w:t>
      </w:r>
      <w:r>
        <w:rPr>
          <w:rFonts w:cs="Times New Roman" w:asciiTheme="majorEastAsia" w:hAnsiTheme="majorEastAsia" w:eastAsiaTheme="majorEastAsia"/>
          <w:sz w:val="28"/>
          <w:szCs w:val="28"/>
        </w:rPr>
        <w:t>1</w:t>
      </w:r>
      <w:r>
        <w:rPr>
          <w:rFonts w:hint="eastAsia" w:cs="Times New Roman" w:asciiTheme="majorEastAsia" w:hAnsiTheme="majorEastAsia" w:eastAsiaTheme="majorEastAsia"/>
          <w:sz w:val="28"/>
          <w:szCs w:val="28"/>
        </w:rPr>
        <w:t>名。</w:t>
      </w:r>
    </w:p>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f.</w:t>
      </w:r>
      <w:r>
        <w:rPr>
          <w:rFonts w:hint="eastAsia" w:cs="Times New Roman" w:asciiTheme="majorEastAsia" w:hAnsiTheme="majorEastAsia" w:eastAsiaTheme="majorEastAsia"/>
          <w:sz w:val="28"/>
          <w:szCs w:val="28"/>
        </w:rPr>
        <w:t>偏航静态偏差</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根据统计分析可得本季度</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机组的偏航静态偏差为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°，判定该机组的偏航系统处于X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（正常/告警/异常）状态。</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张 扬" w:date="2022-01-19T20:38:00Z" w:initials="张">
    <w:p w14:paraId="15803102">
      <w:pPr>
        <w:pStyle w:val="14"/>
      </w:pPr>
      <w:r>
        <w:rPr>
          <w:rFonts w:hint="eastAsia"/>
        </w:rPr>
        <w:t>这个是平台计算的考核电量，还是调度实际考核电量？可能存在偏差，需要明确一下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580310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楷体">
    <w:altName w:val="宋体"/>
    <w:panose1 w:val="02010600040101010101"/>
    <w:charset w:val="86"/>
    <w:family w:val="auto"/>
    <w:pitch w:val="default"/>
    <w:sig w:usb0="00000000" w:usb1="00000000" w:usb2="00000000" w:usb3="00000000" w:csb0="0004009F" w:csb1="DFD7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Garamond">
    <w:altName w:val="PMingLiU-ExtB"/>
    <w:panose1 w:val="02020404030301010803"/>
    <w:charset w:val="00"/>
    <w:family w:val="roman"/>
    <w:pitch w:val="default"/>
    <w:sig w:usb0="00000000" w:usb1="00000000" w:usb2="00000000" w:usb3="00000000" w:csb0="0000009F" w:csb1="DFD70000"/>
  </w:font>
  <w:font w:name="PMingLiU-ExtB">
    <w:panose1 w:val="02020500000000000000"/>
    <w:charset w:val="88"/>
    <w:family w:val="auto"/>
    <w:pitch w:val="default"/>
    <w:sig w:usb0="8000002F" w:usb1="02000008" w:usb2="00000000" w:usb3="00000000" w:csb0="00100001" w:csb1="00000000"/>
  </w:font>
  <w:font w:name="EU-F1">
    <w:altName w:val="宋体"/>
    <w:panose1 w:val="00000000000000000000"/>
    <w:charset w:val="86"/>
    <w:family w:val="script"/>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Calibri Light">
    <w:panose1 w:val="020F0302020204030204"/>
    <w:charset w:val="00"/>
    <w:family w:val="swiss"/>
    <w:pitch w:val="default"/>
    <w:sig w:usb0="E0002A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BA5063"/>
    <w:multiLevelType w:val="multilevel"/>
    <w:tmpl w:val="3DBA5063"/>
    <w:lvl w:ilvl="0" w:tentative="0">
      <w:start w:val="2"/>
      <w:numFmt w:val="chineseCountingThousand"/>
      <w:pStyle w:val="2"/>
      <w:lvlText w:val="第%1章"/>
      <w:lvlJc w:val="left"/>
      <w:pPr>
        <w:tabs>
          <w:tab w:val="left" w:pos="1247"/>
        </w:tabs>
        <w:ind w:left="612" w:hanging="432"/>
      </w:pPr>
      <w:rPr>
        <w:rFonts w:hint="eastAsia"/>
      </w:rPr>
    </w:lvl>
    <w:lvl w:ilvl="1" w:tentative="0">
      <w:start w:val="1"/>
      <w:numFmt w:val="decimal"/>
      <w:pStyle w:val="3"/>
      <w:isLgl/>
      <w:lvlText w:val="%1.%2"/>
      <w:lvlJc w:val="left"/>
      <w:pPr>
        <w:tabs>
          <w:tab w:val="left" w:pos="576"/>
        </w:tabs>
        <w:ind w:left="576" w:hanging="576"/>
      </w:pPr>
      <w:rPr>
        <w:rFonts w:hint="eastAsia" w:eastAsia="宋体"/>
        <w:b/>
        <w:i w:val="0"/>
        <w:sz w:val="30"/>
      </w:rPr>
    </w:lvl>
    <w:lvl w:ilvl="2" w:tentative="0">
      <w:start w:val="1"/>
      <w:numFmt w:val="decimal"/>
      <w:pStyle w:val="4"/>
      <w:isLgl/>
      <w:lvlText w:val="%1.%2.%3"/>
      <w:lvlJc w:val="left"/>
      <w:pPr>
        <w:tabs>
          <w:tab w:val="left" w:pos="720"/>
        </w:tabs>
        <w:ind w:left="720" w:hanging="720"/>
      </w:pPr>
      <w:rPr>
        <w:rFonts w:hint="eastAsia"/>
      </w:rPr>
    </w:lvl>
    <w:lvl w:ilvl="3" w:tentative="0">
      <w:start w:val="1"/>
      <w:numFmt w:val="decimal"/>
      <w:isLgl/>
      <w:lvlText w:val="%1.%2.%3.%4"/>
      <w:lvlJc w:val="left"/>
      <w:pPr>
        <w:tabs>
          <w:tab w:val="left" w:pos="864"/>
        </w:tabs>
        <w:ind w:left="864" w:hanging="864"/>
      </w:pPr>
      <w:rPr>
        <w:rFonts w:hint="eastAsia"/>
      </w:rPr>
    </w:lvl>
    <w:lvl w:ilvl="4" w:tentative="0">
      <w:start w:val="1"/>
      <w:numFmt w:val="decimal"/>
      <w:isLgl/>
      <w:lvlText w:val="%1.%2.%3.%4.%5"/>
      <w:lvlJc w:val="left"/>
      <w:pPr>
        <w:tabs>
          <w:tab w:val="left" w:pos="1008"/>
        </w:tabs>
        <w:ind w:left="1008" w:hanging="1008"/>
      </w:pPr>
      <w:rPr>
        <w:rFonts w:hint="eastAsia" w:ascii="Times New Roman" w:hAnsi="Times New Roman" w:cs="Times New Roman"/>
        <w:b w:val="0"/>
        <w:bCs w:val="0"/>
        <w:i w:val="0"/>
        <w:iCs w:val="0"/>
        <w:caps w:val="0"/>
        <w:smallCaps w:val="0"/>
        <w:strike w:val="0"/>
        <w:dstrike w:val="0"/>
        <w:snapToGrid w:val="0"/>
        <w:color w:val="000000"/>
        <w:spacing w:val="0"/>
        <w:w w:val="0"/>
        <w:kern w:val="0"/>
        <w:position w:val="0"/>
        <w:szCs w:val="16"/>
        <w:u w:val="none"/>
        <w14:shadow w14:blurRad="0" w14:dist="0" w14:dir="0" w14:sx="0" w14:sy="0" w14:kx="0" w14:ky="0" w14:algn="none">
          <w14:srgbClr w14:val="000000"/>
        </w14:shadow>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 扬">
    <w15:presenceInfo w15:providerId="Windows Live" w15:userId="707c8c7e27b1db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Y2YTZjYzMyOGRjNWFiZGIwMTM4MWY3NjRjNGU4NTUifQ=="/>
  </w:docVars>
  <w:rsids>
    <w:rsidRoot w:val="001B2F11"/>
    <w:rsid w:val="00003EF3"/>
    <w:rsid w:val="000052A5"/>
    <w:rsid w:val="0000530F"/>
    <w:rsid w:val="00011C23"/>
    <w:rsid w:val="00011FFA"/>
    <w:rsid w:val="00012734"/>
    <w:rsid w:val="00016A95"/>
    <w:rsid w:val="000210D0"/>
    <w:rsid w:val="00022ED4"/>
    <w:rsid w:val="00026578"/>
    <w:rsid w:val="00026727"/>
    <w:rsid w:val="00031508"/>
    <w:rsid w:val="00033D73"/>
    <w:rsid w:val="0003505B"/>
    <w:rsid w:val="000356C5"/>
    <w:rsid w:val="000408A1"/>
    <w:rsid w:val="00045382"/>
    <w:rsid w:val="00047138"/>
    <w:rsid w:val="000471DF"/>
    <w:rsid w:val="000518ED"/>
    <w:rsid w:val="00051CD2"/>
    <w:rsid w:val="00053C91"/>
    <w:rsid w:val="0005519E"/>
    <w:rsid w:val="00057B32"/>
    <w:rsid w:val="00060B4B"/>
    <w:rsid w:val="000641F6"/>
    <w:rsid w:val="0006435C"/>
    <w:rsid w:val="00064817"/>
    <w:rsid w:val="0006532A"/>
    <w:rsid w:val="0007098B"/>
    <w:rsid w:val="000723DC"/>
    <w:rsid w:val="00073EC5"/>
    <w:rsid w:val="00074063"/>
    <w:rsid w:val="000748B9"/>
    <w:rsid w:val="00077040"/>
    <w:rsid w:val="00080DA2"/>
    <w:rsid w:val="000822AA"/>
    <w:rsid w:val="00083A6F"/>
    <w:rsid w:val="000842BA"/>
    <w:rsid w:val="00085FD8"/>
    <w:rsid w:val="00092CCE"/>
    <w:rsid w:val="000935B7"/>
    <w:rsid w:val="000964B7"/>
    <w:rsid w:val="000A12F9"/>
    <w:rsid w:val="000A13ED"/>
    <w:rsid w:val="000A17CB"/>
    <w:rsid w:val="000A4298"/>
    <w:rsid w:val="000A6852"/>
    <w:rsid w:val="000B0E2D"/>
    <w:rsid w:val="000B2A50"/>
    <w:rsid w:val="000B41C9"/>
    <w:rsid w:val="000B4623"/>
    <w:rsid w:val="000B77B0"/>
    <w:rsid w:val="000B7EE7"/>
    <w:rsid w:val="000C01E6"/>
    <w:rsid w:val="000C1CB7"/>
    <w:rsid w:val="000C2BD5"/>
    <w:rsid w:val="000C4140"/>
    <w:rsid w:val="000D0BE1"/>
    <w:rsid w:val="000D283D"/>
    <w:rsid w:val="000D3E03"/>
    <w:rsid w:val="000D6297"/>
    <w:rsid w:val="000D6B45"/>
    <w:rsid w:val="000E084E"/>
    <w:rsid w:val="000E12D4"/>
    <w:rsid w:val="000E1717"/>
    <w:rsid w:val="000E1FC9"/>
    <w:rsid w:val="000E27DB"/>
    <w:rsid w:val="000E2D3A"/>
    <w:rsid w:val="000E466E"/>
    <w:rsid w:val="000E593E"/>
    <w:rsid w:val="000E5A25"/>
    <w:rsid w:val="000E6E7B"/>
    <w:rsid w:val="000E7A9C"/>
    <w:rsid w:val="000F01FD"/>
    <w:rsid w:val="000F5D35"/>
    <w:rsid w:val="00102BC1"/>
    <w:rsid w:val="00103473"/>
    <w:rsid w:val="00110986"/>
    <w:rsid w:val="00113751"/>
    <w:rsid w:val="0011375D"/>
    <w:rsid w:val="00115F64"/>
    <w:rsid w:val="001179D4"/>
    <w:rsid w:val="001219E4"/>
    <w:rsid w:val="00121F47"/>
    <w:rsid w:val="00124328"/>
    <w:rsid w:val="00125E7A"/>
    <w:rsid w:val="001318A0"/>
    <w:rsid w:val="001331D0"/>
    <w:rsid w:val="00133642"/>
    <w:rsid w:val="00140464"/>
    <w:rsid w:val="001415BA"/>
    <w:rsid w:val="001423DC"/>
    <w:rsid w:val="00142A1C"/>
    <w:rsid w:val="001442BD"/>
    <w:rsid w:val="001445D9"/>
    <w:rsid w:val="00144E80"/>
    <w:rsid w:val="00151412"/>
    <w:rsid w:val="001516AD"/>
    <w:rsid w:val="0015495B"/>
    <w:rsid w:val="00157A18"/>
    <w:rsid w:val="00160930"/>
    <w:rsid w:val="00162FC2"/>
    <w:rsid w:val="00163A48"/>
    <w:rsid w:val="001673D0"/>
    <w:rsid w:val="001700BB"/>
    <w:rsid w:val="00172E9F"/>
    <w:rsid w:val="00174BC0"/>
    <w:rsid w:val="00175F35"/>
    <w:rsid w:val="00180FA1"/>
    <w:rsid w:val="001818E6"/>
    <w:rsid w:val="00181C62"/>
    <w:rsid w:val="0018293D"/>
    <w:rsid w:val="00185E55"/>
    <w:rsid w:val="00186DE6"/>
    <w:rsid w:val="00190CE5"/>
    <w:rsid w:val="00190DF8"/>
    <w:rsid w:val="00194292"/>
    <w:rsid w:val="001945F8"/>
    <w:rsid w:val="00194DE5"/>
    <w:rsid w:val="0019582C"/>
    <w:rsid w:val="0019752E"/>
    <w:rsid w:val="001976F7"/>
    <w:rsid w:val="001A17DF"/>
    <w:rsid w:val="001A31AA"/>
    <w:rsid w:val="001A4C28"/>
    <w:rsid w:val="001A579E"/>
    <w:rsid w:val="001B2F11"/>
    <w:rsid w:val="001B682F"/>
    <w:rsid w:val="001C05C9"/>
    <w:rsid w:val="001C1D9B"/>
    <w:rsid w:val="001C45B0"/>
    <w:rsid w:val="001C6AC9"/>
    <w:rsid w:val="001D0788"/>
    <w:rsid w:val="001D58E0"/>
    <w:rsid w:val="001E0E6C"/>
    <w:rsid w:val="001E1314"/>
    <w:rsid w:val="001E509B"/>
    <w:rsid w:val="001E554F"/>
    <w:rsid w:val="001E60AE"/>
    <w:rsid w:val="001E7744"/>
    <w:rsid w:val="001F18FA"/>
    <w:rsid w:val="001F26CB"/>
    <w:rsid w:val="001F3030"/>
    <w:rsid w:val="001F7693"/>
    <w:rsid w:val="00200A8A"/>
    <w:rsid w:val="00202095"/>
    <w:rsid w:val="00205538"/>
    <w:rsid w:val="002055C4"/>
    <w:rsid w:val="00205E9E"/>
    <w:rsid w:val="00206DA7"/>
    <w:rsid w:val="00210FC3"/>
    <w:rsid w:val="00220A86"/>
    <w:rsid w:val="00224B81"/>
    <w:rsid w:val="002257A4"/>
    <w:rsid w:val="00225D9C"/>
    <w:rsid w:val="0022626A"/>
    <w:rsid w:val="00227872"/>
    <w:rsid w:val="002309DF"/>
    <w:rsid w:val="002340E1"/>
    <w:rsid w:val="00234B51"/>
    <w:rsid w:val="00235D1A"/>
    <w:rsid w:val="00235D72"/>
    <w:rsid w:val="0024315D"/>
    <w:rsid w:val="002444F6"/>
    <w:rsid w:val="00247683"/>
    <w:rsid w:val="00250B59"/>
    <w:rsid w:val="002542EF"/>
    <w:rsid w:val="0025586D"/>
    <w:rsid w:val="002563A5"/>
    <w:rsid w:val="00256CF2"/>
    <w:rsid w:val="00263077"/>
    <w:rsid w:val="0026340A"/>
    <w:rsid w:val="00263F8E"/>
    <w:rsid w:val="00272080"/>
    <w:rsid w:val="00272283"/>
    <w:rsid w:val="00274A65"/>
    <w:rsid w:val="00275A8F"/>
    <w:rsid w:val="002775B5"/>
    <w:rsid w:val="00280FA1"/>
    <w:rsid w:val="00282E60"/>
    <w:rsid w:val="002834EB"/>
    <w:rsid w:val="002917CE"/>
    <w:rsid w:val="00291A63"/>
    <w:rsid w:val="002922A2"/>
    <w:rsid w:val="002942EE"/>
    <w:rsid w:val="00295D4A"/>
    <w:rsid w:val="00296A1C"/>
    <w:rsid w:val="00297ADE"/>
    <w:rsid w:val="00297B36"/>
    <w:rsid w:val="002A1885"/>
    <w:rsid w:val="002A3A02"/>
    <w:rsid w:val="002A4835"/>
    <w:rsid w:val="002A5328"/>
    <w:rsid w:val="002B3BAC"/>
    <w:rsid w:val="002B5EE6"/>
    <w:rsid w:val="002C5C41"/>
    <w:rsid w:val="002D0EA2"/>
    <w:rsid w:val="002D4BB0"/>
    <w:rsid w:val="002D4FEE"/>
    <w:rsid w:val="002D570D"/>
    <w:rsid w:val="002D5959"/>
    <w:rsid w:val="002D70AA"/>
    <w:rsid w:val="002D7747"/>
    <w:rsid w:val="002E0F99"/>
    <w:rsid w:val="002E15ED"/>
    <w:rsid w:val="002E2DEC"/>
    <w:rsid w:val="002E66EB"/>
    <w:rsid w:val="002F3D79"/>
    <w:rsid w:val="002F5061"/>
    <w:rsid w:val="002F566D"/>
    <w:rsid w:val="002F56FC"/>
    <w:rsid w:val="002F7036"/>
    <w:rsid w:val="00300403"/>
    <w:rsid w:val="00304598"/>
    <w:rsid w:val="00306FF1"/>
    <w:rsid w:val="00307188"/>
    <w:rsid w:val="00313C9E"/>
    <w:rsid w:val="003144A2"/>
    <w:rsid w:val="0031619A"/>
    <w:rsid w:val="00316983"/>
    <w:rsid w:val="0032200D"/>
    <w:rsid w:val="003227F2"/>
    <w:rsid w:val="00324BDB"/>
    <w:rsid w:val="003253BA"/>
    <w:rsid w:val="00325860"/>
    <w:rsid w:val="003269F9"/>
    <w:rsid w:val="00326FE5"/>
    <w:rsid w:val="00333B96"/>
    <w:rsid w:val="003369D5"/>
    <w:rsid w:val="00336C80"/>
    <w:rsid w:val="00340748"/>
    <w:rsid w:val="0034212F"/>
    <w:rsid w:val="003424EB"/>
    <w:rsid w:val="003431EF"/>
    <w:rsid w:val="00343E50"/>
    <w:rsid w:val="00347F05"/>
    <w:rsid w:val="00350989"/>
    <w:rsid w:val="00354E2A"/>
    <w:rsid w:val="0035652F"/>
    <w:rsid w:val="00357D41"/>
    <w:rsid w:val="00367E02"/>
    <w:rsid w:val="00371BDF"/>
    <w:rsid w:val="00372D91"/>
    <w:rsid w:val="0037391F"/>
    <w:rsid w:val="0037741C"/>
    <w:rsid w:val="0038176F"/>
    <w:rsid w:val="00383A81"/>
    <w:rsid w:val="003851E4"/>
    <w:rsid w:val="003856E1"/>
    <w:rsid w:val="00386058"/>
    <w:rsid w:val="003936F1"/>
    <w:rsid w:val="00394058"/>
    <w:rsid w:val="00394899"/>
    <w:rsid w:val="003957F9"/>
    <w:rsid w:val="003A0F39"/>
    <w:rsid w:val="003A2ECF"/>
    <w:rsid w:val="003A529D"/>
    <w:rsid w:val="003A56E2"/>
    <w:rsid w:val="003A75D2"/>
    <w:rsid w:val="003B5F5E"/>
    <w:rsid w:val="003B63C5"/>
    <w:rsid w:val="003B7A6E"/>
    <w:rsid w:val="003C0556"/>
    <w:rsid w:val="003C2ECE"/>
    <w:rsid w:val="003C3A61"/>
    <w:rsid w:val="003C41D3"/>
    <w:rsid w:val="003C464C"/>
    <w:rsid w:val="003C6979"/>
    <w:rsid w:val="003C7DF5"/>
    <w:rsid w:val="003D5505"/>
    <w:rsid w:val="003D6EAF"/>
    <w:rsid w:val="003E12AD"/>
    <w:rsid w:val="003E1D5A"/>
    <w:rsid w:val="003E3444"/>
    <w:rsid w:val="003E42C3"/>
    <w:rsid w:val="003E71D8"/>
    <w:rsid w:val="003F6050"/>
    <w:rsid w:val="004003B9"/>
    <w:rsid w:val="0040143A"/>
    <w:rsid w:val="00406C9F"/>
    <w:rsid w:val="004078D3"/>
    <w:rsid w:val="00407AC0"/>
    <w:rsid w:val="00412F4E"/>
    <w:rsid w:val="004160B0"/>
    <w:rsid w:val="00425323"/>
    <w:rsid w:val="00427EC0"/>
    <w:rsid w:val="00432A63"/>
    <w:rsid w:val="00433569"/>
    <w:rsid w:val="00433FBC"/>
    <w:rsid w:val="004353AF"/>
    <w:rsid w:val="00436249"/>
    <w:rsid w:val="004370C1"/>
    <w:rsid w:val="0043731A"/>
    <w:rsid w:val="004417EE"/>
    <w:rsid w:val="0044569A"/>
    <w:rsid w:val="00446C89"/>
    <w:rsid w:val="00447E89"/>
    <w:rsid w:val="00450354"/>
    <w:rsid w:val="0045037C"/>
    <w:rsid w:val="00450424"/>
    <w:rsid w:val="00452F97"/>
    <w:rsid w:val="00454A0A"/>
    <w:rsid w:val="00457107"/>
    <w:rsid w:val="0046017E"/>
    <w:rsid w:val="00462FE5"/>
    <w:rsid w:val="0046358B"/>
    <w:rsid w:val="00463EAD"/>
    <w:rsid w:val="0047070E"/>
    <w:rsid w:val="00474625"/>
    <w:rsid w:val="0047490B"/>
    <w:rsid w:val="00476549"/>
    <w:rsid w:val="00481857"/>
    <w:rsid w:val="00482239"/>
    <w:rsid w:val="00482BBC"/>
    <w:rsid w:val="00485030"/>
    <w:rsid w:val="00486289"/>
    <w:rsid w:val="00487E16"/>
    <w:rsid w:val="004906A7"/>
    <w:rsid w:val="00492129"/>
    <w:rsid w:val="00492443"/>
    <w:rsid w:val="0049248E"/>
    <w:rsid w:val="00492EFD"/>
    <w:rsid w:val="00494B53"/>
    <w:rsid w:val="00495288"/>
    <w:rsid w:val="00495F3C"/>
    <w:rsid w:val="004A2E06"/>
    <w:rsid w:val="004A3FD2"/>
    <w:rsid w:val="004A5C40"/>
    <w:rsid w:val="004A7925"/>
    <w:rsid w:val="004B382F"/>
    <w:rsid w:val="004B48B7"/>
    <w:rsid w:val="004B4F44"/>
    <w:rsid w:val="004B5359"/>
    <w:rsid w:val="004B73DD"/>
    <w:rsid w:val="004C664E"/>
    <w:rsid w:val="004D184F"/>
    <w:rsid w:val="004D364C"/>
    <w:rsid w:val="004D401C"/>
    <w:rsid w:val="004D42F6"/>
    <w:rsid w:val="004D764E"/>
    <w:rsid w:val="004D7E1E"/>
    <w:rsid w:val="004E628D"/>
    <w:rsid w:val="004E7308"/>
    <w:rsid w:val="004E7981"/>
    <w:rsid w:val="004F0135"/>
    <w:rsid w:val="004F3847"/>
    <w:rsid w:val="004F3F4D"/>
    <w:rsid w:val="004F5C04"/>
    <w:rsid w:val="005025AE"/>
    <w:rsid w:val="005060FD"/>
    <w:rsid w:val="0050694C"/>
    <w:rsid w:val="005109A1"/>
    <w:rsid w:val="00510AF9"/>
    <w:rsid w:val="005110F2"/>
    <w:rsid w:val="005111A4"/>
    <w:rsid w:val="00512041"/>
    <w:rsid w:val="0051275E"/>
    <w:rsid w:val="005142C3"/>
    <w:rsid w:val="00514846"/>
    <w:rsid w:val="00515154"/>
    <w:rsid w:val="0051583D"/>
    <w:rsid w:val="005159E5"/>
    <w:rsid w:val="005204B7"/>
    <w:rsid w:val="005222D0"/>
    <w:rsid w:val="0052284D"/>
    <w:rsid w:val="00523ABF"/>
    <w:rsid w:val="00524B2F"/>
    <w:rsid w:val="00524C8F"/>
    <w:rsid w:val="00526370"/>
    <w:rsid w:val="00526FC9"/>
    <w:rsid w:val="00527F6E"/>
    <w:rsid w:val="00530F0C"/>
    <w:rsid w:val="005316D3"/>
    <w:rsid w:val="00533E7C"/>
    <w:rsid w:val="00534E8F"/>
    <w:rsid w:val="0054008B"/>
    <w:rsid w:val="005428A6"/>
    <w:rsid w:val="00542F54"/>
    <w:rsid w:val="005437EB"/>
    <w:rsid w:val="00545455"/>
    <w:rsid w:val="00545687"/>
    <w:rsid w:val="00551EDB"/>
    <w:rsid w:val="005579FC"/>
    <w:rsid w:val="00557D1A"/>
    <w:rsid w:val="00564AB9"/>
    <w:rsid w:val="0056653F"/>
    <w:rsid w:val="00567A17"/>
    <w:rsid w:val="00571510"/>
    <w:rsid w:val="00575281"/>
    <w:rsid w:val="00576085"/>
    <w:rsid w:val="00581C84"/>
    <w:rsid w:val="00582B92"/>
    <w:rsid w:val="005841DE"/>
    <w:rsid w:val="00590897"/>
    <w:rsid w:val="005964E0"/>
    <w:rsid w:val="005974EE"/>
    <w:rsid w:val="005A1DC5"/>
    <w:rsid w:val="005A224D"/>
    <w:rsid w:val="005B11D1"/>
    <w:rsid w:val="005B1B69"/>
    <w:rsid w:val="005B3C88"/>
    <w:rsid w:val="005B55E2"/>
    <w:rsid w:val="005B7499"/>
    <w:rsid w:val="005B7F7A"/>
    <w:rsid w:val="005C07E9"/>
    <w:rsid w:val="005C0CE5"/>
    <w:rsid w:val="005C2C7F"/>
    <w:rsid w:val="005C5565"/>
    <w:rsid w:val="005C5B4E"/>
    <w:rsid w:val="005C6EE2"/>
    <w:rsid w:val="005C7ED6"/>
    <w:rsid w:val="005D0E4B"/>
    <w:rsid w:val="005D3DBC"/>
    <w:rsid w:val="005D4E30"/>
    <w:rsid w:val="005D5652"/>
    <w:rsid w:val="005D6779"/>
    <w:rsid w:val="005E11AE"/>
    <w:rsid w:val="005E5553"/>
    <w:rsid w:val="005E593B"/>
    <w:rsid w:val="005E5C23"/>
    <w:rsid w:val="005E6393"/>
    <w:rsid w:val="005E657F"/>
    <w:rsid w:val="005F3900"/>
    <w:rsid w:val="005F3D7E"/>
    <w:rsid w:val="005F429C"/>
    <w:rsid w:val="005F4C1D"/>
    <w:rsid w:val="005F5D52"/>
    <w:rsid w:val="00600B69"/>
    <w:rsid w:val="00605A3A"/>
    <w:rsid w:val="00605EDC"/>
    <w:rsid w:val="006114C5"/>
    <w:rsid w:val="00611871"/>
    <w:rsid w:val="00613AAD"/>
    <w:rsid w:val="006144FF"/>
    <w:rsid w:val="00615253"/>
    <w:rsid w:val="00616C0E"/>
    <w:rsid w:val="00617448"/>
    <w:rsid w:val="0061746E"/>
    <w:rsid w:val="0061780C"/>
    <w:rsid w:val="00621C0B"/>
    <w:rsid w:val="00624356"/>
    <w:rsid w:val="00624529"/>
    <w:rsid w:val="00624BC7"/>
    <w:rsid w:val="00625046"/>
    <w:rsid w:val="00626D6C"/>
    <w:rsid w:val="00630DFF"/>
    <w:rsid w:val="006321A7"/>
    <w:rsid w:val="00632399"/>
    <w:rsid w:val="0063498E"/>
    <w:rsid w:val="00634A53"/>
    <w:rsid w:val="0063549A"/>
    <w:rsid w:val="00635533"/>
    <w:rsid w:val="006429BC"/>
    <w:rsid w:val="006442F1"/>
    <w:rsid w:val="006468C0"/>
    <w:rsid w:val="00647BAE"/>
    <w:rsid w:val="00651905"/>
    <w:rsid w:val="00654C7D"/>
    <w:rsid w:val="00655632"/>
    <w:rsid w:val="006579C5"/>
    <w:rsid w:val="00657AA7"/>
    <w:rsid w:val="00660750"/>
    <w:rsid w:val="00661217"/>
    <w:rsid w:val="00670223"/>
    <w:rsid w:val="006707D8"/>
    <w:rsid w:val="0067256D"/>
    <w:rsid w:val="006734D3"/>
    <w:rsid w:val="0067501F"/>
    <w:rsid w:val="00676AA5"/>
    <w:rsid w:val="00676D2B"/>
    <w:rsid w:val="00682102"/>
    <w:rsid w:val="00686D66"/>
    <w:rsid w:val="00686FE9"/>
    <w:rsid w:val="006870A2"/>
    <w:rsid w:val="00693C03"/>
    <w:rsid w:val="00693DDA"/>
    <w:rsid w:val="006A15CD"/>
    <w:rsid w:val="006A2839"/>
    <w:rsid w:val="006A37EA"/>
    <w:rsid w:val="006A4ACB"/>
    <w:rsid w:val="006A4D88"/>
    <w:rsid w:val="006A5AD0"/>
    <w:rsid w:val="006A5FCF"/>
    <w:rsid w:val="006B0D9D"/>
    <w:rsid w:val="006B76A3"/>
    <w:rsid w:val="006C3716"/>
    <w:rsid w:val="006C5A74"/>
    <w:rsid w:val="006C665C"/>
    <w:rsid w:val="006D09C1"/>
    <w:rsid w:val="006D19CF"/>
    <w:rsid w:val="006D1D1A"/>
    <w:rsid w:val="006D2AD5"/>
    <w:rsid w:val="006D2C5F"/>
    <w:rsid w:val="006D35C7"/>
    <w:rsid w:val="006D38E5"/>
    <w:rsid w:val="006D6A4C"/>
    <w:rsid w:val="006E053C"/>
    <w:rsid w:val="006E082C"/>
    <w:rsid w:val="006E09F1"/>
    <w:rsid w:val="006E1A34"/>
    <w:rsid w:val="006E505A"/>
    <w:rsid w:val="006E61DB"/>
    <w:rsid w:val="006E7274"/>
    <w:rsid w:val="006F0B05"/>
    <w:rsid w:val="006F2992"/>
    <w:rsid w:val="006F327A"/>
    <w:rsid w:val="006F369C"/>
    <w:rsid w:val="006F3D65"/>
    <w:rsid w:val="006F4AA9"/>
    <w:rsid w:val="006F6300"/>
    <w:rsid w:val="00705970"/>
    <w:rsid w:val="00705DB3"/>
    <w:rsid w:val="0070630F"/>
    <w:rsid w:val="00710AD4"/>
    <w:rsid w:val="00712C83"/>
    <w:rsid w:val="00714202"/>
    <w:rsid w:val="007162D9"/>
    <w:rsid w:val="007203FD"/>
    <w:rsid w:val="00724885"/>
    <w:rsid w:val="0072510F"/>
    <w:rsid w:val="0072612A"/>
    <w:rsid w:val="00726891"/>
    <w:rsid w:val="0072767B"/>
    <w:rsid w:val="00730191"/>
    <w:rsid w:val="00731521"/>
    <w:rsid w:val="0073218D"/>
    <w:rsid w:val="00732576"/>
    <w:rsid w:val="0073392D"/>
    <w:rsid w:val="007350B9"/>
    <w:rsid w:val="00741054"/>
    <w:rsid w:val="00741384"/>
    <w:rsid w:val="007418B5"/>
    <w:rsid w:val="0074199F"/>
    <w:rsid w:val="00741A55"/>
    <w:rsid w:val="007425ED"/>
    <w:rsid w:val="0074260F"/>
    <w:rsid w:val="0074303D"/>
    <w:rsid w:val="00744798"/>
    <w:rsid w:val="007477AA"/>
    <w:rsid w:val="00750D74"/>
    <w:rsid w:val="00755217"/>
    <w:rsid w:val="00756B09"/>
    <w:rsid w:val="007604CF"/>
    <w:rsid w:val="00761B4B"/>
    <w:rsid w:val="0076246F"/>
    <w:rsid w:val="00764337"/>
    <w:rsid w:val="00764BAC"/>
    <w:rsid w:val="00771340"/>
    <w:rsid w:val="00771C7E"/>
    <w:rsid w:val="00772705"/>
    <w:rsid w:val="00773974"/>
    <w:rsid w:val="00774F0A"/>
    <w:rsid w:val="0078029D"/>
    <w:rsid w:val="00781BE4"/>
    <w:rsid w:val="00786BA9"/>
    <w:rsid w:val="007872E4"/>
    <w:rsid w:val="00790200"/>
    <w:rsid w:val="00790BD9"/>
    <w:rsid w:val="007918E4"/>
    <w:rsid w:val="00793894"/>
    <w:rsid w:val="0079427B"/>
    <w:rsid w:val="007A4622"/>
    <w:rsid w:val="007A4BAE"/>
    <w:rsid w:val="007B0F1E"/>
    <w:rsid w:val="007B2D2B"/>
    <w:rsid w:val="007B2D59"/>
    <w:rsid w:val="007B51E4"/>
    <w:rsid w:val="007B5682"/>
    <w:rsid w:val="007B5C81"/>
    <w:rsid w:val="007C0451"/>
    <w:rsid w:val="007C08D1"/>
    <w:rsid w:val="007C0ED6"/>
    <w:rsid w:val="007C1C8A"/>
    <w:rsid w:val="007C1E81"/>
    <w:rsid w:val="007C2568"/>
    <w:rsid w:val="007C2BBB"/>
    <w:rsid w:val="007C2D6C"/>
    <w:rsid w:val="007C4EAE"/>
    <w:rsid w:val="007C5FFA"/>
    <w:rsid w:val="007C78B1"/>
    <w:rsid w:val="007D0268"/>
    <w:rsid w:val="007D04DC"/>
    <w:rsid w:val="007D0A97"/>
    <w:rsid w:val="007D0D61"/>
    <w:rsid w:val="007D63A1"/>
    <w:rsid w:val="007E19DA"/>
    <w:rsid w:val="007E19FA"/>
    <w:rsid w:val="007E1BEA"/>
    <w:rsid w:val="007E3208"/>
    <w:rsid w:val="007F4677"/>
    <w:rsid w:val="00803467"/>
    <w:rsid w:val="00803ED1"/>
    <w:rsid w:val="0080463E"/>
    <w:rsid w:val="00806F06"/>
    <w:rsid w:val="00807F62"/>
    <w:rsid w:val="008106F1"/>
    <w:rsid w:val="00811E37"/>
    <w:rsid w:val="0081399C"/>
    <w:rsid w:val="008140E0"/>
    <w:rsid w:val="00815794"/>
    <w:rsid w:val="00817D62"/>
    <w:rsid w:val="00820605"/>
    <w:rsid w:val="0082126C"/>
    <w:rsid w:val="0082301D"/>
    <w:rsid w:val="0082345F"/>
    <w:rsid w:val="00834C93"/>
    <w:rsid w:val="0083622E"/>
    <w:rsid w:val="00837621"/>
    <w:rsid w:val="00840AA0"/>
    <w:rsid w:val="008411A8"/>
    <w:rsid w:val="008419C9"/>
    <w:rsid w:val="0084345A"/>
    <w:rsid w:val="00843AD2"/>
    <w:rsid w:val="0085112C"/>
    <w:rsid w:val="00854E5C"/>
    <w:rsid w:val="00854EE1"/>
    <w:rsid w:val="00854F19"/>
    <w:rsid w:val="00855FA6"/>
    <w:rsid w:val="008567C6"/>
    <w:rsid w:val="008613EC"/>
    <w:rsid w:val="00865DB0"/>
    <w:rsid w:val="008660B0"/>
    <w:rsid w:val="00872FFE"/>
    <w:rsid w:val="0087370F"/>
    <w:rsid w:val="008752E3"/>
    <w:rsid w:val="00875948"/>
    <w:rsid w:val="008768D0"/>
    <w:rsid w:val="00880091"/>
    <w:rsid w:val="00884350"/>
    <w:rsid w:val="0088676B"/>
    <w:rsid w:val="008870A7"/>
    <w:rsid w:val="00887657"/>
    <w:rsid w:val="008912EF"/>
    <w:rsid w:val="008915F4"/>
    <w:rsid w:val="0089288B"/>
    <w:rsid w:val="00893A69"/>
    <w:rsid w:val="008978A9"/>
    <w:rsid w:val="008A1098"/>
    <w:rsid w:val="008A6D60"/>
    <w:rsid w:val="008B0A5F"/>
    <w:rsid w:val="008B158E"/>
    <w:rsid w:val="008B440D"/>
    <w:rsid w:val="008B7096"/>
    <w:rsid w:val="008B7306"/>
    <w:rsid w:val="008C12AE"/>
    <w:rsid w:val="008C1E92"/>
    <w:rsid w:val="008C4584"/>
    <w:rsid w:val="008C572A"/>
    <w:rsid w:val="008C68F7"/>
    <w:rsid w:val="008C7F7E"/>
    <w:rsid w:val="008D15A7"/>
    <w:rsid w:val="008E02F8"/>
    <w:rsid w:val="008E1796"/>
    <w:rsid w:val="008E6212"/>
    <w:rsid w:val="008E7351"/>
    <w:rsid w:val="008F132B"/>
    <w:rsid w:val="008F31C9"/>
    <w:rsid w:val="008F343C"/>
    <w:rsid w:val="008F4F08"/>
    <w:rsid w:val="008F5D20"/>
    <w:rsid w:val="008F798C"/>
    <w:rsid w:val="008F7F74"/>
    <w:rsid w:val="00901B9D"/>
    <w:rsid w:val="00901F10"/>
    <w:rsid w:val="00903B93"/>
    <w:rsid w:val="00911C58"/>
    <w:rsid w:val="0091207F"/>
    <w:rsid w:val="0091597E"/>
    <w:rsid w:val="00916023"/>
    <w:rsid w:val="0091624B"/>
    <w:rsid w:val="00917B2A"/>
    <w:rsid w:val="00920488"/>
    <w:rsid w:val="009212A2"/>
    <w:rsid w:val="0093333C"/>
    <w:rsid w:val="009340F6"/>
    <w:rsid w:val="00936808"/>
    <w:rsid w:val="009368A8"/>
    <w:rsid w:val="0094031C"/>
    <w:rsid w:val="00941208"/>
    <w:rsid w:val="0094363E"/>
    <w:rsid w:val="00943B90"/>
    <w:rsid w:val="00944B4D"/>
    <w:rsid w:val="009459A8"/>
    <w:rsid w:val="009538FF"/>
    <w:rsid w:val="00953E73"/>
    <w:rsid w:val="009547F7"/>
    <w:rsid w:val="00955FD0"/>
    <w:rsid w:val="00957239"/>
    <w:rsid w:val="00957852"/>
    <w:rsid w:val="009639AB"/>
    <w:rsid w:val="00966B67"/>
    <w:rsid w:val="009701DA"/>
    <w:rsid w:val="00970EF7"/>
    <w:rsid w:val="00972058"/>
    <w:rsid w:val="009733E8"/>
    <w:rsid w:val="0097619F"/>
    <w:rsid w:val="00976268"/>
    <w:rsid w:val="00976798"/>
    <w:rsid w:val="00976A27"/>
    <w:rsid w:val="00976BA2"/>
    <w:rsid w:val="00977327"/>
    <w:rsid w:val="009817CE"/>
    <w:rsid w:val="00981E23"/>
    <w:rsid w:val="00981E3C"/>
    <w:rsid w:val="00983A4F"/>
    <w:rsid w:val="00984164"/>
    <w:rsid w:val="0098579C"/>
    <w:rsid w:val="00986969"/>
    <w:rsid w:val="0098798F"/>
    <w:rsid w:val="00987B05"/>
    <w:rsid w:val="00990AB5"/>
    <w:rsid w:val="00991702"/>
    <w:rsid w:val="0099180D"/>
    <w:rsid w:val="00993500"/>
    <w:rsid w:val="009935D5"/>
    <w:rsid w:val="00996165"/>
    <w:rsid w:val="009A1078"/>
    <w:rsid w:val="009A111E"/>
    <w:rsid w:val="009A508A"/>
    <w:rsid w:val="009A7BB1"/>
    <w:rsid w:val="009A7EC2"/>
    <w:rsid w:val="009B10E0"/>
    <w:rsid w:val="009B3F97"/>
    <w:rsid w:val="009B4111"/>
    <w:rsid w:val="009B4D26"/>
    <w:rsid w:val="009B5494"/>
    <w:rsid w:val="009C0FA4"/>
    <w:rsid w:val="009C14D6"/>
    <w:rsid w:val="009C1649"/>
    <w:rsid w:val="009C1B56"/>
    <w:rsid w:val="009C3B77"/>
    <w:rsid w:val="009C3C4C"/>
    <w:rsid w:val="009C5BA7"/>
    <w:rsid w:val="009C746F"/>
    <w:rsid w:val="009C7844"/>
    <w:rsid w:val="009D09B3"/>
    <w:rsid w:val="009D2228"/>
    <w:rsid w:val="009D2BE9"/>
    <w:rsid w:val="009D3CAA"/>
    <w:rsid w:val="009D4910"/>
    <w:rsid w:val="009D5297"/>
    <w:rsid w:val="009D5690"/>
    <w:rsid w:val="009E113B"/>
    <w:rsid w:val="009E1B53"/>
    <w:rsid w:val="009E3940"/>
    <w:rsid w:val="009E63D3"/>
    <w:rsid w:val="009F07CD"/>
    <w:rsid w:val="009F0B12"/>
    <w:rsid w:val="009F2282"/>
    <w:rsid w:val="009F391C"/>
    <w:rsid w:val="009F4153"/>
    <w:rsid w:val="009F4920"/>
    <w:rsid w:val="009F4B2B"/>
    <w:rsid w:val="00A00BC1"/>
    <w:rsid w:val="00A01FC9"/>
    <w:rsid w:val="00A02455"/>
    <w:rsid w:val="00A05FAA"/>
    <w:rsid w:val="00A06A1D"/>
    <w:rsid w:val="00A0738C"/>
    <w:rsid w:val="00A1017F"/>
    <w:rsid w:val="00A108E9"/>
    <w:rsid w:val="00A1103A"/>
    <w:rsid w:val="00A124A4"/>
    <w:rsid w:val="00A144FD"/>
    <w:rsid w:val="00A170EC"/>
    <w:rsid w:val="00A17BC2"/>
    <w:rsid w:val="00A25371"/>
    <w:rsid w:val="00A27E50"/>
    <w:rsid w:val="00A3638A"/>
    <w:rsid w:val="00A36D7F"/>
    <w:rsid w:val="00A37AD0"/>
    <w:rsid w:val="00A40566"/>
    <w:rsid w:val="00A407C0"/>
    <w:rsid w:val="00A40DF7"/>
    <w:rsid w:val="00A40FDE"/>
    <w:rsid w:val="00A4584B"/>
    <w:rsid w:val="00A47385"/>
    <w:rsid w:val="00A5031E"/>
    <w:rsid w:val="00A5198A"/>
    <w:rsid w:val="00A53EB2"/>
    <w:rsid w:val="00A54012"/>
    <w:rsid w:val="00A57F60"/>
    <w:rsid w:val="00A73495"/>
    <w:rsid w:val="00A75050"/>
    <w:rsid w:val="00A75D93"/>
    <w:rsid w:val="00A771F9"/>
    <w:rsid w:val="00A8279A"/>
    <w:rsid w:val="00A87B19"/>
    <w:rsid w:val="00A90FCA"/>
    <w:rsid w:val="00A914BD"/>
    <w:rsid w:val="00A9171C"/>
    <w:rsid w:val="00A932CE"/>
    <w:rsid w:val="00A9795C"/>
    <w:rsid w:val="00AA065A"/>
    <w:rsid w:val="00AA1993"/>
    <w:rsid w:val="00AA21EA"/>
    <w:rsid w:val="00AA2B24"/>
    <w:rsid w:val="00AA2B54"/>
    <w:rsid w:val="00AA2D1A"/>
    <w:rsid w:val="00AA2DEB"/>
    <w:rsid w:val="00AA49D0"/>
    <w:rsid w:val="00AB2413"/>
    <w:rsid w:val="00AB76A3"/>
    <w:rsid w:val="00AC2422"/>
    <w:rsid w:val="00AC245C"/>
    <w:rsid w:val="00AC56F6"/>
    <w:rsid w:val="00AC6EAC"/>
    <w:rsid w:val="00AC6EF1"/>
    <w:rsid w:val="00AD066A"/>
    <w:rsid w:val="00AD2E4D"/>
    <w:rsid w:val="00AD4195"/>
    <w:rsid w:val="00AD4B82"/>
    <w:rsid w:val="00AE08A4"/>
    <w:rsid w:val="00AE1D12"/>
    <w:rsid w:val="00AE4378"/>
    <w:rsid w:val="00AE5ED7"/>
    <w:rsid w:val="00AE5FA5"/>
    <w:rsid w:val="00AE6C2C"/>
    <w:rsid w:val="00AF165D"/>
    <w:rsid w:val="00AF3A15"/>
    <w:rsid w:val="00AF3CCC"/>
    <w:rsid w:val="00AF5E39"/>
    <w:rsid w:val="00B00D5B"/>
    <w:rsid w:val="00B02316"/>
    <w:rsid w:val="00B033A1"/>
    <w:rsid w:val="00B039EE"/>
    <w:rsid w:val="00B03DB4"/>
    <w:rsid w:val="00B04DEB"/>
    <w:rsid w:val="00B062C2"/>
    <w:rsid w:val="00B06553"/>
    <w:rsid w:val="00B15966"/>
    <w:rsid w:val="00B17AF2"/>
    <w:rsid w:val="00B207EE"/>
    <w:rsid w:val="00B23476"/>
    <w:rsid w:val="00B23F49"/>
    <w:rsid w:val="00B2664F"/>
    <w:rsid w:val="00B27D1B"/>
    <w:rsid w:val="00B32536"/>
    <w:rsid w:val="00B32AAB"/>
    <w:rsid w:val="00B3379A"/>
    <w:rsid w:val="00B33B39"/>
    <w:rsid w:val="00B33D4B"/>
    <w:rsid w:val="00B345AC"/>
    <w:rsid w:val="00B35253"/>
    <w:rsid w:val="00B416B6"/>
    <w:rsid w:val="00B42240"/>
    <w:rsid w:val="00B4619D"/>
    <w:rsid w:val="00B520BB"/>
    <w:rsid w:val="00B56DCB"/>
    <w:rsid w:val="00B61824"/>
    <w:rsid w:val="00B6192E"/>
    <w:rsid w:val="00B646D1"/>
    <w:rsid w:val="00B65869"/>
    <w:rsid w:val="00B70253"/>
    <w:rsid w:val="00B709F5"/>
    <w:rsid w:val="00B712AC"/>
    <w:rsid w:val="00B71EDA"/>
    <w:rsid w:val="00B73461"/>
    <w:rsid w:val="00B774AE"/>
    <w:rsid w:val="00B8188D"/>
    <w:rsid w:val="00B8246B"/>
    <w:rsid w:val="00B87BA2"/>
    <w:rsid w:val="00B90BD0"/>
    <w:rsid w:val="00B913F5"/>
    <w:rsid w:val="00B91E37"/>
    <w:rsid w:val="00B922DC"/>
    <w:rsid w:val="00B9336F"/>
    <w:rsid w:val="00B933BD"/>
    <w:rsid w:val="00B93849"/>
    <w:rsid w:val="00B94838"/>
    <w:rsid w:val="00B9788E"/>
    <w:rsid w:val="00BA1560"/>
    <w:rsid w:val="00BA4322"/>
    <w:rsid w:val="00BA703E"/>
    <w:rsid w:val="00BB242C"/>
    <w:rsid w:val="00BB4D9A"/>
    <w:rsid w:val="00BC1A23"/>
    <w:rsid w:val="00BC212C"/>
    <w:rsid w:val="00BC49B2"/>
    <w:rsid w:val="00BD24BB"/>
    <w:rsid w:val="00BD29B4"/>
    <w:rsid w:val="00BD3D84"/>
    <w:rsid w:val="00BD623C"/>
    <w:rsid w:val="00BD718B"/>
    <w:rsid w:val="00BE0CD4"/>
    <w:rsid w:val="00BE18EE"/>
    <w:rsid w:val="00BE2373"/>
    <w:rsid w:val="00BE2F3F"/>
    <w:rsid w:val="00BE43DD"/>
    <w:rsid w:val="00BE4FF6"/>
    <w:rsid w:val="00BE5DF3"/>
    <w:rsid w:val="00BE5FFD"/>
    <w:rsid w:val="00BE7511"/>
    <w:rsid w:val="00BE7874"/>
    <w:rsid w:val="00BE78D4"/>
    <w:rsid w:val="00BE7FB9"/>
    <w:rsid w:val="00BF2049"/>
    <w:rsid w:val="00BF31EB"/>
    <w:rsid w:val="00BF35B5"/>
    <w:rsid w:val="00BF3DA5"/>
    <w:rsid w:val="00BF3EA0"/>
    <w:rsid w:val="00BF496B"/>
    <w:rsid w:val="00BF50AB"/>
    <w:rsid w:val="00C03458"/>
    <w:rsid w:val="00C03806"/>
    <w:rsid w:val="00C059A2"/>
    <w:rsid w:val="00C12852"/>
    <w:rsid w:val="00C1504E"/>
    <w:rsid w:val="00C21ED7"/>
    <w:rsid w:val="00C22C3A"/>
    <w:rsid w:val="00C22DBF"/>
    <w:rsid w:val="00C2352E"/>
    <w:rsid w:val="00C24454"/>
    <w:rsid w:val="00C2670E"/>
    <w:rsid w:val="00C274F7"/>
    <w:rsid w:val="00C27ABF"/>
    <w:rsid w:val="00C30E5C"/>
    <w:rsid w:val="00C30FBD"/>
    <w:rsid w:val="00C33AF0"/>
    <w:rsid w:val="00C35EBB"/>
    <w:rsid w:val="00C407B3"/>
    <w:rsid w:val="00C40D57"/>
    <w:rsid w:val="00C44834"/>
    <w:rsid w:val="00C44E89"/>
    <w:rsid w:val="00C56915"/>
    <w:rsid w:val="00C56A81"/>
    <w:rsid w:val="00C609C6"/>
    <w:rsid w:val="00C60B89"/>
    <w:rsid w:val="00C61491"/>
    <w:rsid w:val="00C62AFC"/>
    <w:rsid w:val="00C6504D"/>
    <w:rsid w:val="00C67446"/>
    <w:rsid w:val="00C700A0"/>
    <w:rsid w:val="00C70332"/>
    <w:rsid w:val="00C71E52"/>
    <w:rsid w:val="00C73953"/>
    <w:rsid w:val="00C76419"/>
    <w:rsid w:val="00C80707"/>
    <w:rsid w:val="00C825BE"/>
    <w:rsid w:val="00C8283B"/>
    <w:rsid w:val="00C85A57"/>
    <w:rsid w:val="00C8601E"/>
    <w:rsid w:val="00C90CB8"/>
    <w:rsid w:val="00CA00C1"/>
    <w:rsid w:val="00CA1DDA"/>
    <w:rsid w:val="00CA51D5"/>
    <w:rsid w:val="00CB2121"/>
    <w:rsid w:val="00CB590B"/>
    <w:rsid w:val="00CB631D"/>
    <w:rsid w:val="00CB7166"/>
    <w:rsid w:val="00CC1C0E"/>
    <w:rsid w:val="00CC4D08"/>
    <w:rsid w:val="00CC4F63"/>
    <w:rsid w:val="00CD0556"/>
    <w:rsid w:val="00CD1284"/>
    <w:rsid w:val="00CD2F49"/>
    <w:rsid w:val="00CD665A"/>
    <w:rsid w:val="00CE2BB1"/>
    <w:rsid w:val="00CE35C8"/>
    <w:rsid w:val="00CE41A6"/>
    <w:rsid w:val="00CE5706"/>
    <w:rsid w:val="00CE6EBE"/>
    <w:rsid w:val="00CF210C"/>
    <w:rsid w:val="00CF4500"/>
    <w:rsid w:val="00D0028D"/>
    <w:rsid w:val="00D0279A"/>
    <w:rsid w:val="00D03B7C"/>
    <w:rsid w:val="00D10D0B"/>
    <w:rsid w:val="00D113C0"/>
    <w:rsid w:val="00D11B14"/>
    <w:rsid w:val="00D14E5C"/>
    <w:rsid w:val="00D17281"/>
    <w:rsid w:val="00D17B68"/>
    <w:rsid w:val="00D202C5"/>
    <w:rsid w:val="00D25497"/>
    <w:rsid w:val="00D26350"/>
    <w:rsid w:val="00D3147E"/>
    <w:rsid w:val="00D324F0"/>
    <w:rsid w:val="00D42966"/>
    <w:rsid w:val="00D42F9E"/>
    <w:rsid w:val="00D44C63"/>
    <w:rsid w:val="00D47FC1"/>
    <w:rsid w:val="00D60116"/>
    <w:rsid w:val="00D639CC"/>
    <w:rsid w:val="00D701D6"/>
    <w:rsid w:val="00D72078"/>
    <w:rsid w:val="00D7335F"/>
    <w:rsid w:val="00D73490"/>
    <w:rsid w:val="00D743B6"/>
    <w:rsid w:val="00D765CF"/>
    <w:rsid w:val="00D76777"/>
    <w:rsid w:val="00D76786"/>
    <w:rsid w:val="00D80C75"/>
    <w:rsid w:val="00D818F3"/>
    <w:rsid w:val="00D863E0"/>
    <w:rsid w:val="00D86843"/>
    <w:rsid w:val="00D905BE"/>
    <w:rsid w:val="00D91394"/>
    <w:rsid w:val="00D923E9"/>
    <w:rsid w:val="00D92489"/>
    <w:rsid w:val="00D9301E"/>
    <w:rsid w:val="00D93BA4"/>
    <w:rsid w:val="00D94755"/>
    <w:rsid w:val="00D95CC3"/>
    <w:rsid w:val="00DA2A82"/>
    <w:rsid w:val="00DA334D"/>
    <w:rsid w:val="00DA3A76"/>
    <w:rsid w:val="00DA5923"/>
    <w:rsid w:val="00DA6398"/>
    <w:rsid w:val="00DB0CA5"/>
    <w:rsid w:val="00DB20F7"/>
    <w:rsid w:val="00DB6972"/>
    <w:rsid w:val="00DB73B5"/>
    <w:rsid w:val="00DC0E11"/>
    <w:rsid w:val="00DC2B7F"/>
    <w:rsid w:val="00DC5410"/>
    <w:rsid w:val="00DC6DC3"/>
    <w:rsid w:val="00DD0524"/>
    <w:rsid w:val="00DD26B9"/>
    <w:rsid w:val="00DD3E58"/>
    <w:rsid w:val="00DD40D3"/>
    <w:rsid w:val="00DD5003"/>
    <w:rsid w:val="00DD5B16"/>
    <w:rsid w:val="00DD5D0E"/>
    <w:rsid w:val="00DD6C1F"/>
    <w:rsid w:val="00DD6CC8"/>
    <w:rsid w:val="00DE0527"/>
    <w:rsid w:val="00DE2D30"/>
    <w:rsid w:val="00DE35A6"/>
    <w:rsid w:val="00DE3B65"/>
    <w:rsid w:val="00DE5301"/>
    <w:rsid w:val="00DE5C3D"/>
    <w:rsid w:val="00DE5C76"/>
    <w:rsid w:val="00DE7982"/>
    <w:rsid w:val="00DE7C96"/>
    <w:rsid w:val="00DF1085"/>
    <w:rsid w:val="00DF1698"/>
    <w:rsid w:val="00DF3FB5"/>
    <w:rsid w:val="00DF4196"/>
    <w:rsid w:val="00DF475D"/>
    <w:rsid w:val="00DF6203"/>
    <w:rsid w:val="00DF70DE"/>
    <w:rsid w:val="00DF7433"/>
    <w:rsid w:val="00E00F6F"/>
    <w:rsid w:val="00E02365"/>
    <w:rsid w:val="00E06201"/>
    <w:rsid w:val="00E066DF"/>
    <w:rsid w:val="00E07639"/>
    <w:rsid w:val="00E07D00"/>
    <w:rsid w:val="00E10157"/>
    <w:rsid w:val="00E10F50"/>
    <w:rsid w:val="00E1285D"/>
    <w:rsid w:val="00E13604"/>
    <w:rsid w:val="00E175F8"/>
    <w:rsid w:val="00E177B0"/>
    <w:rsid w:val="00E25E4A"/>
    <w:rsid w:val="00E26E88"/>
    <w:rsid w:val="00E30AAE"/>
    <w:rsid w:val="00E31DDD"/>
    <w:rsid w:val="00E325BF"/>
    <w:rsid w:val="00E32AC6"/>
    <w:rsid w:val="00E32C8A"/>
    <w:rsid w:val="00E360F6"/>
    <w:rsid w:val="00E379A3"/>
    <w:rsid w:val="00E403E9"/>
    <w:rsid w:val="00E4246C"/>
    <w:rsid w:val="00E42D13"/>
    <w:rsid w:val="00E4352E"/>
    <w:rsid w:val="00E4477E"/>
    <w:rsid w:val="00E44EEA"/>
    <w:rsid w:val="00E46C1C"/>
    <w:rsid w:val="00E46C22"/>
    <w:rsid w:val="00E47F75"/>
    <w:rsid w:val="00E51F06"/>
    <w:rsid w:val="00E52E2A"/>
    <w:rsid w:val="00E5462D"/>
    <w:rsid w:val="00E54B1C"/>
    <w:rsid w:val="00E55DDB"/>
    <w:rsid w:val="00E575B5"/>
    <w:rsid w:val="00E60337"/>
    <w:rsid w:val="00E61E28"/>
    <w:rsid w:val="00E659B8"/>
    <w:rsid w:val="00E67198"/>
    <w:rsid w:val="00E67A26"/>
    <w:rsid w:val="00E71170"/>
    <w:rsid w:val="00E74111"/>
    <w:rsid w:val="00E76A96"/>
    <w:rsid w:val="00E76BA7"/>
    <w:rsid w:val="00E77D43"/>
    <w:rsid w:val="00E82F88"/>
    <w:rsid w:val="00E87862"/>
    <w:rsid w:val="00E87CC6"/>
    <w:rsid w:val="00E87FC3"/>
    <w:rsid w:val="00E90EA5"/>
    <w:rsid w:val="00E90FF8"/>
    <w:rsid w:val="00E93FF1"/>
    <w:rsid w:val="00E94B3A"/>
    <w:rsid w:val="00E97617"/>
    <w:rsid w:val="00EA0FB0"/>
    <w:rsid w:val="00EA13F0"/>
    <w:rsid w:val="00EA33F6"/>
    <w:rsid w:val="00EA3533"/>
    <w:rsid w:val="00EA40A7"/>
    <w:rsid w:val="00EA4DCC"/>
    <w:rsid w:val="00EA4DD8"/>
    <w:rsid w:val="00EA7B84"/>
    <w:rsid w:val="00EB0DCA"/>
    <w:rsid w:val="00EB1673"/>
    <w:rsid w:val="00EB2075"/>
    <w:rsid w:val="00EB3C16"/>
    <w:rsid w:val="00EB7363"/>
    <w:rsid w:val="00EB770B"/>
    <w:rsid w:val="00EC0E5D"/>
    <w:rsid w:val="00EC1B7C"/>
    <w:rsid w:val="00EC3E4C"/>
    <w:rsid w:val="00EC3EA1"/>
    <w:rsid w:val="00EC3FD7"/>
    <w:rsid w:val="00EC42EF"/>
    <w:rsid w:val="00ED2516"/>
    <w:rsid w:val="00EE023D"/>
    <w:rsid w:val="00EE1A50"/>
    <w:rsid w:val="00EE1C2F"/>
    <w:rsid w:val="00EE25B6"/>
    <w:rsid w:val="00EE316D"/>
    <w:rsid w:val="00EE3171"/>
    <w:rsid w:val="00EE3D14"/>
    <w:rsid w:val="00EE4A61"/>
    <w:rsid w:val="00EE557D"/>
    <w:rsid w:val="00EE5881"/>
    <w:rsid w:val="00EE5D66"/>
    <w:rsid w:val="00EF075B"/>
    <w:rsid w:val="00EF3417"/>
    <w:rsid w:val="00EF4D41"/>
    <w:rsid w:val="00F0014B"/>
    <w:rsid w:val="00F010DA"/>
    <w:rsid w:val="00F02171"/>
    <w:rsid w:val="00F03A12"/>
    <w:rsid w:val="00F04234"/>
    <w:rsid w:val="00F052D7"/>
    <w:rsid w:val="00F05790"/>
    <w:rsid w:val="00F0659A"/>
    <w:rsid w:val="00F075FB"/>
    <w:rsid w:val="00F1046B"/>
    <w:rsid w:val="00F13D43"/>
    <w:rsid w:val="00F1514C"/>
    <w:rsid w:val="00F156BF"/>
    <w:rsid w:val="00F16F82"/>
    <w:rsid w:val="00F17E7A"/>
    <w:rsid w:val="00F20BD4"/>
    <w:rsid w:val="00F22B24"/>
    <w:rsid w:val="00F24133"/>
    <w:rsid w:val="00F24DAC"/>
    <w:rsid w:val="00F258F1"/>
    <w:rsid w:val="00F265BF"/>
    <w:rsid w:val="00F266B1"/>
    <w:rsid w:val="00F31EA9"/>
    <w:rsid w:val="00F327F0"/>
    <w:rsid w:val="00F34CE6"/>
    <w:rsid w:val="00F36ACF"/>
    <w:rsid w:val="00F37FB3"/>
    <w:rsid w:val="00F41D0D"/>
    <w:rsid w:val="00F44C95"/>
    <w:rsid w:val="00F54923"/>
    <w:rsid w:val="00F561ED"/>
    <w:rsid w:val="00F564BF"/>
    <w:rsid w:val="00F567F9"/>
    <w:rsid w:val="00F63B13"/>
    <w:rsid w:val="00F6424D"/>
    <w:rsid w:val="00F65BBF"/>
    <w:rsid w:val="00F70BA1"/>
    <w:rsid w:val="00F74034"/>
    <w:rsid w:val="00F756BA"/>
    <w:rsid w:val="00F80AA9"/>
    <w:rsid w:val="00F8208B"/>
    <w:rsid w:val="00F8269A"/>
    <w:rsid w:val="00F833E8"/>
    <w:rsid w:val="00F84D7C"/>
    <w:rsid w:val="00F860CF"/>
    <w:rsid w:val="00F862E9"/>
    <w:rsid w:val="00F87953"/>
    <w:rsid w:val="00F87C2C"/>
    <w:rsid w:val="00F92B5B"/>
    <w:rsid w:val="00F962D0"/>
    <w:rsid w:val="00FA04BA"/>
    <w:rsid w:val="00FA04C4"/>
    <w:rsid w:val="00FA3C22"/>
    <w:rsid w:val="00FA567A"/>
    <w:rsid w:val="00FB3138"/>
    <w:rsid w:val="00FB7724"/>
    <w:rsid w:val="00FC3A60"/>
    <w:rsid w:val="00FC4DB4"/>
    <w:rsid w:val="00FC6BCA"/>
    <w:rsid w:val="00FC7697"/>
    <w:rsid w:val="00FD103F"/>
    <w:rsid w:val="00FD3F81"/>
    <w:rsid w:val="00FD51B9"/>
    <w:rsid w:val="00FD5997"/>
    <w:rsid w:val="00FD6FE1"/>
    <w:rsid w:val="00FE0337"/>
    <w:rsid w:val="00FE1D13"/>
    <w:rsid w:val="00FE1F6A"/>
    <w:rsid w:val="00FE52D8"/>
    <w:rsid w:val="00FE6881"/>
    <w:rsid w:val="00FE6CF0"/>
    <w:rsid w:val="00FE715B"/>
    <w:rsid w:val="00FF1767"/>
    <w:rsid w:val="00FF1A82"/>
    <w:rsid w:val="00FF2965"/>
    <w:rsid w:val="00FF2F9B"/>
    <w:rsid w:val="00FF456F"/>
    <w:rsid w:val="00FF577F"/>
    <w:rsid w:val="00FF6503"/>
    <w:rsid w:val="016B2943"/>
    <w:rsid w:val="031879D2"/>
    <w:rsid w:val="03B37636"/>
    <w:rsid w:val="0515590D"/>
    <w:rsid w:val="065D264A"/>
    <w:rsid w:val="06866404"/>
    <w:rsid w:val="07321AC2"/>
    <w:rsid w:val="0A523D07"/>
    <w:rsid w:val="0A876E4C"/>
    <w:rsid w:val="0AC63641"/>
    <w:rsid w:val="0B9F483B"/>
    <w:rsid w:val="0DC5206E"/>
    <w:rsid w:val="0E46633A"/>
    <w:rsid w:val="0E69047E"/>
    <w:rsid w:val="0FEE6659"/>
    <w:rsid w:val="106126DE"/>
    <w:rsid w:val="116E0626"/>
    <w:rsid w:val="11F2013B"/>
    <w:rsid w:val="12E53474"/>
    <w:rsid w:val="1438553B"/>
    <w:rsid w:val="147F1CE7"/>
    <w:rsid w:val="15744470"/>
    <w:rsid w:val="158D6093"/>
    <w:rsid w:val="17D4664A"/>
    <w:rsid w:val="18137F71"/>
    <w:rsid w:val="186C49E2"/>
    <w:rsid w:val="19887664"/>
    <w:rsid w:val="1AD55213"/>
    <w:rsid w:val="1AF20311"/>
    <w:rsid w:val="1BFC11BA"/>
    <w:rsid w:val="1D297885"/>
    <w:rsid w:val="1D444F59"/>
    <w:rsid w:val="1D9024F2"/>
    <w:rsid w:val="1DB16262"/>
    <w:rsid w:val="1E505C5E"/>
    <w:rsid w:val="1F125618"/>
    <w:rsid w:val="1F46151D"/>
    <w:rsid w:val="1F7E450E"/>
    <w:rsid w:val="1F817EB6"/>
    <w:rsid w:val="1F8719FC"/>
    <w:rsid w:val="1FB463CE"/>
    <w:rsid w:val="20CD59C3"/>
    <w:rsid w:val="20F776F9"/>
    <w:rsid w:val="21EB2C11"/>
    <w:rsid w:val="23CA274F"/>
    <w:rsid w:val="240F3CE2"/>
    <w:rsid w:val="243674C1"/>
    <w:rsid w:val="250E683D"/>
    <w:rsid w:val="2540454E"/>
    <w:rsid w:val="261E7515"/>
    <w:rsid w:val="27846DFD"/>
    <w:rsid w:val="27D7227E"/>
    <w:rsid w:val="29A44ECD"/>
    <w:rsid w:val="29D04765"/>
    <w:rsid w:val="2A1F5714"/>
    <w:rsid w:val="2A8B2B3E"/>
    <w:rsid w:val="2AE3634B"/>
    <w:rsid w:val="2AEC241E"/>
    <w:rsid w:val="2B06377F"/>
    <w:rsid w:val="2B147CB1"/>
    <w:rsid w:val="2B3D7387"/>
    <w:rsid w:val="2D4F3454"/>
    <w:rsid w:val="2D933EB8"/>
    <w:rsid w:val="2DA648C9"/>
    <w:rsid w:val="2F521871"/>
    <w:rsid w:val="2F6C3826"/>
    <w:rsid w:val="2F971030"/>
    <w:rsid w:val="2FB4690E"/>
    <w:rsid w:val="300F506A"/>
    <w:rsid w:val="302C28AB"/>
    <w:rsid w:val="30722F95"/>
    <w:rsid w:val="30FC0F41"/>
    <w:rsid w:val="31034860"/>
    <w:rsid w:val="312912D7"/>
    <w:rsid w:val="322A618B"/>
    <w:rsid w:val="330D357E"/>
    <w:rsid w:val="333948D8"/>
    <w:rsid w:val="33842B5C"/>
    <w:rsid w:val="34486755"/>
    <w:rsid w:val="36A810FC"/>
    <w:rsid w:val="3710238D"/>
    <w:rsid w:val="37384839"/>
    <w:rsid w:val="378E0F6A"/>
    <w:rsid w:val="37DC649C"/>
    <w:rsid w:val="380E2C65"/>
    <w:rsid w:val="38927FD0"/>
    <w:rsid w:val="3A1B49D8"/>
    <w:rsid w:val="3A726921"/>
    <w:rsid w:val="3B042658"/>
    <w:rsid w:val="3B091033"/>
    <w:rsid w:val="3B6356E3"/>
    <w:rsid w:val="3DFF2049"/>
    <w:rsid w:val="3E772758"/>
    <w:rsid w:val="3F6F3D2C"/>
    <w:rsid w:val="3FF27007"/>
    <w:rsid w:val="40007E0F"/>
    <w:rsid w:val="4085168F"/>
    <w:rsid w:val="41150DC3"/>
    <w:rsid w:val="4162149D"/>
    <w:rsid w:val="422B5D33"/>
    <w:rsid w:val="42362E0A"/>
    <w:rsid w:val="42446DF5"/>
    <w:rsid w:val="427A071E"/>
    <w:rsid w:val="42926086"/>
    <w:rsid w:val="42AB5B86"/>
    <w:rsid w:val="43230D4F"/>
    <w:rsid w:val="437B3018"/>
    <w:rsid w:val="43DF447E"/>
    <w:rsid w:val="447F742A"/>
    <w:rsid w:val="452847AC"/>
    <w:rsid w:val="453633F7"/>
    <w:rsid w:val="45AC718B"/>
    <w:rsid w:val="45E342F9"/>
    <w:rsid w:val="462F3900"/>
    <w:rsid w:val="465515D1"/>
    <w:rsid w:val="469A3487"/>
    <w:rsid w:val="469F0A9E"/>
    <w:rsid w:val="472846A3"/>
    <w:rsid w:val="47511FEB"/>
    <w:rsid w:val="47515C79"/>
    <w:rsid w:val="4A616050"/>
    <w:rsid w:val="4A7F4E6E"/>
    <w:rsid w:val="4BA06682"/>
    <w:rsid w:val="4DA32386"/>
    <w:rsid w:val="4E355370"/>
    <w:rsid w:val="4EE23C1E"/>
    <w:rsid w:val="4F254D9C"/>
    <w:rsid w:val="4F346E9F"/>
    <w:rsid w:val="4F8A1DD6"/>
    <w:rsid w:val="504767A8"/>
    <w:rsid w:val="51465A14"/>
    <w:rsid w:val="515511DE"/>
    <w:rsid w:val="544D708E"/>
    <w:rsid w:val="54B371F0"/>
    <w:rsid w:val="55906A09"/>
    <w:rsid w:val="564E7DEA"/>
    <w:rsid w:val="571D63ED"/>
    <w:rsid w:val="57CC7C7A"/>
    <w:rsid w:val="57EE6E6D"/>
    <w:rsid w:val="58963F3F"/>
    <w:rsid w:val="58A81ACA"/>
    <w:rsid w:val="590F4EFE"/>
    <w:rsid w:val="59186C94"/>
    <w:rsid w:val="5B3D472F"/>
    <w:rsid w:val="5BB631AD"/>
    <w:rsid w:val="5C4C7679"/>
    <w:rsid w:val="5D617D33"/>
    <w:rsid w:val="5E5D3E4E"/>
    <w:rsid w:val="5F450C7B"/>
    <w:rsid w:val="5F587CED"/>
    <w:rsid w:val="5FF72C1C"/>
    <w:rsid w:val="61217544"/>
    <w:rsid w:val="61264356"/>
    <w:rsid w:val="61484084"/>
    <w:rsid w:val="63431CC1"/>
    <w:rsid w:val="65CB4FB3"/>
    <w:rsid w:val="661D1218"/>
    <w:rsid w:val="67C359C3"/>
    <w:rsid w:val="67D22629"/>
    <w:rsid w:val="67E54BF0"/>
    <w:rsid w:val="67F35BD2"/>
    <w:rsid w:val="689D743B"/>
    <w:rsid w:val="697022D3"/>
    <w:rsid w:val="6AF82489"/>
    <w:rsid w:val="6AFA6A65"/>
    <w:rsid w:val="6B080EB6"/>
    <w:rsid w:val="6B7C6988"/>
    <w:rsid w:val="6BA603C5"/>
    <w:rsid w:val="6BE11825"/>
    <w:rsid w:val="6C593A8D"/>
    <w:rsid w:val="6C5B3D08"/>
    <w:rsid w:val="6C5F6DE2"/>
    <w:rsid w:val="6E86047B"/>
    <w:rsid w:val="6E9C2B2B"/>
    <w:rsid w:val="6F7650B7"/>
    <w:rsid w:val="70EC04D5"/>
    <w:rsid w:val="714424B4"/>
    <w:rsid w:val="714672B4"/>
    <w:rsid w:val="71D60F68"/>
    <w:rsid w:val="72880220"/>
    <w:rsid w:val="72F54365"/>
    <w:rsid w:val="73A62BBC"/>
    <w:rsid w:val="745669EC"/>
    <w:rsid w:val="75C57CFD"/>
    <w:rsid w:val="76701CB2"/>
    <w:rsid w:val="76BD26F7"/>
    <w:rsid w:val="77B337DE"/>
    <w:rsid w:val="784E717D"/>
    <w:rsid w:val="786E5C0A"/>
    <w:rsid w:val="79244EF1"/>
    <w:rsid w:val="79634105"/>
    <w:rsid w:val="7A1D0D98"/>
    <w:rsid w:val="7A507E75"/>
    <w:rsid w:val="7AF65B4C"/>
    <w:rsid w:val="7B1B6576"/>
    <w:rsid w:val="7B577410"/>
    <w:rsid w:val="7B8B6D83"/>
    <w:rsid w:val="7C1C71D5"/>
    <w:rsid w:val="7C217970"/>
    <w:rsid w:val="7D1660A5"/>
    <w:rsid w:val="7DF84A30"/>
    <w:rsid w:val="7E7B3A58"/>
    <w:rsid w:val="7F762711"/>
    <w:rsid w:val="7FCA3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0" w:semiHidden="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nhideWhenUsed="0" w:uiPriority="0" w:semiHidden="0"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name="Body Text Indent 2"/>
    <w:lsdException w:qFormat="1" w:uiPriority="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7"/>
    <w:qFormat/>
    <w:uiPriority w:val="9"/>
    <w:pPr>
      <w:keepNext/>
      <w:keepLines/>
      <w:numPr>
        <w:ilvl w:val="0"/>
        <w:numId w:val="1"/>
      </w:numPr>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58"/>
    <w:qFormat/>
    <w:uiPriority w:val="0"/>
    <w:pPr>
      <w:keepNext/>
      <w:keepLines/>
      <w:numPr>
        <w:ilvl w:val="1"/>
        <w:numId w:val="1"/>
      </w:numPr>
      <w:tabs>
        <w:tab w:val="left" w:pos="1247"/>
      </w:tab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59"/>
    <w:qFormat/>
    <w:uiPriority w:val="9"/>
    <w:pPr>
      <w:keepNext/>
      <w:keepLines/>
      <w:numPr>
        <w:ilvl w:val="2"/>
        <w:numId w:val="1"/>
      </w:numPr>
      <w:tabs>
        <w:tab w:val="left" w:pos="1247"/>
      </w:tab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60"/>
    <w:qFormat/>
    <w:uiPriority w:val="9"/>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61"/>
    <w:qFormat/>
    <w:uiPriority w:val="9"/>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62"/>
    <w:qFormat/>
    <w:uiPriority w:val="9"/>
    <w:pPr>
      <w:keepNext/>
      <w:keepLines/>
      <w:widowControl/>
      <w:spacing w:before="200" w:line="276" w:lineRule="auto"/>
      <w:jc w:val="left"/>
      <w:outlineLvl w:val="5"/>
    </w:pPr>
    <w:rPr>
      <w:rFonts w:ascii="Cambria" w:hAnsi="Cambria" w:eastAsia="Times New Roman" w:cs="Times New Roman"/>
      <w:i/>
      <w:iCs/>
      <w:color w:val="243F60"/>
      <w:kern w:val="0"/>
      <w:sz w:val="20"/>
      <w:lang w:eastAsia="en-US" w:bidi="en-US"/>
    </w:rPr>
  </w:style>
  <w:style w:type="paragraph" w:styleId="8">
    <w:name w:val="heading 7"/>
    <w:basedOn w:val="1"/>
    <w:next w:val="1"/>
    <w:link w:val="63"/>
    <w:qFormat/>
    <w:uiPriority w:val="9"/>
    <w:pPr>
      <w:keepNext/>
      <w:keepLines/>
      <w:widowControl/>
      <w:spacing w:before="200" w:line="276" w:lineRule="auto"/>
      <w:jc w:val="left"/>
      <w:outlineLvl w:val="6"/>
    </w:pPr>
    <w:rPr>
      <w:rFonts w:ascii="Cambria" w:hAnsi="Cambria" w:eastAsia="Times New Roman" w:cs="Times New Roman"/>
      <w:i/>
      <w:iCs/>
      <w:color w:val="404040"/>
      <w:kern w:val="0"/>
      <w:sz w:val="20"/>
      <w:lang w:eastAsia="en-US" w:bidi="en-US"/>
    </w:rPr>
  </w:style>
  <w:style w:type="paragraph" w:styleId="9">
    <w:name w:val="heading 8"/>
    <w:basedOn w:val="1"/>
    <w:next w:val="1"/>
    <w:link w:val="64"/>
    <w:qFormat/>
    <w:uiPriority w:val="9"/>
    <w:pPr>
      <w:keepNext/>
      <w:keepLines/>
      <w:widowControl/>
      <w:spacing w:before="200" w:line="276" w:lineRule="auto"/>
      <w:jc w:val="left"/>
      <w:outlineLvl w:val="7"/>
    </w:pPr>
    <w:rPr>
      <w:rFonts w:ascii="Times New Roman" w:hAnsi="Times New Roman" w:eastAsia="华文楷体" w:cs="Times New Roman"/>
      <w:color w:val="4F81BD"/>
      <w:kern w:val="0"/>
      <w:sz w:val="20"/>
      <w:szCs w:val="20"/>
      <w:lang w:eastAsia="en-US" w:bidi="en-US"/>
    </w:rPr>
  </w:style>
  <w:style w:type="paragraph" w:styleId="10">
    <w:name w:val="heading 9"/>
    <w:basedOn w:val="1"/>
    <w:next w:val="1"/>
    <w:link w:val="65"/>
    <w:qFormat/>
    <w:uiPriority w:val="9"/>
    <w:pPr>
      <w:keepNext/>
      <w:keepLines/>
      <w:widowControl/>
      <w:spacing w:before="200" w:line="276" w:lineRule="auto"/>
      <w:jc w:val="left"/>
      <w:outlineLvl w:val="8"/>
    </w:pPr>
    <w:rPr>
      <w:rFonts w:ascii="Cambria" w:hAnsi="Cambria" w:eastAsia="Times New Roman" w:cs="Times New Roman"/>
      <w:i/>
      <w:iCs/>
      <w:color w:val="404040"/>
      <w:kern w:val="0"/>
      <w:sz w:val="20"/>
      <w:szCs w:val="20"/>
      <w:lang w:eastAsia="en-US" w:bidi="en-US"/>
    </w:rPr>
  </w:style>
  <w:style w:type="character" w:default="1" w:styleId="41">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Calibri" w:hAnsi="Calibri" w:eastAsia="宋体" w:cs="Times New Roman"/>
    </w:rPr>
  </w:style>
  <w:style w:type="paragraph" w:styleId="12">
    <w:name w:val="caption"/>
    <w:basedOn w:val="1"/>
    <w:next w:val="1"/>
    <w:unhideWhenUsed/>
    <w:qFormat/>
    <w:uiPriority w:val="35"/>
    <w:rPr>
      <w:rFonts w:ascii="Cambria" w:hAnsi="Cambria" w:eastAsia="黑体" w:cs="Times New Roman"/>
      <w:sz w:val="20"/>
      <w:szCs w:val="20"/>
    </w:rPr>
  </w:style>
  <w:style w:type="paragraph" w:styleId="13">
    <w:name w:val="Document Map"/>
    <w:basedOn w:val="1"/>
    <w:link w:val="68"/>
    <w:qFormat/>
    <w:uiPriority w:val="99"/>
    <w:pPr>
      <w:shd w:val="clear" w:color="auto" w:fill="000080"/>
    </w:pPr>
    <w:rPr>
      <w:rFonts w:ascii="Times New Roman" w:hAnsi="Times New Roman" w:eastAsia="宋体" w:cs="Times New Roman"/>
      <w:szCs w:val="24"/>
    </w:rPr>
  </w:style>
  <w:style w:type="paragraph" w:styleId="14">
    <w:name w:val="annotation text"/>
    <w:basedOn w:val="1"/>
    <w:link w:val="66"/>
    <w:semiHidden/>
    <w:unhideWhenUsed/>
    <w:qFormat/>
    <w:uiPriority w:val="0"/>
    <w:pPr>
      <w:jc w:val="left"/>
    </w:pPr>
  </w:style>
  <w:style w:type="paragraph" w:styleId="15">
    <w:name w:val="Body Text"/>
    <w:basedOn w:val="1"/>
    <w:link w:val="69"/>
    <w:qFormat/>
    <w:uiPriority w:val="0"/>
    <w:pPr>
      <w:spacing w:after="120" w:line="360" w:lineRule="auto"/>
    </w:pPr>
    <w:rPr>
      <w:rFonts w:ascii="Tahoma" w:hAnsi="Tahoma" w:eastAsia="微软雅黑" w:cs="Times New Roman"/>
      <w:szCs w:val="24"/>
    </w:rPr>
  </w:style>
  <w:style w:type="paragraph" w:styleId="16">
    <w:name w:val="toc 5"/>
    <w:basedOn w:val="1"/>
    <w:next w:val="1"/>
    <w:unhideWhenUsed/>
    <w:qFormat/>
    <w:uiPriority w:val="39"/>
    <w:pPr>
      <w:ind w:left="1680" w:leftChars="800"/>
    </w:pPr>
    <w:rPr>
      <w:rFonts w:ascii="Calibri" w:hAnsi="Calibri" w:eastAsia="宋体" w:cs="Times New Roman"/>
    </w:rPr>
  </w:style>
  <w:style w:type="paragraph" w:styleId="17">
    <w:name w:val="toc 3"/>
    <w:basedOn w:val="1"/>
    <w:next w:val="1"/>
    <w:qFormat/>
    <w:uiPriority w:val="39"/>
    <w:pPr>
      <w:tabs>
        <w:tab w:val="left" w:pos="1680"/>
        <w:tab w:val="right" w:leader="dot" w:pos="8296"/>
      </w:tabs>
      <w:spacing w:line="360" w:lineRule="auto"/>
      <w:ind w:left="840" w:leftChars="400"/>
    </w:pPr>
    <w:rPr>
      <w:rFonts w:ascii="仿宋_GB2312" w:hAnsi="Times New Roman" w:eastAsia="仿宋_GB2312" w:cs="Times New Roman"/>
      <w:sz w:val="24"/>
      <w:szCs w:val="24"/>
    </w:rPr>
  </w:style>
  <w:style w:type="paragraph" w:styleId="18">
    <w:name w:val="toc 8"/>
    <w:basedOn w:val="1"/>
    <w:next w:val="1"/>
    <w:unhideWhenUsed/>
    <w:qFormat/>
    <w:uiPriority w:val="39"/>
    <w:pPr>
      <w:ind w:left="2940" w:leftChars="1400"/>
    </w:pPr>
    <w:rPr>
      <w:rFonts w:ascii="Calibri" w:hAnsi="Calibri" w:eastAsia="宋体" w:cs="Times New Roman"/>
    </w:rPr>
  </w:style>
  <w:style w:type="paragraph" w:styleId="19">
    <w:name w:val="Date"/>
    <w:basedOn w:val="1"/>
    <w:next w:val="1"/>
    <w:link w:val="56"/>
    <w:unhideWhenUsed/>
    <w:qFormat/>
    <w:uiPriority w:val="99"/>
    <w:pPr>
      <w:ind w:left="100" w:leftChars="2500"/>
    </w:pPr>
  </w:style>
  <w:style w:type="paragraph" w:styleId="20">
    <w:name w:val="Body Text Indent 2"/>
    <w:basedOn w:val="1"/>
    <w:link w:val="70"/>
    <w:semiHidden/>
    <w:unhideWhenUsed/>
    <w:qFormat/>
    <w:uiPriority w:val="0"/>
    <w:pPr>
      <w:spacing w:after="120" w:line="480" w:lineRule="auto"/>
      <w:ind w:left="420" w:leftChars="200"/>
    </w:pPr>
    <w:rPr>
      <w:rFonts w:ascii="Times New Roman" w:hAnsi="Times New Roman" w:eastAsia="宋体" w:cs="Times New Roman"/>
      <w:szCs w:val="24"/>
    </w:rPr>
  </w:style>
  <w:style w:type="paragraph" w:styleId="21">
    <w:name w:val="Balloon Text"/>
    <w:basedOn w:val="1"/>
    <w:link w:val="50"/>
    <w:unhideWhenUsed/>
    <w:qFormat/>
    <w:uiPriority w:val="99"/>
    <w:rPr>
      <w:sz w:val="18"/>
      <w:szCs w:val="18"/>
    </w:rPr>
  </w:style>
  <w:style w:type="paragraph" w:styleId="22">
    <w:name w:val="footer"/>
    <w:basedOn w:val="1"/>
    <w:link w:val="49"/>
    <w:unhideWhenUsed/>
    <w:qFormat/>
    <w:uiPriority w:val="99"/>
    <w:pPr>
      <w:tabs>
        <w:tab w:val="center" w:pos="4153"/>
        <w:tab w:val="right" w:pos="8306"/>
      </w:tabs>
      <w:snapToGrid w:val="0"/>
      <w:jc w:val="left"/>
    </w:pPr>
    <w:rPr>
      <w:sz w:val="18"/>
      <w:szCs w:val="18"/>
    </w:rPr>
  </w:style>
  <w:style w:type="paragraph" w:styleId="23">
    <w:name w:val="header"/>
    <w:basedOn w:val="1"/>
    <w:link w:val="48"/>
    <w:unhideWhenUsed/>
    <w:qFormat/>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right" w:leader="dot" w:pos="8296"/>
      </w:tabs>
    </w:pPr>
    <w:rPr>
      <w:rFonts w:ascii="仿宋_GB2312" w:hAnsi="Times New Roman" w:eastAsia="仿宋_GB2312" w:cs="Times New Roman"/>
      <w:b/>
      <w:sz w:val="24"/>
      <w:szCs w:val="24"/>
    </w:rPr>
  </w:style>
  <w:style w:type="paragraph" w:styleId="25">
    <w:name w:val="toc 4"/>
    <w:basedOn w:val="1"/>
    <w:next w:val="1"/>
    <w:qFormat/>
    <w:uiPriority w:val="39"/>
    <w:pPr>
      <w:ind w:left="1260" w:leftChars="600"/>
    </w:pPr>
    <w:rPr>
      <w:rFonts w:ascii="Times New Roman" w:hAnsi="Times New Roman" w:eastAsia="宋体" w:cs="Times New Roman"/>
      <w:szCs w:val="24"/>
    </w:rPr>
  </w:style>
  <w:style w:type="paragraph" w:styleId="26">
    <w:name w:val="Subtitle"/>
    <w:basedOn w:val="1"/>
    <w:next w:val="1"/>
    <w:link w:val="71"/>
    <w:qFormat/>
    <w:uiPriority w:val="11"/>
    <w:pPr>
      <w:widowControl/>
      <w:spacing w:line="276" w:lineRule="auto"/>
      <w:jc w:val="left"/>
    </w:pPr>
    <w:rPr>
      <w:rFonts w:ascii="Cambria" w:hAnsi="Cambria" w:eastAsia="Times New Roman" w:cs="Times New Roman"/>
      <w:i/>
      <w:iCs/>
      <w:color w:val="4F81BD"/>
      <w:spacing w:val="15"/>
      <w:kern w:val="0"/>
      <w:sz w:val="24"/>
      <w:szCs w:val="24"/>
      <w:lang w:eastAsia="en-US" w:bidi="en-US"/>
    </w:rPr>
  </w:style>
  <w:style w:type="paragraph" w:styleId="27">
    <w:name w:val="toc 6"/>
    <w:basedOn w:val="1"/>
    <w:next w:val="1"/>
    <w:unhideWhenUsed/>
    <w:qFormat/>
    <w:uiPriority w:val="39"/>
    <w:pPr>
      <w:ind w:left="2100" w:leftChars="1000"/>
    </w:pPr>
    <w:rPr>
      <w:rFonts w:ascii="Calibri" w:hAnsi="Calibri" w:eastAsia="宋体" w:cs="Times New Roman"/>
    </w:rPr>
  </w:style>
  <w:style w:type="paragraph" w:styleId="28">
    <w:name w:val="Body Text Indent 3"/>
    <w:basedOn w:val="1"/>
    <w:link w:val="72"/>
    <w:semiHidden/>
    <w:unhideWhenUsed/>
    <w:qFormat/>
    <w:uiPriority w:val="0"/>
    <w:pPr>
      <w:spacing w:after="120"/>
      <w:ind w:left="420" w:leftChars="200"/>
    </w:pPr>
    <w:rPr>
      <w:rFonts w:ascii="Times New Roman" w:hAnsi="Times New Roman" w:eastAsia="宋体" w:cs="Times New Roman"/>
      <w:sz w:val="16"/>
      <w:szCs w:val="16"/>
    </w:rPr>
  </w:style>
  <w:style w:type="paragraph" w:styleId="29">
    <w:name w:val="table of figures"/>
    <w:basedOn w:val="1"/>
    <w:next w:val="1"/>
    <w:unhideWhenUsed/>
    <w:qFormat/>
    <w:uiPriority w:val="0"/>
    <w:pPr>
      <w:ind w:left="200" w:leftChars="200" w:hanging="200" w:hangingChars="200"/>
    </w:pPr>
    <w:rPr>
      <w:rFonts w:ascii="Calibri" w:hAnsi="Calibri" w:eastAsia="宋体" w:cs="Times New Roman"/>
    </w:rPr>
  </w:style>
  <w:style w:type="paragraph" w:styleId="30">
    <w:name w:val="toc 2"/>
    <w:basedOn w:val="1"/>
    <w:next w:val="1"/>
    <w:qFormat/>
    <w:uiPriority w:val="39"/>
    <w:pPr>
      <w:tabs>
        <w:tab w:val="left" w:pos="1260"/>
        <w:tab w:val="right" w:leader="dot" w:pos="8296"/>
      </w:tabs>
      <w:spacing w:line="360" w:lineRule="auto"/>
      <w:ind w:left="420" w:leftChars="200"/>
    </w:pPr>
    <w:rPr>
      <w:rFonts w:ascii="仿宋_GB2312" w:hAnsi="Times New Roman" w:eastAsia="仿宋_GB2312" w:cs="Times New Roman"/>
      <w:b/>
      <w:sz w:val="24"/>
      <w:szCs w:val="24"/>
    </w:rPr>
  </w:style>
  <w:style w:type="paragraph" w:styleId="31">
    <w:name w:val="toc 9"/>
    <w:basedOn w:val="1"/>
    <w:next w:val="1"/>
    <w:unhideWhenUsed/>
    <w:qFormat/>
    <w:uiPriority w:val="39"/>
    <w:pPr>
      <w:ind w:left="3360" w:leftChars="1600"/>
    </w:pPr>
    <w:rPr>
      <w:rFonts w:ascii="Calibri" w:hAnsi="Calibri" w:eastAsia="宋体" w:cs="Times New Roman"/>
    </w:rPr>
  </w:style>
  <w:style w:type="paragraph" w:styleId="32">
    <w:name w:val="Message Header"/>
    <w:basedOn w:val="15"/>
    <w:link w:val="73"/>
    <w:qFormat/>
    <w:uiPriority w:val="0"/>
    <w:pPr>
      <w:keepLines/>
      <w:widowControl/>
      <w:spacing w:line="180" w:lineRule="atLeast"/>
      <w:ind w:left="1555" w:right="835" w:hanging="720"/>
      <w:jc w:val="left"/>
    </w:pPr>
    <w:rPr>
      <w:rFonts w:ascii="Arial" w:hAnsi="Arial" w:eastAsia="华文楷体"/>
      <w:spacing w:val="-5"/>
      <w:kern w:val="0"/>
      <w:sz w:val="20"/>
      <w:szCs w:val="20"/>
      <w:lang w:eastAsia="en-US" w:bidi="en-US"/>
    </w:rPr>
  </w:style>
  <w:style w:type="paragraph" w:styleId="3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34">
    <w:name w:val="index 1"/>
    <w:basedOn w:val="1"/>
    <w:next w:val="1"/>
    <w:qFormat/>
    <w:uiPriority w:val="0"/>
    <w:rPr>
      <w:rFonts w:ascii="Times New Roman" w:hAnsi="Times New Roman" w:eastAsia="宋体" w:cs="Times New Roman"/>
      <w:szCs w:val="24"/>
    </w:rPr>
  </w:style>
  <w:style w:type="paragraph" w:styleId="35">
    <w:name w:val="Title"/>
    <w:basedOn w:val="2"/>
    <w:next w:val="1"/>
    <w:link w:val="74"/>
    <w:qFormat/>
    <w:uiPriority w:val="10"/>
    <w:pPr>
      <w:numPr>
        <w:numId w:val="0"/>
      </w:numPr>
      <w:spacing w:before="240" w:after="0"/>
    </w:pPr>
    <w:rPr>
      <w:rFonts w:ascii="华文中宋" w:hAnsi="华文中宋" w:eastAsia="华文中宋"/>
      <w:sz w:val="30"/>
      <w:szCs w:val="30"/>
    </w:rPr>
  </w:style>
  <w:style w:type="paragraph" w:styleId="36">
    <w:name w:val="annotation subject"/>
    <w:basedOn w:val="14"/>
    <w:next w:val="14"/>
    <w:link w:val="67"/>
    <w:semiHidden/>
    <w:qFormat/>
    <w:uiPriority w:val="0"/>
    <w:rPr>
      <w:rFonts w:ascii="Times New Roman" w:hAnsi="Times New Roman" w:eastAsia="宋体" w:cs="Times New Roman"/>
      <w:b/>
      <w:bCs/>
      <w:szCs w:val="24"/>
    </w:rPr>
  </w:style>
  <w:style w:type="table" w:styleId="38">
    <w:name w:val="Table Grid"/>
    <w:basedOn w:val="3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List"/>
    <w:basedOn w:val="37"/>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0">
    <w:name w:val="Light List Accent 3"/>
    <w:basedOn w:val="37"/>
    <w:qFormat/>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character" w:styleId="42">
    <w:name w:val="Strong"/>
    <w:basedOn w:val="41"/>
    <w:qFormat/>
    <w:uiPriority w:val="0"/>
    <w:rPr>
      <w:b/>
      <w:bCs/>
    </w:rPr>
  </w:style>
  <w:style w:type="character" w:styleId="43">
    <w:name w:val="page number"/>
    <w:basedOn w:val="41"/>
    <w:qFormat/>
    <w:uiPriority w:val="0"/>
  </w:style>
  <w:style w:type="character" w:styleId="44">
    <w:name w:val="FollowedHyperlink"/>
    <w:basedOn w:val="41"/>
    <w:qFormat/>
    <w:uiPriority w:val="0"/>
    <w:rPr>
      <w:color w:val="800080"/>
      <w:u w:val="single"/>
    </w:rPr>
  </w:style>
  <w:style w:type="character" w:styleId="45">
    <w:name w:val="Emphasis"/>
    <w:basedOn w:val="41"/>
    <w:qFormat/>
    <w:uiPriority w:val="20"/>
    <w:rPr>
      <w:i/>
      <w:iCs/>
    </w:rPr>
  </w:style>
  <w:style w:type="character" w:styleId="46">
    <w:name w:val="Hyperlink"/>
    <w:basedOn w:val="41"/>
    <w:qFormat/>
    <w:uiPriority w:val="99"/>
    <w:rPr>
      <w:color w:val="0000FF"/>
      <w:u w:val="single"/>
    </w:rPr>
  </w:style>
  <w:style w:type="character" w:styleId="47">
    <w:name w:val="annotation reference"/>
    <w:basedOn w:val="41"/>
    <w:semiHidden/>
    <w:qFormat/>
    <w:uiPriority w:val="0"/>
    <w:rPr>
      <w:sz w:val="21"/>
      <w:szCs w:val="21"/>
    </w:rPr>
  </w:style>
  <w:style w:type="character" w:customStyle="1" w:styleId="48">
    <w:name w:val="页眉 字符"/>
    <w:basedOn w:val="41"/>
    <w:link w:val="23"/>
    <w:qFormat/>
    <w:uiPriority w:val="99"/>
    <w:rPr>
      <w:sz w:val="18"/>
      <w:szCs w:val="18"/>
    </w:rPr>
  </w:style>
  <w:style w:type="character" w:customStyle="1" w:styleId="49">
    <w:name w:val="页脚 字符"/>
    <w:basedOn w:val="41"/>
    <w:link w:val="22"/>
    <w:qFormat/>
    <w:uiPriority w:val="99"/>
    <w:rPr>
      <w:sz w:val="18"/>
      <w:szCs w:val="18"/>
    </w:rPr>
  </w:style>
  <w:style w:type="character" w:customStyle="1" w:styleId="50">
    <w:name w:val="批注框文本 字符"/>
    <w:basedOn w:val="41"/>
    <w:link w:val="21"/>
    <w:qFormat/>
    <w:uiPriority w:val="99"/>
    <w:rPr>
      <w:sz w:val="18"/>
      <w:szCs w:val="18"/>
    </w:rPr>
  </w:style>
  <w:style w:type="paragraph" w:customStyle="1" w:styleId="51">
    <w:name w:val="报告正文"/>
    <w:basedOn w:val="1"/>
    <w:link w:val="52"/>
    <w:qFormat/>
    <w:uiPriority w:val="0"/>
    <w:pPr>
      <w:spacing w:line="360" w:lineRule="auto"/>
      <w:ind w:firstLine="200" w:firstLineChars="200"/>
    </w:pPr>
    <w:rPr>
      <w:rFonts w:ascii="Times New Roman" w:hAnsi="Times New Roman" w:eastAsia="仿宋_GB2312" w:cs="Times New Roman"/>
      <w:sz w:val="28"/>
    </w:rPr>
  </w:style>
  <w:style w:type="character" w:customStyle="1" w:styleId="52">
    <w:name w:val="报告正文 Char"/>
    <w:basedOn w:val="41"/>
    <w:link w:val="51"/>
    <w:qFormat/>
    <w:uiPriority w:val="0"/>
    <w:rPr>
      <w:rFonts w:ascii="Times New Roman" w:hAnsi="Times New Roman" w:eastAsia="仿宋_GB2312" w:cs="Times New Roman"/>
      <w:sz w:val="28"/>
    </w:rPr>
  </w:style>
  <w:style w:type="paragraph" w:styleId="53">
    <w:name w:val="List Paragraph"/>
    <w:basedOn w:val="1"/>
    <w:qFormat/>
    <w:uiPriority w:val="34"/>
    <w:pPr>
      <w:ind w:firstLine="420" w:firstLineChars="200"/>
    </w:pPr>
  </w:style>
  <w:style w:type="paragraph" w:customStyle="1" w:styleId="54">
    <w:name w:val="图标题"/>
    <w:basedOn w:val="1"/>
    <w:next w:val="51"/>
    <w:link w:val="55"/>
    <w:qFormat/>
    <w:uiPriority w:val="0"/>
    <w:pPr>
      <w:spacing w:after="50" w:afterLines="50"/>
      <w:jc w:val="center"/>
    </w:pPr>
    <w:rPr>
      <w:rFonts w:ascii="Times New Roman" w:hAnsi="Times New Roman" w:eastAsia="仿宋_GB2312" w:cs="Times New Roman"/>
      <w:b/>
      <w:kern w:val="0"/>
      <w:sz w:val="24"/>
    </w:rPr>
  </w:style>
  <w:style w:type="character" w:customStyle="1" w:styleId="55">
    <w:name w:val="图标题 Char"/>
    <w:basedOn w:val="41"/>
    <w:link w:val="54"/>
    <w:qFormat/>
    <w:uiPriority w:val="0"/>
    <w:rPr>
      <w:rFonts w:ascii="Times New Roman" w:hAnsi="Times New Roman" w:eastAsia="仿宋_GB2312" w:cs="Times New Roman"/>
      <w:b/>
      <w:kern w:val="0"/>
      <w:sz w:val="24"/>
    </w:rPr>
  </w:style>
  <w:style w:type="character" w:customStyle="1" w:styleId="56">
    <w:name w:val="日期 字符"/>
    <w:basedOn w:val="41"/>
    <w:link w:val="19"/>
    <w:qFormat/>
    <w:uiPriority w:val="99"/>
  </w:style>
  <w:style w:type="character" w:customStyle="1" w:styleId="57">
    <w:name w:val="标题 1 字符"/>
    <w:basedOn w:val="41"/>
    <w:link w:val="2"/>
    <w:qFormat/>
    <w:uiPriority w:val="9"/>
    <w:rPr>
      <w:rFonts w:ascii="Times New Roman" w:hAnsi="Times New Roman" w:eastAsia="宋体" w:cs="Times New Roman"/>
      <w:b/>
      <w:bCs/>
      <w:kern w:val="44"/>
      <w:sz w:val="44"/>
      <w:szCs w:val="44"/>
    </w:rPr>
  </w:style>
  <w:style w:type="character" w:customStyle="1" w:styleId="58">
    <w:name w:val="标题 2 字符"/>
    <w:basedOn w:val="41"/>
    <w:link w:val="3"/>
    <w:qFormat/>
    <w:uiPriority w:val="0"/>
    <w:rPr>
      <w:rFonts w:ascii="Arial" w:hAnsi="Arial" w:eastAsia="黑体" w:cs="Times New Roman"/>
      <w:b/>
      <w:bCs/>
      <w:sz w:val="32"/>
      <w:szCs w:val="32"/>
    </w:rPr>
  </w:style>
  <w:style w:type="character" w:customStyle="1" w:styleId="59">
    <w:name w:val="标题 3 字符"/>
    <w:basedOn w:val="41"/>
    <w:link w:val="4"/>
    <w:qFormat/>
    <w:uiPriority w:val="9"/>
    <w:rPr>
      <w:rFonts w:ascii="Times New Roman" w:hAnsi="Times New Roman" w:eastAsia="宋体" w:cs="Times New Roman"/>
      <w:b/>
      <w:bCs/>
      <w:sz w:val="32"/>
      <w:szCs w:val="32"/>
    </w:rPr>
  </w:style>
  <w:style w:type="character" w:customStyle="1" w:styleId="60">
    <w:name w:val="标题 4 字符"/>
    <w:basedOn w:val="41"/>
    <w:link w:val="5"/>
    <w:qFormat/>
    <w:uiPriority w:val="9"/>
    <w:rPr>
      <w:rFonts w:ascii="Arial" w:hAnsi="Arial" w:eastAsia="黑体" w:cs="Times New Roman"/>
      <w:b/>
      <w:bCs/>
      <w:sz w:val="28"/>
      <w:szCs w:val="28"/>
    </w:rPr>
  </w:style>
  <w:style w:type="character" w:customStyle="1" w:styleId="61">
    <w:name w:val="标题 5 字符"/>
    <w:basedOn w:val="41"/>
    <w:link w:val="6"/>
    <w:qFormat/>
    <w:uiPriority w:val="9"/>
    <w:rPr>
      <w:rFonts w:ascii="Times New Roman" w:hAnsi="Times New Roman" w:eastAsia="宋体" w:cs="Times New Roman"/>
      <w:b/>
      <w:bCs/>
      <w:sz w:val="28"/>
      <w:szCs w:val="28"/>
    </w:rPr>
  </w:style>
  <w:style w:type="character" w:customStyle="1" w:styleId="62">
    <w:name w:val="标题 6 字符"/>
    <w:basedOn w:val="41"/>
    <w:link w:val="7"/>
    <w:qFormat/>
    <w:uiPriority w:val="9"/>
    <w:rPr>
      <w:rFonts w:ascii="Cambria" w:hAnsi="Cambria" w:eastAsia="Times New Roman" w:cs="Times New Roman"/>
      <w:i/>
      <w:iCs/>
      <w:color w:val="243F60"/>
      <w:kern w:val="0"/>
      <w:sz w:val="20"/>
      <w:lang w:eastAsia="en-US" w:bidi="en-US"/>
    </w:rPr>
  </w:style>
  <w:style w:type="character" w:customStyle="1" w:styleId="63">
    <w:name w:val="标题 7 字符"/>
    <w:basedOn w:val="41"/>
    <w:link w:val="8"/>
    <w:qFormat/>
    <w:uiPriority w:val="9"/>
    <w:rPr>
      <w:rFonts w:ascii="Cambria" w:hAnsi="Cambria" w:eastAsia="Times New Roman" w:cs="Times New Roman"/>
      <w:i/>
      <w:iCs/>
      <w:color w:val="404040"/>
      <w:kern w:val="0"/>
      <w:sz w:val="20"/>
      <w:lang w:eastAsia="en-US" w:bidi="en-US"/>
    </w:rPr>
  </w:style>
  <w:style w:type="character" w:customStyle="1" w:styleId="64">
    <w:name w:val="标题 8 字符"/>
    <w:basedOn w:val="41"/>
    <w:link w:val="9"/>
    <w:qFormat/>
    <w:uiPriority w:val="9"/>
    <w:rPr>
      <w:rFonts w:ascii="Times New Roman" w:hAnsi="Times New Roman" w:eastAsia="华文楷体" w:cs="Times New Roman"/>
      <w:color w:val="4F81BD"/>
      <w:kern w:val="0"/>
      <w:sz w:val="20"/>
      <w:szCs w:val="20"/>
      <w:lang w:eastAsia="en-US" w:bidi="en-US"/>
    </w:rPr>
  </w:style>
  <w:style w:type="character" w:customStyle="1" w:styleId="65">
    <w:name w:val="标题 9 字符"/>
    <w:basedOn w:val="41"/>
    <w:link w:val="10"/>
    <w:qFormat/>
    <w:uiPriority w:val="9"/>
    <w:rPr>
      <w:rFonts w:ascii="Cambria" w:hAnsi="Cambria" w:eastAsia="Times New Roman" w:cs="Times New Roman"/>
      <w:i/>
      <w:iCs/>
      <w:color w:val="404040"/>
      <w:kern w:val="0"/>
      <w:sz w:val="20"/>
      <w:szCs w:val="20"/>
      <w:lang w:eastAsia="en-US" w:bidi="en-US"/>
    </w:rPr>
  </w:style>
  <w:style w:type="character" w:customStyle="1" w:styleId="66">
    <w:name w:val="批注文字 字符"/>
    <w:basedOn w:val="41"/>
    <w:link w:val="14"/>
    <w:semiHidden/>
    <w:qFormat/>
    <w:uiPriority w:val="0"/>
  </w:style>
  <w:style w:type="character" w:customStyle="1" w:styleId="67">
    <w:name w:val="批注主题 字符"/>
    <w:basedOn w:val="66"/>
    <w:link w:val="36"/>
    <w:semiHidden/>
    <w:qFormat/>
    <w:uiPriority w:val="0"/>
    <w:rPr>
      <w:rFonts w:ascii="Times New Roman" w:hAnsi="Times New Roman" w:eastAsia="宋体" w:cs="Times New Roman"/>
      <w:b/>
      <w:bCs/>
      <w:szCs w:val="24"/>
    </w:rPr>
  </w:style>
  <w:style w:type="character" w:customStyle="1" w:styleId="68">
    <w:name w:val="文档结构图 字符"/>
    <w:basedOn w:val="41"/>
    <w:link w:val="13"/>
    <w:qFormat/>
    <w:uiPriority w:val="99"/>
    <w:rPr>
      <w:rFonts w:ascii="Times New Roman" w:hAnsi="Times New Roman" w:eastAsia="宋体" w:cs="Times New Roman"/>
      <w:szCs w:val="24"/>
      <w:shd w:val="clear" w:color="auto" w:fill="000080"/>
    </w:rPr>
  </w:style>
  <w:style w:type="character" w:customStyle="1" w:styleId="69">
    <w:name w:val="正文文本 字符"/>
    <w:basedOn w:val="41"/>
    <w:link w:val="15"/>
    <w:qFormat/>
    <w:uiPriority w:val="0"/>
    <w:rPr>
      <w:rFonts w:ascii="Tahoma" w:hAnsi="Tahoma" w:eastAsia="微软雅黑" w:cs="Times New Roman"/>
      <w:szCs w:val="24"/>
    </w:rPr>
  </w:style>
  <w:style w:type="character" w:customStyle="1" w:styleId="70">
    <w:name w:val="正文文本缩进 2 字符"/>
    <w:basedOn w:val="41"/>
    <w:link w:val="20"/>
    <w:semiHidden/>
    <w:qFormat/>
    <w:uiPriority w:val="0"/>
    <w:rPr>
      <w:rFonts w:ascii="Times New Roman" w:hAnsi="Times New Roman" w:eastAsia="宋体" w:cs="Times New Roman"/>
      <w:szCs w:val="24"/>
    </w:rPr>
  </w:style>
  <w:style w:type="character" w:customStyle="1" w:styleId="71">
    <w:name w:val="副标题 字符"/>
    <w:basedOn w:val="41"/>
    <w:link w:val="26"/>
    <w:qFormat/>
    <w:uiPriority w:val="11"/>
    <w:rPr>
      <w:rFonts w:ascii="Cambria" w:hAnsi="Cambria" w:eastAsia="Times New Roman" w:cs="Times New Roman"/>
      <w:i/>
      <w:iCs/>
      <w:color w:val="4F81BD"/>
      <w:spacing w:val="15"/>
      <w:kern w:val="0"/>
      <w:sz w:val="24"/>
      <w:szCs w:val="24"/>
      <w:lang w:eastAsia="en-US" w:bidi="en-US"/>
    </w:rPr>
  </w:style>
  <w:style w:type="character" w:customStyle="1" w:styleId="72">
    <w:name w:val="正文文本缩进 3 字符"/>
    <w:basedOn w:val="41"/>
    <w:link w:val="28"/>
    <w:semiHidden/>
    <w:qFormat/>
    <w:uiPriority w:val="0"/>
    <w:rPr>
      <w:rFonts w:ascii="Times New Roman" w:hAnsi="Times New Roman" w:eastAsia="宋体" w:cs="Times New Roman"/>
      <w:sz w:val="16"/>
      <w:szCs w:val="16"/>
    </w:rPr>
  </w:style>
  <w:style w:type="character" w:customStyle="1" w:styleId="73">
    <w:name w:val="信息标题 字符"/>
    <w:basedOn w:val="41"/>
    <w:link w:val="32"/>
    <w:qFormat/>
    <w:uiPriority w:val="0"/>
    <w:rPr>
      <w:rFonts w:ascii="Arial" w:hAnsi="Arial" w:eastAsia="华文楷体" w:cs="Times New Roman"/>
      <w:spacing w:val="-5"/>
      <w:kern w:val="0"/>
      <w:sz w:val="20"/>
      <w:szCs w:val="20"/>
      <w:lang w:eastAsia="en-US" w:bidi="en-US"/>
    </w:rPr>
  </w:style>
  <w:style w:type="character" w:customStyle="1" w:styleId="74">
    <w:name w:val="标题 字符"/>
    <w:basedOn w:val="41"/>
    <w:link w:val="35"/>
    <w:qFormat/>
    <w:uiPriority w:val="10"/>
    <w:rPr>
      <w:rFonts w:ascii="华文中宋" w:hAnsi="华文中宋" w:eastAsia="华文中宋" w:cs="Times New Roman"/>
      <w:b/>
      <w:bCs/>
      <w:kern w:val="44"/>
      <w:sz w:val="30"/>
      <w:szCs w:val="30"/>
    </w:rPr>
  </w:style>
  <w:style w:type="paragraph" w:customStyle="1" w:styleId="75">
    <w:name w:val="Char"/>
    <w:basedOn w:val="1"/>
    <w:qFormat/>
    <w:uiPriority w:val="0"/>
    <w:rPr>
      <w:rFonts w:ascii="Tahoma" w:hAnsi="Tahoma" w:eastAsia="宋体" w:cs="Times New Roman"/>
      <w:sz w:val="24"/>
      <w:szCs w:val="20"/>
    </w:rPr>
  </w:style>
  <w:style w:type="paragraph" w:customStyle="1" w:styleId="76">
    <w:name w:val="Char Char Char Char"/>
    <w:basedOn w:val="1"/>
    <w:qFormat/>
    <w:uiPriority w:val="0"/>
    <w:pPr>
      <w:spacing w:line="240" w:lineRule="atLeast"/>
      <w:ind w:left="420" w:firstLine="420"/>
    </w:pPr>
    <w:rPr>
      <w:rFonts w:ascii="Times New Roman" w:hAnsi="Times New Roman" w:eastAsia="宋体" w:cs="Times New Roman"/>
      <w:kern w:val="0"/>
      <w:szCs w:val="21"/>
    </w:rPr>
  </w:style>
  <w:style w:type="paragraph" w:customStyle="1" w:styleId="77">
    <w:name w:val="Char2"/>
    <w:basedOn w:val="1"/>
    <w:qFormat/>
    <w:uiPriority w:val="0"/>
    <w:rPr>
      <w:rFonts w:ascii="Times New Roman" w:hAnsi="Times New Roman" w:eastAsia="宋体" w:cs="Times New Roman"/>
      <w:szCs w:val="20"/>
    </w:rPr>
  </w:style>
  <w:style w:type="paragraph" w:customStyle="1" w:styleId="78">
    <w:name w:val="Char Char Char Char Char2 Char"/>
    <w:basedOn w:val="1"/>
    <w:qFormat/>
    <w:uiPriority w:val="0"/>
    <w:rPr>
      <w:rFonts w:ascii="Tahoma" w:hAnsi="Tahoma" w:eastAsia="宋体" w:cs="Times New Roman"/>
      <w:sz w:val="24"/>
      <w:szCs w:val="20"/>
    </w:rPr>
  </w:style>
  <w:style w:type="paragraph" w:customStyle="1" w:styleId="79">
    <w:name w:val="我的正文"/>
    <w:basedOn w:val="1"/>
    <w:link w:val="120"/>
    <w:qFormat/>
    <w:uiPriority w:val="0"/>
    <w:pPr>
      <w:spacing w:line="360" w:lineRule="auto"/>
      <w:ind w:firstLine="480" w:firstLineChars="200"/>
      <w:jc w:val="center"/>
    </w:pPr>
    <w:rPr>
      <w:rFonts w:ascii="Times New Roman" w:hAnsi="Times New Roman" w:eastAsia="宋体" w:cs="Times New Roman"/>
      <w:sz w:val="24"/>
      <w:szCs w:val="24"/>
    </w:rPr>
  </w:style>
  <w:style w:type="paragraph" w:customStyle="1" w:styleId="80">
    <w:name w:val="Char1 Char Char Char Char Char Char Char Char Char Char Char Char Char Char Char"/>
    <w:basedOn w:val="5"/>
    <w:qFormat/>
    <w:uiPriority w:val="0"/>
    <w:pPr>
      <w:tabs>
        <w:tab w:val="left" w:pos="992"/>
      </w:tabs>
      <w:spacing w:before="0" w:after="0" w:line="360" w:lineRule="auto"/>
      <w:ind w:left="992" w:hanging="992"/>
    </w:pPr>
    <w:rPr>
      <w:rFonts w:eastAsia="宋体"/>
      <w:sz w:val="24"/>
      <w:szCs w:val="36"/>
    </w:rPr>
  </w:style>
  <w:style w:type="paragraph" w:customStyle="1" w:styleId="81">
    <w:name w:val="列出段落1"/>
    <w:basedOn w:val="1"/>
    <w:link w:val="152"/>
    <w:qFormat/>
    <w:uiPriority w:val="0"/>
    <w:pPr>
      <w:ind w:firstLine="420" w:firstLineChars="200"/>
    </w:pPr>
    <w:rPr>
      <w:rFonts w:ascii="Times New Roman" w:hAnsi="Times New Roman" w:eastAsia="宋体" w:cs="Times New Roman"/>
      <w:szCs w:val="24"/>
    </w:rPr>
  </w:style>
  <w:style w:type="paragraph" w:customStyle="1" w:styleId="82">
    <w:name w:val="标准书脚_奇数页"/>
    <w:qFormat/>
    <w:uiPriority w:val="99"/>
    <w:pPr>
      <w:spacing w:before="120"/>
      <w:jc w:val="right"/>
    </w:pPr>
    <w:rPr>
      <w:rFonts w:ascii="Times New Roman" w:hAnsi="Times New Roman" w:eastAsia="宋体" w:cs="Calibri"/>
      <w:sz w:val="18"/>
      <w:lang w:val="en-US" w:eastAsia="zh-CN" w:bidi="ar-SA"/>
    </w:rPr>
  </w:style>
  <w:style w:type="paragraph" w:customStyle="1" w:styleId="83">
    <w:name w:val="前言、引言标题"/>
    <w:next w:val="1"/>
    <w:qFormat/>
    <w:uiPriority w:val="99"/>
    <w:pPr>
      <w:shd w:val="clear" w:color="FFFFFF" w:fill="FFFFFF"/>
      <w:spacing w:before="640" w:after="560"/>
      <w:jc w:val="center"/>
      <w:outlineLvl w:val="0"/>
    </w:pPr>
    <w:rPr>
      <w:rFonts w:ascii="黑体" w:hAnsi="Times New Roman" w:eastAsia="黑体" w:cs="Calibri"/>
      <w:sz w:val="32"/>
      <w:lang w:val="en-US" w:eastAsia="zh-CN" w:bidi="ar-SA"/>
    </w:rPr>
  </w:style>
  <w:style w:type="paragraph" w:customStyle="1" w:styleId="84">
    <w:name w:val="一级条标题"/>
    <w:next w:val="1"/>
    <w:link w:val="121"/>
    <w:qFormat/>
    <w:uiPriority w:val="0"/>
    <w:pPr>
      <w:outlineLvl w:val="2"/>
    </w:pPr>
    <w:rPr>
      <w:rFonts w:ascii="Times New Roman" w:hAnsi="Times New Roman" w:eastAsia="黑体" w:cs="Calibri"/>
      <w:sz w:val="21"/>
      <w:lang w:val="en-US" w:eastAsia="zh-CN" w:bidi="ar-SA"/>
    </w:rPr>
  </w:style>
  <w:style w:type="paragraph" w:customStyle="1" w:styleId="85">
    <w:name w:val="二级条标题"/>
    <w:basedOn w:val="84"/>
    <w:next w:val="1"/>
    <w:link w:val="122"/>
    <w:qFormat/>
    <w:uiPriority w:val="0"/>
    <w:pPr>
      <w:outlineLvl w:val="3"/>
    </w:pPr>
    <w:rPr>
      <w:rFonts w:cs="Times New Roman"/>
    </w:rPr>
  </w:style>
  <w:style w:type="paragraph" w:customStyle="1" w:styleId="86">
    <w:name w:val="*8. General Text"/>
    <w:basedOn w:val="1"/>
    <w:qFormat/>
    <w:uiPriority w:val="99"/>
    <w:pPr>
      <w:widowControl/>
      <w:overflowPunct w:val="0"/>
      <w:autoSpaceDE w:val="0"/>
      <w:autoSpaceDN w:val="0"/>
      <w:adjustRightInd w:val="0"/>
      <w:spacing w:after="120" w:line="280" w:lineRule="exact"/>
      <w:jc w:val="left"/>
      <w:textAlignment w:val="baseline"/>
    </w:pPr>
    <w:rPr>
      <w:rFonts w:ascii="Garamond" w:hAnsi="Garamond" w:eastAsia="宋体" w:cs="Garamond"/>
      <w:kern w:val="0"/>
      <w:szCs w:val="21"/>
      <w:lang w:eastAsia="en-US"/>
    </w:rPr>
  </w:style>
  <w:style w:type="paragraph" w:customStyle="1" w:styleId="87">
    <w:name w:val="国网标准正文"/>
    <w:basedOn w:val="1"/>
    <w:link w:val="124"/>
    <w:qFormat/>
    <w:uiPriority w:val="0"/>
    <w:pPr>
      <w:tabs>
        <w:tab w:val="left" w:pos="2700"/>
      </w:tabs>
      <w:overflowPunct w:val="0"/>
      <w:topLinePunct/>
      <w:snapToGrid w:val="0"/>
      <w:spacing w:line="312" w:lineRule="exact"/>
      <w:ind w:firstLine="420" w:firstLineChars="200"/>
    </w:pPr>
    <w:rPr>
      <w:rFonts w:ascii="宋体" w:hAnsi="宋体" w:eastAsia="宋体" w:cs="Times New Roman"/>
      <w:szCs w:val="28"/>
    </w:rPr>
  </w:style>
  <w:style w:type="paragraph" w:customStyle="1" w:styleId="88">
    <w:name w:val="zt"/>
    <w:basedOn w:val="1"/>
    <w:link w:val="125"/>
    <w:qFormat/>
    <w:uiPriority w:val="0"/>
    <w:pPr>
      <w:overflowPunct w:val="0"/>
      <w:topLinePunct/>
      <w:snapToGrid w:val="0"/>
      <w:spacing w:line="312" w:lineRule="exact"/>
    </w:pPr>
    <w:rPr>
      <w:rFonts w:ascii="EU-F1" w:hAnsi="Calibri" w:eastAsia="EU-F1" w:cs="Times New Roman"/>
      <w:bCs/>
      <w:szCs w:val="21"/>
    </w:rPr>
  </w:style>
  <w:style w:type="paragraph" w:customStyle="1" w:styleId="89">
    <w:name w:val="Char Char Char Char Char Char Char Char Char"/>
    <w:basedOn w:val="1"/>
    <w:qFormat/>
    <w:uiPriority w:val="0"/>
    <w:pPr>
      <w:widowControl/>
      <w:spacing w:after="160" w:line="240" w:lineRule="exact"/>
      <w:jc w:val="left"/>
    </w:pPr>
    <w:rPr>
      <w:rFonts w:ascii="Verdana" w:hAnsi="Verdana" w:eastAsia="仿宋_GB2312" w:cs="Times New Roman"/>
      <w:kern w:val="0"/>
      <w:sz w:val="24"/>
      <w:szCs w:val="20"/>
      <w:lang w:eastAsia="en-US"/>
    </w:rPr>
  </w:style>
  <w:style w:type="paragraph" w:customStyle="1" w:styleId="90">
    <w:name w:val="段"/>
    <w:link w:val="126"/>
    <w:qFormat/>
    <w:uiPriority w:val="0"/>
    <w:pPr>
      <w:autoSpaceDE w:val="0"/>
      <w:autoSpaceDN w:val="0"/>
      <w:ind w:firstLine="200" w:firstLineChars="200"/>
      <w:jc w:val="both"/>
    </w:pPr>
    <w:rPr>
      <w:rFonts w:ascii="宋体" w:hAnsi="Times New Roman" w:eastAsia="宋体" w:cs="Calibri"/>
      <w:kern w:val="2"/>
      <w:sz w:val="21"/>
      <w:szCs w:val="22"/>
      <w:lang w:val="en-US" w:eastAsia="zh-CN" w:bidi="ar-SA"/>
    </w:rPr>
  </w:style>
  <w:style w:type="paragraph" w:customStyle="1" w:styleId="91">
    <w:name w:val="表标题"/>
    <w:basedOn w:val="51"/>
    <w:link w:val="127"/>
    <w:qFormat/>
    <w:uiPriority w:val="0"/>
    <w:pPr>
      <w:spacing w:beforeLines="50"/>
      <w:ind w:firstLine="0" w:firstLineChars="0"/>
      <w:jc w:val="center"/>
    </w:pPr>
    <w:rPr>
      <w:rFonts w:eastAsia="宋体"/>
      <w:kern w:val="0"/>
      <w:sz w:val="20"/>
      <w:szCs w:val="20"/>
    </w:rPr>
  </w:style>
  <w:style w:type="paragraph" w:customStyle="1" w:styleId="92">
    <w:name w:val="表内容"/>
    <w:basedOn w:val="1"/>
    <w:link w:val="128"/>
    <w:qFormat/>
    <w:uiPriority w:val="0"/>
    <w:rPr>
      <w:rFonts w:ascii="仿宋_GB2312" w:hAnsi="华文中宋" w:eastAsia="仿宋_GB2312" w:cs="Times New Roman"/>
      <w:kern w:val="0"/>
      <w:sz w:val="20"/>
      <w:szCs w:val="24"/>
    </w:rPr>
  </w:style>
  <w:style w:type="paragraph" w:customStyle="1" w:styleId="93">
    <w:name w:val="Char Char Char Char Char Char Char"/>
    <w:basedOn w:val="1"/>
    <w:qFormat/>
    <w:uiPriority w:val="0"/>
    <w:pPr>
      <w:adjustRightInd w:val="0"/>
      <w:spacing w:line="360" w:lineRule="atLeast"/>
      <w:textAlignment w:val="baseline"/>
    </w:pPr>
    <w:rPr>
      <w:rFonts w:ascii="Times New Roman" w:hAnsi="Times New Roman" w:eastAsia="宋体" w:cs="Times New Roman"/>
      <w:szCs w:val="24"/>
    </w:rPr>
  </w:style>
  <w:style w:type="paragraph" w:customStyle="1" w:styleId="94">
    <w:name w:val="无间隔1"/>
    <w:link w:val="147"/>
    <w:qFormat/>
    <w:uiPriority w:val="1"/>
    <w:pPr>
      <w:widowControl w:val="0"/>
      <w:jc w:val="both"/>
    </w:pPr>
    <w:rPr>
      <w:rFonts w:ascii="Calibri" w:hAnsi="Calibri" w:eastAsia="宋体" w:cs="Times New Roman"/>
      <w:kern w:val="2"/>
      <w:sz w:val="21"/>
      <w:szCs w:val="22"/>
      <w:lang w:val="en-US" w:eastAsia="zh-CN" w:bidi="ar-SA"/>
    </w:rPr>
  </w:style>
  <w:style w:type="paragraph" w:customStyle="1" w:styleId="95">
    <w:name w:val="公式"/>
    <w:basedOn w:val="51"/>
    <w:link w:val="129"/>
    <w:qFormat/>
    <w:uiPriority w:val="0"/>
    <w:pPr>
      <w:spacing w:before="60" w:after="60"/>
      <w:ind w:firstLine="0" w:firstLineChars="0"/>
      <w:jc w:val="center"/>
    </w:pPr>
    <w:rPr>
      <w:rFonts w:ascii="仿宋_GB2312"/>
      <w:kern w:val="0"/>
      <w:szCs w:val="24"/>
    </w:rPr>
  </w:style>
  <w:style w:type="paragraph" w:customStyle="1" w:styleId="96">
    <w:name w:val="报告图"/>
    <w:basedOn w:val="51"/>
    <w:next w:val="97"/>
    <w:link w:val="131"/>
    <w:qFormat/>
    <w:uiPriority w:val="0"/>
    <w:pPr>
      <w:spacing w:line="240" w:lineRule="auto"/>
      <w:ind w:firstLine="0" w:firstLineChars="0"/>
      <w:jc w:val="center"/>
    </w:pPr>
    <w:rPr>
      <w:rFonts w:ascii="仿宋_GB2312"/>
      <w:kern w:val="0"/>
      <w:szCs w:val="24"/>
    </w:rPr>
  </w:style>
  <w:style w:type="paragraph" w:customStyle="1" w:styleId="97">
    <w:name w:val="报告图题"/>
    <w:basedOn w:val="1"/>
    <w:link w:val="130"/>
    <w:qFormat/>
    <w:uiPriority w:val="0"/>
    <w:pPr>
      <w:spacing w:afterLines="50"/>
      <w:jc w:val="center"/>
    </w:pPr>
    <w:rPr>
      <w:rFonts w:ascii="Times New Roman" w:hAnsi="Times New Roman" w:eastAsia="宋体" w:cs="Times New Roman"/>
      <w:kern w:val="0"/>
      <w:sz w:val="20"/>
      <w:szCs w:val="21"/>
    </w:rPr>
  </w:style>
  <w:style w:type="paragraph" w:customStyle="1" w:styleId="98">
    <w:name w:val="参考文献"/>
    <w:basedOn w:val="1"/>
    <w:link w:val="132"/>
    <w:qFormat/>
    <w:uiPriority w:val="0"/>
    <w:pPr>
      <w:spacing w:before="100" w:after="100"/>
      <w:ind w:left="900" w:hanging="420"/>
    </w:pPr>
    <w:rPr>
      <w:rFonts w:ascii="Times New Roman" w:hAnsi="Times New Roman" w:eastAsia="宋体" w:cs="Times New Roman"/>
      <w:kern w:val="0"/>
      <w:sz w:val="20"/>
      <w:szCs w:val="20"/>
    </w:rPr>
  </w:style>
  <w:style w:type="paragraph" w:customStyle="1" w:styleId="99">
    <w:name w:val="样式 标题 3 + 四号"/>
    <w:basedOn w:val="4"/>
    <w:qFormat/>
    <w:uiPriority w:val="0"/>
    <w:pPr>
      <w:numPr>
        <w:numId w:val="0"/>
      </w:numPr>
      <w:spacing w:before="0" w:after="0" w:line="240" w:lineRule="auto"/>
    </w:pPr>
    <w:rPr>
      <w:rFonts w:ascii="仿宋_GB2312" w:eastAsia="华文中宋"/>
      <w:b w:val="0"/>
      <w:bCs w:val="0"/>
      <w:sz w:val="28"/>
      <w:szCs w:val="28"/>
    </w:rPr>
  </w:style>
  <w:style w:type="paragraph" w:customStyle="1" w:styleId="100">
    <w:name w:val="样式 表标题 + 段前: 0.5 行"/>
    <w:basedOn w:val="91"/>
    <w:qFormat/>
    <w:uiPriority w:val="0"/>
    <w:pPr>
      <w:spacing w:before="156"/>
    </w:pPr>
    <w:rPr>
      <w:rFonts w:eastAsia="华文中宋" w:cs="宋体"/>
    </w:rPr>
  </w:style>
  <w:style w:type="paragraph" w:customStyle="1" w:styleId="101">
    <w:name w:val="样式 报告图题 + 段后: 0.5 行"/>
    <w:basedOn w:val="97"/>
    <w:qFormat/>
    <w:uiPriority w:val="0"/>
  </w:style>
  <w:style w:type="paragraph" w:customStyle="1" w:styleId="102">
    <w:name w:val="TOC 标题1"/>
    <w:basedOn w:val="2"/>
    <w:next w:val="1"/>
    <w:semiHidden/>
    <w:unhideWhenUsed/>
    <w:qFormat/>
    <w:uiPriority w:val="39"/>
    <w:pPr>
      <w:widowControl/>
      <w:numPr>
        <w:numId w:val="0"/>
      </w:numPr>
      <w:spacing w:before="480" w:after="0" w:line="276" w:lineRule="auto"/>
      <w:jc w:val="left"/>
      <w:outlineLvl w:val="9"/>
    </w:pPr>
    <w:rPr>
      <w:rFonts w:ascii="Calibri Light" w:hAnsi="Calibri Light"/>
      <w:color w:val="2E74B5"/>
      <w:kern w:val="0"/>
      <w:sz w:val="28"/>
      <w:szCs w:val="28"/>
    </w:rPr>
  </w:style>
  <w:style w:type="paragraph" w:customStyle="1" w:styleId="103">
    <w:name w:val="标题4"/>
    <w:basedOn w:val="4"/>
    <w:link w:val="133"/>
    <w:qFormat/>
    <w:uiPriority w:val="0"/>
    <w:pPr>
      <w:numPr>
        <w:numId w:val="0"/>
      </w:numPr>
      <w:spacing w:before="0" w:after="0" w:line="240" w:lineRule="auto"/>
    </w:pPr>
    <w:rPr>
      <w:rFonts w:ascii="仿宋_GB2312" w:eastAsia="仿宋_GB2312"/>
      <w:b w:val="0"/>
      <w:bCs w:val="0"/>
      <w:sz w:val="28"/>
      <w:szCs w:val="28"/>
    </w:rPr>
  </w:style>
  <w:style w:type="paragraph" w:customStyle="1" w:styleId="104">
    <w:name w:val="列出段落2"/>
    <w:basedOn w:val="1"/>
    <w:qFormat/>
    <w:uiPriority w:val="0"/>
    <w:pPr>
      <w:spacing w:line="360" w:lineRule="auto"/>
      <w:ind w:firstLine="420" w:firstLineChars="200"/>
    </w:pPr>
    <w:rPr>
      <w:rFonts w:ascii="Times New Roman" w:hAnsi="Times New Roman" w:eastAsia="宋体" w:cs="Times New Roman"/>
      <w:szCs w:val="24"/>
    </w:rPr>
  </w:style>
  <w:style w:type="paragraph" w:customStyle="1" w:styleId="105">
    <w:name w:val="列出段落111"/>
    <w:basedOn w:val="1"/>
    <w:qFormat/>
    <w:uiPriority w:val="0"/>
    <w:pPr>
      <w:spacing w:line="360" w:lineRule="auto"/>
      <w:ind w:firstLine="420" w:firstLineChars="200"/>
    </w:pPr>
    <w:rPr>
      <w:rFonts w:ascii="Times New Roman" w:hAnsi="Times New Roman" w:eastAsia="宋体" w:cs="Times New Roman"/>
      <w:szCs w:val="24"/>
    </w:rPr>
  </w:style>
  <w:style w:type="paragraph" w:customStyle="1" w:styleId="106">
    <w:name w:val="列出段落11"/>
    <w:basedOn w:val="1"/>
    <w:qFormat/>
    <w:uiPriority w:val="34"/>
    <w:pPr>
      <w:spacing w:line="360" w:lineRule="auto"/>
      <w:ind w:firstLine="420" w:firstLineChars="200"/>
    </w:pPr>
    <w:rPr>
      <w:rFonts w:ascii="Times New Roman" w:hAnsi="Times New Roman" w:eastAsia="宋体" w:cs="Times New Roman"/>
      <w:szCs w:val="24"/>
    </w:rPr>
  </w:style>
  <w:style w:type="paragraph" w:customStyle="1" w:styleId="107">
    <w:name w:val="Message Header First"/>
    <w:basedOn w:val="32"/>
    <w:next w:val="32"/>
    <w:qFormat/>
    <w:uiPriority w:val="0"/>
    <w:pPr>
      <w:spacing w:before="220"/>
    </w:pPr>
  </w:style>
  <w:style w:type="paragraph" w:customStyle="1" w:styleId="108">
    <w:name w:val="Message Header Last"/>
    <w:basedOn w:val="32"/>
    <w:next w:val="15"/>
    <w:qFormat/>
    <w:uiPriority w:val="0"/>
    <w:pPr>
      <w:pBdr>
        <w:bottom w:val="single" w:color="auto" w:sz="6" w:space="15"/>
      </w:pBdr>
      <w:spacing w:after="320"/>
    </w:pPr>
  </w:style>
  <w:style w:type="paragraph" w:customStyle="1" w:styleId="109">
    <w:name w:val="样式1"/>
    <w:basedOn w:val="29"/>
    <w:qFormat/>
    <w:uiPriority w:val="0"/>
    <w:pPr>
      <w:widowControl/>
      <w:tabs>
        <w:tab w:val="left" w:pos="1152"/>
      </w:tabs>
      <w:spacing w:line="276" w:lineRule="auto"/>
      <w:jc w:val="center"/>
    </w:pPr>
    <w:rPr>
      <w:rFonts w:ascii="宋体" w:hAnsi="宋体" w:eastAsia="华文楷体"/>
      <w:bCs/>
      <w:kern w:val="0"/>
      <w:sz w:val="20"/>
      <w:szCs w:val="20"/>
      <w:lang w:bidi="en-US"/>
    </w:rPr>
  </w:style>
  <w:style w:type="paragraph" w:customStyle="1" w:styleId="110">
    <w:name w:val="无间隔11"/>
    <w:qFormat/>
    <w:uiPriority w:val="1"/>
    <w:rPr>
      <w:rFonts w:ascii="Calibri" w:hAnsi="Calibri" w:eastAsia="宋体" w:cs="Calibri"/>
      <w:sz w:val="22"/>
      <w:szCs w:val="22"/>
      <w:lang w:val="en-US" w:eastAsia="en-US" w:bidi="en-US"/>
    </w:rPr>
  </w:style>
  <w:style w:type="paragraph" w:customStyle="1" w:styleId="111">
    <w:name w:val="引用1"/>
    <w:basedOn w:val="1"/>
    <w:next w:val="1"/>
    <w:link w:val="140"/>
    <w:qFormat/>
    <w:uiPriority w:val="29"/>
    <w:pPr>
      <w:widowControl/>
      <w:spacing w:line="276" w:lineRule="auto"/>
      <w:jc w:val="left"/>
    </w:pPr>
    <w:rPr>
      <w:rFonts w:ascii="Calibri" w:hAnsi="Calibri" w:eastAsia="华文楷体" w:cs="Times New Roman"/>
      <w:i/>
      <w:iCs/>
      <w:color w:val="000000"/>
      <w:kern w:val="0"/>
      <w:sz w:val="20"/>
      <w:lang w:eastAsia="en-US" w:bidi="en-US"/>
    </w:rPr>
  </w:style>
  <w:style w:type="paragraph" w:customStyle="1" w:styleId="112">
    <w:name w:val="明显引用1"/>
    <w:basedOn w:val="1"/>
    <w:next w:val="1"/>
    <w:link w:val="141"/>
    <w:qFormat/>
    <w:uiPriority w:val="30"/>
    <w:pPr>
      <w:widowControl/>
      <w:pBdr>
        <w:bottom w:val="single" w:color="4F81BD" w:sz="4" w:space="4"/>
      </w:pBdr>
      <w:spacing w:before="200" w:after="280" w:line="276" w:lineRule="auto"/>
      <w:ind w:left="936" w:right="936"/>
      <w:jc w:val="left"/>
    </w:pPr>
    <w:rPr>
      <w:rFonts w:ascii="Calibri" w:hAnsi="Calibri" w:eastAsia="华文楷体" w:cs="Times New Roman"/>
      <w:b/>
      <w:bCs/>
      <w:i/>
      <w:iCs/>
      <w:color w:val="4F81BD"/>
      <w:kern w:val="0"/>
      <w:sz w:val="20"/>
      <w:lang w:eastAsia="en-US" w:bidi="en-US"/>
    </w:rPr>
  </w:style>
  <w:style w:type="paragraph" w:customStyle="1" w:styleId="113">
    <w:name w:val="正文-report"/>
    <w:basedOn w:val="1"/>
    <w:qFormat/>
    <w:uiPriority w:val="0"/>
    <w:pPr>
      <w:widowControl/>
      <w:spacing w:line="276" w:lineRule="auto"/>
      <w:jc w:val="left"/>
    </w:pPr>
    <w:rPr>
      <w:rFonts w:ascii="Times New Roman" w:hAnsi="Times New Roman" w:eastAsia="华文楷体" w:cs="Times New Roman"/>
      <w:kern w:val="0"/>
      <w:sz w:val="20"/>
      <w:lang w:bidi="en-US"/>
    </w:rPr>
  </w:style>
  <w:style w:type="paragraph" w:customStyle="1" w:styleId="114">
    <w:name w:val="标题8-附录2"/>
    <w:basedOn w:val="1"/>
    <w:qFormat/>
    <w:uiPriority w:val="0"/>
    <w:pPr>
      <w:widowControl/>
      <w:spacing w:line="276" w:lineRule="auto"/>
      <w:jc w:val="left"/>
    </w:pPr>
    <w:rPr>
      <w:rFonts w:ascii="Calibri" w:hAnsi="Calibri" w:eastAsia="华文楷体" w:cs="Times New Roman"/>
      <w:kern w:val="0"/>
      <w:sz w:val="20"/>
      <w:lang w:eastAsia="en-US" w:bidi="en-US"/>
    </w:rPr>
  </w:style>
  <w:style w:type="paragraph" w:customStyle="1" w:styleId="115">
    <w:name w:val="标题 2-附录"/>
    <w:basedOn w:val="3"/>
    <w:qFormat/>
    <w:uiPriority w:val="0"/>
    <w:pPr>
      <w:widowControl/>
      <w:numPr>
        <w:numId w:val="0"/>
      </w:numPr>
      <w:spacing w:before="200" w:after="0" w:line="276" w:lineRule="auto"/>
      <w:jc w:val="left"/>
    </w:pPr>
    <w:rPr>
      <w:rFonts w:ascii="Times New Roman" w:hAnsi="Times New Roman" w:eastAsia="华文楷体"/>
      <w:color w:val="4F81BD"/>
      <w:kern w:val="0"/>
      <w:sz w:val="26"/>
      <w:szCs w:val="26"/>
      <w:lang w:bidi="en-US"/>
    </w:rPr>
  </w:style>
  <w:style w:type="paragraph" w:customStyle="1" w:styleId="116">
    <w:name w:val="标题 1-附录"/>
    <w:basedOn w:val="2"/>
    <w:qFormat/>
    <w:uiPriority w:val="0"/>
    <w:pPr>
      <w:widowControl/>
      <w:numPr>
        <w:numId w:val="0"/>
      </w:numPr>
      <w:spacing w:before="480" w:after="0" w:line="276" w:lineRule="auto"/>
      <w:jc w:val="left"/>
    </w:pPr>
    <w:rPr>
      <w:rFonts w:eastAsia="华文楷体"/>
      <w:color w:val="365F91"/>
      <w:kern w:val="0"/>
      <w:sz w:val="28"/>
      <w:szCs w:val="28"/>
      <w:lang w:bidi="en-US"/>
    </w:rPr>
  </w:style>
  <w:style w:type="paragraph" w:customStyle="1" w:styleId="117">
    <w:name w:val="题注-表注"/>
    <w:basedOn w:val="9"/>
    <w:qFormat/>
    <w:uiPriority w:val="0"/>
    <w:pPr>
      <w:spacing w:before="100" w:after="100"/>
    </w:pPr>
    <w:rPr>
      <w:sz w:val="21"/>
      <w:lang w:eastAsia="zh-CN"/>
    </w:rPr>
  </w:style>
  <w:style w:type="paragraph" w:customStyle="1" w:styleId="118">
    <w:name w:val="题注-图注"/>
    <w:basedOn w:val="12"/>
    <w:qFormat/>
    <w:uiPriority w:val="0"/>
    <w:pPr>
      <w:widowControl/>
      <w:jc w:val="center"/>
    </w:pPr>
    <w:rPr>
      <w:rFonts w:ascii="Calibri" w:hAnsi="Calibri" w:eastAsia="华文楷体"/>
      <w:b/>
      <w:bCs/>
      <w:color w:val="4F81BD"/>
      <w:kern w:val="0"/>
      <w:sz w:val="21"/>
      <w:szCs w:val="18"/>
      <w:lang w:eastAsia="en-US" w:bidi="en-US"/>
    </w:rPr>
  </w:style>
  <w:style w:type="paragraph" w:customStyle="1" w:styleId="119">
    <w:name w:val="列出段落3"/>
    <w:basedOn w:val="1"/>
    <w:qFormat/>
    <w:uiPriority w:val="34"/>
    <w:pPr>
      <w:ind w:firstLine="420" w:firstLineChars="200"/>
    </w:pPr>
    <w:rPr>
      <w:rFonts w:ascii="Times New Roman" w:hAnsi="Times New Roman" w:eastAsia="宋体" w:cs="Times New Roman"/>
      <w:szCs w:val="24"/>
    </w:rPr>
  </w:style>
  <w:style w:type="character" w:customStyle="1" w:styleId="120">
    <w:name w:val="我的正文 Char"/>
    <w:basedOn w:val="41"/>
    <w:link w:val="79"/>
    <w:qFormat/>
    <w:uiPriority w:val="0"/>
    <w:rPr>
      <w:rFonts w:ascii="Times New Roman" w:hAnsi="Times New Roman" w:eastAsia="宋体" w:cs="Times New Roman"/>
      <w:sz w:val="24"/>
      <w:szCs w:val="24"/>
    </w:rPr>
  </w:style>
  <w:style w:type="character" w:customStyle="1" w:styleId="121">
    <w:name w:val="一级条标题 Char Char"/>
    <w:link w:val="84"/>
    <w:qFormat/>
    <w:uiPriority w:val="0"/>
    <w:rPr>
      <w:rFonts w:ascii="Times New Roman" w:hAnsi="Times New Roman" w:eastAsia="黑体" w:cs="Calibri"/>
      <w:kern w:val="0"/>
      <w:szCs w:val="20"/>
    </w:rPr>
  </w:style>
  <w:style w:type="character" w:customStyle="1" w:styleId="122">
    <w:name w:val="二级条标题 Char"/>
    <w:link w:val="85"/>
    <w:qFormat/>
    <w:uiPriority w:val="0"/>
    <w:rPr>
      <w:rFonts w:ascii="Times New Roman" w:hAnsi="Times New Roman" w:eastAsia="黑体" w:cs="Times New Roman"/>
      <w:kern w:val="0"/>
      <w:szCs w:val="20"/>
    </w:rPr>
  </w:style>
  <w:style w:type="character" w:customStyle="1" w:styleId="123">
    <w:name w:val="占位符文本1"/>
    <w:basedOn w:val="41"/>
    <w:semiHidden/>
    <w:qFormat/>
    <w:uiPriority w:val="99"/>
    <w:rPr>
      <w:color w:val="808080"/>
    </w:rPr>
  </w:style>
  <w:style w:type="character" w:customStyle="1" w:styleId="124">
    <w:name w:val="国网标准正文 Char"/>
    <w:basedOn w:val="41"/>
    <w:link w:val="87"/>
    <w:qFormat/>
    <w:uiPriority w:val="0"/>
    <w:rPr>
      <w:rFonts w:ascii="宋体" w:hAnsi="宋体" w:eastAsia="宋体" w:cs="Times New Roman"/>
      <w:szCs w:val="28"/>
    </w:rPr>
  </w:style>
  <w:style w:type="character" w:customStyle="1" w:styleId="125">
    <w:name w:val="zt Char Char"/>
    <w:basedOn w:val="41"/>
    <w:link w:val="88"/>
    <w:qFormat/>
    <w:uiPriority w:val="0"/>
    <w:rPr>
      <w:rFonts w:ascii="EU-F1" w:hAnsi="Calibri" w:eastAsia="EU-F1" w:cs="Times New Roman"/>
      <w:bCs/>
      <w:szCs w:val="21"/>
    </w:rPr>
  </w:style>
  <w:style w:type="character" w:customStyle="1" w:styleId="126">
    <w:name w:val="段 Char Char"/>
    <w:link w:val="90"/>
    <w:qFormat/>
    <w:uiPriority w:val="0"/>
    <w:rPr>
      <w:rFonts w:ascii="宋体" w:hAnsi="Times New Roman" w:eastAsia="宋体" w:cs="Calibri"/>
    </w:rPr>
  </w:style>
  <w:style w:type="character" w:customStyle="1" w:styleId="127">
    <w:name w:val="表标题 Char"/>
    <w:link w:val="91"/>
    <w:qFormat/>
    <w:uiPriority w:val="0"/>
    <w:rPr>
      <w:rFonts w:ascii="Times New Roman" w:hAnsi="Times New Roman" w:eastAsia="宋体" w:cs="Times New Roman"/>
      <w:kern w:val="0"/>
      <w:sz w:val="20"/>
      <w:szCs w:val="20"/>
    </w:rPr>
  </w:style>
  <w:style w:type="character" w:customStyle="1" w:styleId="128">
    <w:name w:val="表内容 Char"/>
    <w:link w:val="92"/>
    <w:qFormat/>
    <w:uiPriority w:val="0"/>
    <w:rPr>
      <w:rFonts w:ascii="仿宋_GB2312" w:hAnsi="华文中宋" w:eastAsia="仿宋_GB2312" w:cs="Times New Roman"/>
      <w:kern w:val="0"/>
      <w:sz w:val="20"/>
      <w:szCs w:val="24"/>
    </w:rPr>
  </w:style>
  <w:style w:type="character" w:customStyle="1" w:styleId="129">
    <w:name w:val="公式 Char"/>
    <w:link w:val="95"/>
    <w:qFormat/>
    <w:uiPriority w:val="0"/>
    <w:rPr>
      <w:rFonts w:ascii="仿宋_GB2312" w:hAnsi="Times New Roman" w:eastAsia="仿宋_GB2312" w:cs="Times New Roman"/>
      <w:kern w:val="0"/>
      <w:sz w:val="28"/>
      <w:szCs w:val="24"/>
    </w:rPr>
  </w:style>
  <w:style w:type="character" w:customStyle="1" w:styleId="130">
    <w:name w:val="报告图题 Char"/>
    <w:link w:val="97"/>
    <w:qFormat/>
    <w:uiPriority w:val="0"/>
    <w:rPr>
      <w:rFonts w:ascii="Times New Roman" w:hAnsi="Times New Roman" w:eastAsia="宋体" w:cs="Times New Roman"/>
      <w:kern w:val="0"/>
      <w:sz w:val="20"/>
      <w:szCs w:val="21"/>
    </w:rPr>
  </w:style>
  <w:style w:type="character" w:customStyle="1" w:styleId="131">
    <w:name w:val="报告图 Char"/>
    <w:link w:val="96"/>
    <w:qFormat/>
    <w:uiPriority w:val="0"/>
    <w:rPr>
      <w:rFonts w:ascii="仿宋_GB2312" w:hAnsi="Times New Roman" w:eastAsia="仿宋_GB2312" w:cs="Times New Roman"/>
      <w:kern w:val="0"/>
      <w:sz w:val="28"/>
      <w:szCs w:val="24"/>
    </w:rPr>
  </w:style>
  <w:style w:type="character" w:customStyle="1" w:styleId="132">
    <w:name w:val="参考文献 Char"/>
    <w:link w:val="98"/>
    <w:qFormat/>
    <w:uiPriority w:val="0"/>
    <w:rPr>
      <w:rFonts w:ascii="Times New Roman" w:hAnsi="Times New Roman" w:eastAsia="宋体" w:cs="Times New Roman"/>
      <w:kern w:val="0"/>
      <w:sz w:val="20"/>
      <w:szCs w:val="20"/>
    </w:rPr>
  </w:style>
  <w:style w:type="character" w:customStyle="1" w:styleId="133">
    <w:name w:val="标题4 Char"/>
    <w:basedOn w:val="59"/>
    <w:link w:val="103"/>
    <w:qFormat/>
    <w:uiPriority w:val="0"/>
    <w:rPr>
      <w:rFonts w:ascii="仿宋_GB2312" w:hAnsi="Times New Roman" w:eastAsia="仿宋_GB2312" w:cs="Times New Roman"/>
      <w:b w:val="0"/>
      <w:bCs w:val="0"/>
      <w:sz w:val="28"/>
      <w:szCs w:val="28"/>
    </w:rPr>
  </w:style>
  <w:style w:type="character" w:customStyle="1" w:styleId="134">
    <w:name w:val="页脚 Char1"/>
    <w:qFormat/>
    <w:uiPriority w:val="0"/>
    <w:rPr>
      <w:sz w:val="18"/>
      <w:szCs w:val="18"/>
    </w:rPr>
  </w:style>
  <w:style w:type="character" w:customStyle="1" w:styleId="135">
    <w:name w:val="批注引用1"/>
    <w:qFormat/>
    <w:uiPriority w:val="0"/>
    <w:rPr>
      <w:sz w:val="21"/>
      <w:szCs w:val="21"/>
    </w:rPr>
  </w:style>
  <w:style w:type="character" w:customStyle="1" w:styleId="136">
    <w:name w:val="文档结构图 Char1"/>
    <w:qFormat/>
    <w:uiPriority w:val="0"/>
    <w:rPr>
      <w:rFonts w:ascii="宋体"/>
      <w:kern w:val="2"/>
      <w:sz w:val="18"/>
      <w:szCs w:val="18"/>
    </w:rPr>
  </w:style>
  <w:style w:type="character" w:customStyle="1" w:styleId="137">
    <w:name w:val="Char Char Char"/>
    <w:qFormat/>
    <w:uiPriority w:val="0"/>
    <w:rPr>
      <w:rFonts w:eastAsia="宋体"/>
      <w:b/>
      <w:bCs/>
      <w:kern w:val="44"/>
      <w:sz w:val="44"/>
      <w:szCs w:val="44"/>
      <w:lang w:val="en-US" w:eastAsia="zh-CN"/>
    </w:rPr>
  </w:style>
  <w:style w:type="character" w:customStyle="1" w:styleId="138">
    <w:name w:val="Message Header Label"/>
    <w:qFormat/>
    <w:uiPriority w:val="0"/>
    <w:rPr>
      <w:rFonts w:ascii="Arial Black" w:hAnsi="Arial Black"/>
      <w:spacing w:val="-10"/>
      <w:sz w:val="18"/>
    </w:rPr>
  </w:style>
  <w:style w:type="character" w:customStyle="1" w:styleId="139">
    <w:name w:val="style51"/>
    <w:basedOn w:val="41"/>
    <w:qFormat/>
    <w:uiPriority w:val="0"/>
    <w:rPr>
      <w:b/>
      <w:bCs/>
      <w:color w:val="3366FF"/>
    </w:rPr>
  </w:style>
  <w:style w:type="character" w:customStyle="1" w:styleId="140">
    <w:name w:val="Quote Char"/>
    <w:basedOn w:val="41"/>
    <w:link w:val="111"/>
    <w:qFormat/>
    <w:uiPriority w:val="29"/>
    <w:rPr>
      <w:rFonts w:ascii="Calibri" w:hAnsi="Calibri" w:eastAsia="华文楷体" w:cs="Times New Roman"/>
      <w:i/>
      <w:iCs/>
      <w:color w:val="000000"/>
      <w:kern w:val="0"/>
      <w:sz w:val="20"/>
      <w:lang w:eastAsia="en-US" w:bidi="en-US"/>
    </w:rPr>
  </w:style>
  <w:style w:type="character" w:customStyle="1" w:styleId="141">
    <w:name w:val="Intense Quote Char"/>
    <w:basedOn w:val="41"/>
    <w:link w:val="112"/>
    <w:qFormat/>
    <w:uiPriority w:val="30"/>
    <w:rPr>
      <w:rFonts w:ascii="Calibri" w:hAnsi="Calibri" w:eastAsia="华文楷体" w:cs="Times New Roman"/>
      <w:b/>
      <w:bCs/>
      <w:i/>
      <w:iCs/>
      <w:color w:val="4F81BD"/>
      <w:kern w:val="0"/>
      <w:sz w:val="20"/>
      <w:lang w:eastAsia="en-US" w:bidi="en-US"/>
    </w:rPr>
  </w:style>
  <w:style w:type="character" w:customStyle="1" w:styleId="142">
    <w:name w:val="不明显强调1"/>
    <w:basedOn w:val="41"/>
    <w:qFormat/>
    <w:uiPriority w:val="19"/>
    <w:rPr>
      <w:i/>
      <w:iCs/>
      <w:color w:val="808080"/>
    </w:rPr>
  </w:style>
  <w:style w:type="character" w:customStyle="1" w:styleId="143">
    <w:name w:val="明显强调1"/>
    <w:basedOn w:val="41"/>
    <w:qFormat/>
    <w:uiPriority w:val="21"/>
    <w:rPr>
      <w:b/>
      <w:bCs/>
      <w:i/>
      <w:iCs/>
      <w:color w:val="4F81BD"/>
    </w:rPr>
  </w:style>
  <w:style w:type="character" w:customStyle="1" w:styleId="144">
    <w:name w:val="不明显参考1"/>
    <w:basedOn w:val="41"/>
    <w:qFormat/>
    <w:uiPriority w:val="31"/>
    <w:rPr>
      <w:smallCaps/>
      <w:color w:val="C0504D"/>
      <w:u w:val="single"/>
    </w:rPr>
  </w:style>
  <w:style w:type="character" w:customStyle="1" w:styleId="145">
    <w:name w:val="明显参考1"/>
    <w:basedOn w:val="41"/>
    <w:qFormat/>
    <w:uiPriority w:val="32"/>
    <w:rPr>
      <w:b/>
      <w:bCs/>
      <w:smallCaps/>
      <w:color w:val="C0504D"/>
      <w:spacing w:val="5"/>
      <w:u w:val="single"/>
    </w:rPr>
  </w:style>
  <w:style w:type="character" w:customStyle="1" w:styleId="146">
    <w:name w:val="书籍标题1"/>
    <w:basedOn w:val="41"/>
    <w:qFormat/>
    <w:uiPriority w:val="33"/>
    <w:rPr>
      <w:b/>
      <w:bCs/>
      <w:smallCaps/>
      <w:spacing w:val="5"/>
    </w:rPr>
  </w:style>
  <w:style w:type="character" w:customStyle="1" w:styleId="147">
    <w:name w:val="无间隔 Char"/>
    <w:link w:val="94"/>
    <w:qFormat/>
    <w:uiPriority w:val="1"/>
    <w:rPr>
      <w:rFonts w:ascii="Calibri" w:hAnsi="Calibri" w:eastAsia="宋体" w:cs="Times New Roman"/>
    </w:rPr>
  </w:style>
  <w:style w:type="paragraph" w:customStyle="1" w:styleId="148">
    <w:name w:val="p0"/>
    <w:basedOn w:val="1"/>
    <w:qFormat/>
    <w:uiPriority w:val="0"/>
    <w:pPr>
      <w:widowControl/>
    </w:pPr>
    <w:rPr>
      <w:rFonts w:ascii="Times New Roman" w:hAnsi="Times New Roman" w:eastAsia="宋体" w:cs="Times New Roman"/>
      <w:kern w:val="0"/>
      <w:szCs w:val="21"/>
    </w:rPr>
  </w:style>
  <w:style w:type="character" w:customStyle="1" w:styleId="149">
    <w:name w:val="HTML 预设格式 Char"/>
    <w:link w:val="150"/>
    <w:qFormat/>
    <w:uiPriority w:val="0"/>
    <w:rPr>
      <w:rFonts w:ascii="Courier New" w:hAnsi="Courier New" w:cs="Courier New"/>
    </w:rPr>
  </w:style>
  <w:style w:type="paragraph" w:customStyle="1" w:styleId="150">
    <w:name w:val="HTML 预设格式1"/>
    <w:basedOn w:val="1"/>
    <w:link w:val="149"/>
    <w:qFormat/>
    <w:uiPriority w:val="0"/>
    <w:rPr>
      <w:rFonts w:ascii="Courier New" w:hAnsi="Courier New" w:cs="Courier New"/>
    </w:rPr>
  </w:style>
  <w:style w:type="paragraph" w:customStyle="1" w:styleId="151">
    <w:name w:val="三级条标题"/>
    <w:basedOn w:val="85"/>
    <w:next w:val="1"/>
    <w:qFormat/>
    <w:uiPriority w:val="0"/>
    <w:pPr>
      <w:ind w:left="420"/>
      <w:outlineLvl w:val="4"/>
    </w:pPr>
  </w:style>
  <w:style w:type="character" w:customStyle="1" w:styleId="152">
    <w:name w:val="列出段落1 Char"/>
    <w:link w:val="81"/>
    <w:qFormat/>
    <w:uiPriority w:val="0"/>
    <w:rPr>
      <w:rFonts w:ascii="Times New Roman" w:hAnsi="Times New Roman" w:eastAsia="宋体" w:cs="Times New Roman"/>
      <w:szCs w:val="24"/>
    </w:rPr>
  </w:style>
  <w:style w:type="paragraph" w:customStyle="1" w:styleId="153">
    <w:name w:val="三级标题"/>
    <w:basedOn w:val="1"/>
    <w:qFormat/>
    <w:uiPriority w:val="0"/>
    <w:pPr>
      <w:keepNext/>
      <w:keepLines/>
      <w:spacing w:line="580" w:lineRule="exact"/>
      <w:outlineLvl w:val="2"/>
    </w:pPr>
    <w:rPr>
      <w:rFonts w:ascii="Times New Roman" w:hAnsi="Times New Roman"/>
      <w:bCs/>
      <w:sz w:val="28"/>
      <w:szCs w:val="32"/>
    </w:rPr>
  </w:style>
  <w:style w:type="character" w:styleId="154">
    <w:name w:val="Placeholder Text"/>
    <w:basedOn w:val="41"/>
    <w:semiHidden/>
    <w:qFormat/>
    <w:uiPriority w:val="99"/>
    <w:rPr>
      <w:color w:val="808080"/>
    </w:rPr>
  </w:style>
  <w:style w:type="table" w:customStyle="1" w:styleId="155">
    <w:name w:val="网格型1"/>
    <w:basedOn w:val="3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6">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57">
    <w:name w:val="Revision"/>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58">
    <w:name w:val="小标题_ADPSS报告"/>
    <w:basedOn w:val="1"/>
    <w:qFormat/>
    <w:uiPriority w:val="0"/>
    <w:pPr>
      <w:spacing w:before="120"/>
      <w:outlineLvl w:val="2"/>
    </w:pPr>
    <w:rPr>
      <w:b/>
      <w:sz w:val="24"/>
    </w:rPr>
  </w:style>
  <w:style w:type="paragraph" w:customStyle="1" w:styleId="159">
    <w:name w:val="图标题_ADPSS报告"/>
    <w:basedOn w:val="1"/>
    <w:qFormat/>
    <w:uiPriority w:val="0"/>
    <w:pPr>
      <w:jc w:val="center"/>
    </w:pPr>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3" Type="http://schemas.microsoft.com/office/2011/relationships/people" Target="people.xml"/><Relationship Id="rId42" Type="http://schemas.openxmlformats.org/officeDocument/2006/relationships/fontTable" Target="fontTable.xml"/><Relationship Id="rId41" Type="http://schemas.openxmlformats.org/officeDocument/2006/relationships/customXml" Target="../customXml/item1.xml"/><Relationship Id="rId40" Type="http://schemas.openxmlformats.org/officeDocument/2006/relationships/numbering" Target="numbering.xml"/><Relationship Id="rId4" Type="http://schemas.microsoft.com/office/2011/relationships/commentsExtended" Target="commentsExtended.xml"/><Relationship Id="rId39" Type="http://schemas.openxmlformats.org/officeDocument/2006/relationships/chart" Target="charts/chart5.xml"/><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comments" Target="comment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chart" Target="charts/chart4.xml"/><Relationship Id="rId18" Type="http://schemas.openxmlformats.org/officeDocument/2006/relationships/image" Target="media/image9.emf"/><Relationship Id="rId17" Type="http://schemas.openxmlformats.org/officeDocument/2006/relationships/package" Target="embeddings/Microsoft_Visio___1.vsdx"/><Relationship Id="rId16" Type="http://schemas.openxmlformats.org/officeDocument/2006/relationships/chart" Target="charts/chart3.xml"/><Relationship Id="rId15" Type="http://schemas.openxmlformats.org/officeDocument/2006/relationships/chart" Target="charts/chart2.xml"/><Relationship Id="rId14" Type="http://schemas.openxmlformats.org/officeDocument/2006/relationships/chart" Target="charts/chart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30984\Desktop\&#22823;&#25968;&#25454;&#26448;&#26009;\&#37329;&#38451;&#39118;&#20809;&#20648;&#21151;&#29575;&#26354;&#32447;(1).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2.xlsx"/></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LENOVO\Desktop\&#20864;&#21271;&#30456;&#20851;&#25991;&#26723;&#21512;&#24182;2021-08-11\&#21508;&#22330;&#31449;&#29702;&#35770;&#39118;&#21151;&#29575;&#26354;&#32447;&#65288;&#21378;&#23478;&#25552;&#20379;&#65289;.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30984\Documents\WeChat%20Files\wxid_6cyp71eri3bg\FileStorage\File\2021-12\&#37329;&#38451;&#39118;&#20809;&#20648;&#21151;&#29575;&#26354;&#3244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金风</a:t>
            </a:r>
            <a:r>
              <a:rPr lang="en-US" altLang="zh-CN"/>
              <a:t>2.5MW</a:t>
            </a:r>
            <a:endParaRPr lang="zh-CN" altLang="en-US"/>
          </a:p>
        </c:rich>
      </c:tx>
      <c:layout/>
      <c:overlay val="0"/>
      <c:spPr>
        <a:noFill/>
        <a:ln>
          <a:noFill/>
        </a:ln>
        <a:effectLst/>
      </c:spPr>
    </c:title>
    <c:autoTitleDeleted val="0"/>
    <c:plotArea>
      <c:layout>
        <c:manualLayout>
          <c:layoutTarget val="inner"/>
          <c:xMode val="edge"/>
          <c:yMode val="edge"/>
          <c:x val="0.132649010012684"/>
          <c:y val="0.137865911237016"/>
          <c:w val="0.829884098583511"/>
          <c:h val="0.658765883726291"/>
        </c:manualLayout>
      </c:layout>
      <c:scatterChart>
        <c:scatterStyle val="smoothMarker"/>
        <c:varyColors val="0"/>
        <c:ser>
          <c:idx val="0"/>
          <c:order val="0"/>
          <c:tx>
            <c:strRef>
              <c:f>最优曲线</c:f>
              <c:strCache>
                <c:ptCount val="1"/>
                <c:pt idx="0">
                  <c:v>最优曲线</c:v>
                </c:pt>
              </c:strCache>
            </c:strRef>
          </c:tx>
          <c:spPr>
            <a:ln w="19050" cap="rnd">
              <a:solidFill>
                <a:schemeClr val="accent1"/>
              </a:solidFill>
              <a:round/>
            </a:ln>
            <a:effectLst/>
          </c:spPr>
          <c:marker>
            <c:symbol val="none"/>
          </c:marker>
          <c:dLbls>
            <c:delete val="1"/>
          </c:dLbls>
          <c:xVal>
            <c:numRef>
              <c:f>Sheet2!$D$2:$D$51</c:f>
              <c:numCache>
                <c:formatCode>General</c:formatCode>
                <c:ptCount val="50"/>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pt idx="41">
                  <c:v>20.5</c:v>
                </c:pt>
                <c:pt idx="42">
                  <c:v>21</c:v>
                </c:pt>
                <c:pt idx="43">
                  <c:v>21.5</c:v>
                </c:pt>
                <c:pt idx="44">
                  <c:v>22</c:v>
                </c:pt>
                <c:pt idx="45">
                  <c:v>22.5</c:v>
                </c:pt>
                <c:pt idx="46">
                  <c:v>23</c:v>
                </c:pt>
                <c:pt idx="47">
                  <c:v>23.5</c:v>
                </c:pt>
                <c:pt idx="48">
                  <c:v>24</c:v>
                </c:pt>
                <c:pt idx="49">
                  <c:v>24.5</c:v>
                </c:pt>
              </c:numCache>
            </c:numRef>
          </c:xVal>
          <c:yVal>
            <c:numRef>
              <c:f>Sheet2!$B$2:$B$51</c:f>
              <c:numCache>
                <c:formatCode>General</c:formatCode>
                <c:ptCount val="50"/>
                <c:pt idx="0">
                  <c:v>0</c:v>
                </c:pt>
                <c:pt idx="1">
                  <c:v>19.6</c:v>
                </c:pt>
                <c:pt idx="2">
                  <c:v>44.04</c:v>
                </c:pt>
                <c:pt idx="3">
                  <c:v>51.33</c:v>
                </c:pt>
                <c:pt idx="4">
                  <c:v>72.98</c:v>
                </c:pt>
                <c:pt idx="5">
                  <c:v>98.4</c:v>
                </c:pt>
                <c:pt idx="6">
                  <c:v>139.54</c:v>
                </c:pt>
                <c:pt idx="7">
                  <c:v>202.85</c:v>
                </c:pt>
                <c:pt idx="8">
                  <c:v>296.37</c:v>
                </c:pt>
                <c:pt idx="9">
                  <c:v>423.36</c:v>
                </c:pt>
                <c:pt idx="10">
                  <c:v>576.02</c:v>
                </c:pt>
                <c:pt idx="11">
                  <c:v>766.43</c:v>
                </c:pt>
                <c:pt idx="12">
                  <c:v>970.9</c:v>
                </c:pt>
                <c:pt idx="13">
                  <c:v>1182.39</c:v>
                </c:pt>
                <c:pt idx="14">
                  <c:v>1370.71</c:v>
                </c:pt>
                <c:pt idx="15">
                  <c:v>1613.06</c:v>
                </c:pt>
                <c:pt idx="16">
                  <c:v>1802.68</c:v>
                </c:pt>
                <c:pt idx="17">
                  <c:v>2019.73</c:v>
                </c:pt>
                <c:pt idx="18">
                  <c:v>2221.44</c:v>
                </c:pt>
                <c:pt idx="19">
                  <c:v>2371.92</c:v>
                </c:pt>
                <c:pt idx="20">
                  <c:v>2460.15</c:v>
                </c:pt>
                <c:pt idx="21">
                  <c:v>2501.85</c:v>
                </c:pt>
                <c:pt idx="22">
                  <c:v>2540.9</c:v>
                </c:pt>
                <c:pt idx="23">
                  <c:v>2539.57</c:v>
                </c:pt>
                <c:pt idx="24">
                  <c:v>2545.07</c:v>
                </c:pt>
                <c:pt idx="25">
                  <c:v>2541.3</c:v>
                </c:pt>
                <c:pt idx="26">
                  <c:v>2547.85</c:v>
                </c:pt>
                <c:pt idx="27">
                  <c:v>2548.28</c:v>
                </c:pt>
                <c:pt idx="28">
                  <c:v>2539.93</c:v>
                </c:pt>
                <c:pt idx="29">
                  <c:v>2541.37</c:v>
                </c:pt>
                <c:pt idx="30">
                  <c:v>2539.31</c:v>
                </c:pt>
                <c:pt idx="31">
                  <c:v>2536.75</c:v>
                </c:pt>
                <c:pt idx="32">
                  <c:v>2537.58</c:v>
                </c:pt>
                <c:pt idx="33">
                  <c:v>2531.19</c:v>
                </c:pt>
                <c:pt idx="34">
                  <c:v>2531.98</c:v>
                </c:pt>
                <c:pt idx="35">
                  <c:v>2535.04</c:v>
                </c:pt>
                <c:pt idx="36">
                  <c:v>2532.36</c:v>
                </c:pt>
                <c:pt idx="37">
                  <c:v>2525.5</c:v>
                </c:pt>
                <c:pt idx="38">
                  <c:v>2521.66</c:v>
                </c:pt>
                <c:pt idx="39">
                  <c:v>2521.9</c:v>
                </c:pt>
                <c:pt idx="40">
                  <c:v>2525.42</c:v>
                </c:pt>
                <c:pt idx="41">
                  <c:v>2526.56</c:v>
                </c:pt>
                <c:pt idx="42">
                  <c:v>2529.73</c:v>
                </c:pt>
                <c:pt idx="43">
                  <c:v>2528.44</c:v>
                </c:pt>
                <c:pt idx="44">
                  <c:v>2524.68</c:v>
                </c:pt>
                <c:pt idx="45">
                  <c:v>2524.25</c:v>
                </c:pt>
                <c:pt idx="46">
                  <c:v>2524.38</c:v>
                </c:pt>
                <c:pt idx="47">
                  <c:v>2524.35</c:v>
                </c:pt>
                <c:pt idx="48">
                  <c:v>2524.35</c:v>
                </c:pt>
                <c:pt idx="49">
                  <c:v>2524.35</c:v>
                </c:pt>
              </c:numCache>
            </c:numRef>
          </c:yVal>
          <c:smooth val="1"/>
        </c:ser>
        <c:ser>
          <c:idx val="1"/>
          <c:order val="1"/>
          <c:tx>
            <c:strRef>
              <c:f>最差曲线</c:f>
              <c:strCache>
                <c:ptCount val="1"/>
                <c:pt idx="0">
                  <c:v>最差曲线</c:v>
                </c:pt>
              </c:strCache>
            </c:strRef>
          </c:tx>
          <c:spPr>
            <a:ln w="19050" cap="rnd">
              <a:solidFill>
                <a:schemeClr val="accent2"/>
              </a:solidFill>
              <a:round/>
            </a:ln>
            <a:effectLst/>
          </c:spPr>
          <c:marker>
            <c:symbol val="none"/>
          </c:marker>
          <c:dLbls>
            <c:delete val="1"/>
          </c:dLbls>
          <c:xVal>
            <c:numRef>
              <c:f>Sheet2!$D$2:$D$51</c:f>
              <c:numCache>
                <c:formatCode>General</c:formatCode>
                <c:ptCount val="50"/>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20</c:v>
                </c:pt>
                <c:pt idx="41">
                  <c:v>20.5</c:v>
                </c:pt>
                <c:pt idx="42">
                  <c:v>21</c:v>
                </c:pt>
                <c:pt idx="43">
                  <c:v>21.5</c:v>
                </c:pt>
                <c:pt idx="44">
                  <c:v>22</c:v>
                </c:pt>
                <c:pt idx="45">
                  <c:v>22.5</c:v>
                </c:pt>
                <c:pt idx="46">
                  <c:v>23</c:v>
                </c:pt>
                <c:pt idx="47">
                  <c:v>23.5</c:v>
                </c:pt>
                <c:pt idx="48">
                  <c:v>24</c:v>
                </c:pt>
                <c:pt idx="49">
                  <c:v>24.5</c:v>
                </c:pt>
              </c:numCache>
            </c:numRef>
          </c:xVal>
          <c:yVal>
            <c:numRef>
              <c:f>Sheet2!$C$2:$C$51</c:f>
              <c:numCache>
                <c:formatCode>General</c:formatCode>
                <c:ptCount val="50"/>
                <c:pt idx="0">
                  <c:v>0</c:v>
                </c:pt>
                <c:pt idx="1">
                  <c:v>19.6</c:v>
                </c:pt>
                <c:pt idx="2">
                  <c:v>44.04</c:v>
                </c:pt>
                <c:pt idx="3">
                  <c:v>30.58</c:v>
                </c:pt>
                <c:pt idx="4">
                  <c:v>55.74</c:v>
                </c:pt>
                <c:pt idx="5">
                  <c:v>72.33</c:v>
                </c:pt>
                <c:pt idx="6">
                  <c:v>112.11</c:v>
                </c:pt>
                <c:pt idx="7">
                  <c:v>137.46</c:v>
                </c:pt>
                <c:pt idx="8">
                  <c:v>185.71</c:v>
                </c:pt>
                <c:pt idx="9">
                  <c:v>250.92</c:v>
                </c:pt>
                <c:pt idx="10">
                  <c:v>349.48</c:v>
                </c:pt>
                <c:pt idx="11">
                  <c:v>437.15</c:v>
                </c:pt>
                <c:pt idx="12">
                  <c:v>556.27</c:v>
                </c:pt>
                <c:pt idx="13">
                  <c:v>706.26</c:v>
                </c:pt>
                <c:pt idx="14">
                  <c:v>859.81</c:v>
                </c:pt>
                <c:pt idx="15">
                  <c:v>1054.94</c:v>
                </c:pt>
                <c:pt idx="16">
                  <c:v>1247.13</c:v>
                </c:pt>
                <c:pt idx="17">
                  <c:v>1460.77</c:v>
                </c:pt>
                <c:pt idx="18">
                  <c:v>1676.63</c:v>
                </c:pt>
                <c:pt idx="19">
                  <c:v>1886.87</c:v>
                </c:pt>
                <c:pt idx="20">
                  <c:v>2041.39</c:v>
                </c:pt>
                <c:pt idx="21">
                  <c:v>2160.27</c:v>
                </c:pt>
                <c:pt idx="22">
                  <c:v>2386.01</c:v>
                </c:pt>
                <c:pt idx="23">
                  <c:v>2440.87</c:v>
                </c:pt>
                <c:pt idx="24">
                  <c:v>2478.01</c:v>
                </c:pt>
                <c:pt idx="25">
                  <c:v>2506.19</c:v>
                </c:pt>
                <c:pt idx="26">
                  <c:v>2507.23</c:v>
                </c:pt>
                <c:pt idx="27">
                  <c:v>2510.96</c:v>
                </c:pt>
                <c:pt idx="28">
                  <c:v>2510.56</c:v>
                </c:pt>
                <c:pt idx="29">
                  <c:v>2510.76</c:v>
                </c:pt>
                <c:pt idx="30">
                  <c:v>2511.84</c:v>
                </c:pt>
                <c:pt idx="31">
                  <c:v>2511.99</c:v>
                </c:pt>
                <c:pt idx="32">
                  <c:v>2512.39</c:v>
                </c:pt>
                <c:pt idx="33">
                  <c:v>2492.28</c:v>
                </c:pt>
                <c:pt idx="34">
                  <c:v>2455.1</c:v>
                </c:pt>
                <c:pt idx="35">
                  <c:v>2459.33</c:v>
                </c:pt>
                <c:pt idx="36">
                  <c:v>2508.23</c:v>
                </c:pt>
                <c:pt idx="37">
                  <c:v>2505.19</c:v>
                </c:pt>
                <c:pt idx="38">
                  <c:v>2476.5</c:v>
                </c:pt>
                <c:pt idx="39">
                  <c:v>2462.92</c:v>
                </c:pt>
                <c:pt idx="40">
                  <c:v>2455.1</c:v>
                </c:pt>
                <c:pt idx="41">
                  <c:v>2500.46</c:v>
                </c:pt>
                <c:pt idx="42">
                  <c:v>2497.7</c:v>
                </c:pt>
                <c:pt idx="43">
                  <c:v>2520.35</c:v>
                </c:pt>
                <c:pt idx="44">
                  <c:v>2520.84</c:v>
                </c:pt>
                <c:pt idx="45">
                  <c:v>2516.27</c:v>
                </c:pt>
                <c:pt idx="46">
                  <c:v>2517.46</c:v>
                </c:pt>
                <c:pt idx="47">
                  <c:v>2524.35</c:v>
                </c:pt>
                <c:pt idx="48">
                  <c:v>2524.35</c:v>
                </c:pt>
                <c:pt idx="49">
                  <c:v>2524.35</c:v>
                </c:pt>
              </c:numCache>
            </c:numRef>
          </c:yVal>
          <c:smooth val="1"/>
        </c:ser>
        <c:dLbls>
          <c:showLegendKey val="0"/>
          <c:showVal val="0"/>
          <c:showCatName val="0"/>
          <c:showSerName val="0"/>
          <c:showPercent val="0"/>
          <c:showBubbleSize val="0"/>
        </c:dLbls>
        <c:axId val="1767501295"/>
        <c:axId val="1767498799"/>
      </c:scatterChart>
      <c:valAx>
        <c:axId val="17675012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速度（</a:t>
                </a:r>
                <a:r>
                  <a:rPr lang="en-US" altLang="zh-CN"/>
                  <a:t>m/s</a:t>
                </a:r>
                <a:r>
                  <a:rPr lang="zh-CN" altLang="en-US"/>
                  <a:t>）</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67498799"/>
        <c:crosses val="autoZero"/>
        <c:crossBetween val="midCat"/>
      </c:valAx>
      <c:valAx>
        <c:axId val="1767498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功率（</a:t>
                </a:r>
                <a:r>
                  <a:rPr lang="en-US" altLang="zh-CN"/>
                  <a:t>kW</a:t>
                </a:r>
                <a:r>
                  <a:rPr lang="zh-CN" altLang="en-US"/>
                  <a:t>）</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67501295"/>
        <c:crosses val="autoZero"/>
        <c:crossBetween val="midCat"/>
      </c:valAx>
      <c:spPr>
        <a:noFill/>
        <a:ln>
          <a:noFill/>
        </a:ln>
        <a:effectLst/>
      </c:spPr>
    </c:plotArea>
    <c:legend>
      <c:legendPos val="b"/>
      <c:layout>
        <c:manualLayout>
          <c:xMode val="edge"/>
          <c:yMode val="edge"/>
          <c:x val="0.608355405730797"/>
          <c:y val="0.549262206835406"/>
          <c:w val="0.34673729833855"/>
          <c:h val="0.0754026725211627"/>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金风</a:t>
            </a:r>
            <a:r>
              <a:rPr lang="en-US" altLang="zh-CN"/>
              <a:t>2.5MW</a:t>
            </a:r>
            <a:endParaRPr lang="en-US" altLang="zh-CN"/>
          </a:p>
        </c:rich>
      </c:tx>
      <c:layout>
        <c:manualLayout>
          <c:xMode val="edge"/>
          <c:yMode val="edge"/>
          <c:x val="0.40831919246309"/>
          <c:y val="0.0247678018575851"/>
        </c:manualLayout>
      </c:layout>
      <c:overlay val="0"/>
      <c:spPr>
        <a:noFill/>
        <a:ln>
          <a:noFill/>
        </a:ln>
        <a:effectLst/>
      </c:spPr>
    </c:title>
    <c:autoTitleDeleted val="0"/>
    <c:plotArea>
      <c:layout>
        <c:manualLayout>
          <c:layoutTarget val="inner"/>
          <c:xMode val="edge"/>
          <c:yMode val="edge"/>
          <c:x val="0.301511287732424"/>
          <c:y val="0.131406190325281"/>
          <c:w val="0.411424811965925"/>
          <c:h val="0.705323939770687"/>
        </c:manualLayout>
      </c:layout>
      <c:pieChart>
        <c:varyColors val="1"/>
        <c:ser>
          <c:idx val="0"/>
          <c:order val="0"/>
          <c:tx>
            <c:strRef>
              <c:f>Sheet1!$B$1</c:f>
              <c:strCache>
                <c:ptCount val="1"/>
                <c:pt idx="0">
                  <c:v>2.5MW</c:v>
                </c:pt>
              </c:strCache>
            </c:strRef>
          </c:tx>
          <c:spPr/>
          <c:explosion val="0"/>
          <c:dPt>
            <c:idx val="0"/>
            <c:bubble3D val="0"/>
            <c:spPr>
              <a:solidFill>
                <a:schemeClr val="accent6">
                  <a:tint val="58000"/>
                </a:schemeClr>
              </a:solidFill>
              <a:ln w="19050">
                <a:solidFill>
                  <a:schemeClr val="lt1"/>
                </a:solidFill>
              </a:ln>
              <a:effectLst/>
            </c:spPr>
          </c:dPt>
          <c:dPt>
            <c:idx val="1"/>
            <c:bubble3D val="0"/>
            <c:spPr>
              <a:solidFill>
                <a:schemeClr val="accent6">
                  <a:tint val="86000"/>
                </a:schemeClr>
              </a:solidFill>
              <a:ln w="19050">
                <a:solidFill>
                  <a:schemeClr val="lt1"/>
                </a:solidFill>
              </a:ln>
              <a:effectLst/>
            </c:spPr>
          </c:dPt>
          <c:dPt>
            <c:idx val="2"/>
            <c:bubble3D val="0"/>
            <c:spPr>
              <a:solidFill>
                <a:schemeClr val="accent6">
                  <a:shade val="86000"/>
                </a:schemeClr>
              </a:solidFill>
              <a:ln w="19050">
                <a:solidFill>
                  <a:schemeClr val="lt1"/>
                </a:solidFill>
              </a:ln>
              <a:effectLst/>
            </c:spPr>
          </c:dPt>
          <c:dPt>
            <c:idx val="3"/>
            <c:bubble3D val="0"/>
            <c:spPr>
              <a:solidFill>
                <a:schemeClr val="accent6">
                  <a:shade val="58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14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优</c:v>
                </c:pt>
                <c:pt idx="1">
                  <c:v>良</c:v>
                </c:pt>
                <c:pt idx="2">
                  <c:v>中</c:v>
                </c:pt>
                <c:pt idx="3">
                  <c:v>差</c:v>
                </c:pt>
              </c:strCache>
            </c:strRef>
          </c:cat>
          <c:val>
            <c:numRef>
              <c:f>Sheet1!$B$2:$B$5</c:f>
              <c:numCache>
                <c:formatCode>0.00%</c:formatCode>
                <c:ptCount val="4"/>
                <c:pt idx="0">
                  <c:v>0.178</c:v>
                </c:pt>
                <c:pt idx="1">
                  <c:v>0.286</c:v>
                </c:pt>
                <c:pt idx="2">
                  <c:v>0.392</c:v>
                </c:pt>
                <c:pt idx="3">
                  <c:v>0.142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14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金风</a:t>
            </a:r>
            <a:r>
              <a:rPr lang="en-US" altLang="zh-CN"/>
              <a:t>2.5MW</a:t>
            </a:r>
            <a:endParaRPr lang="en-US" altLang="zh-CN"/>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2.5MW</c:v>
                </c:pt>
              </c:strCache>
            </c:strRef>
          </c:tx>
          <c:spPr>
            <a:solidFill>
              <a:schemeClr val="accent1"/>
            </a:solidFill>
            <a:ln>
              <a:noFill/>
            </a:ln>
            <a:effectLst/>
          </c:spPr>
          <c:invertIfNegative val="0"/>
          <c:dLbls>
            <c:delete val="1"/>
          </c:dLbls>
          <c:cat>
            <c:strRef>
              <c:f>Sheet1!$A$2:$A$5</c:f>
              <c:strCache>
                <c:ptCount val="4"/>
                <c:pt idx="0">
                  <c:v>80-100</c:v>
                </c:pt>
                <c:pt idx="1">
                  <c:v>60-80</c:v>
                </c:pt>
                <c:pt idx="2">
                  <c:v>50-60</c:v>
                </c:pt>
                <c:pt idx="3">
                  <c:v>&lt;50</c:v>
                </c:pt>
              </c:strCache>
            </c:strRef>
          </c:cat>
          <c:val>
            <c:numRef>
              <c:f>Sheet1!$B$2:$B$5</c:f>
              <c:numCache>
                <c:formatCode>General</c:formatCode>
                <c:ptCount val="4"/>
                <c:pt idx="0">
                  <c:v>24</c:v>
                </c:pt>
                <c:pt idx="1">
                  <c:v>3</c:v>
                </c:pt>
                <c:pt idx="2">
                  <c:v>0</c:v>
                </c:pt>
                <c:pt idx="3">
                  <c:v>1</c:v>
                </c:pt>
              </c:numCache>
            </c:numRef>
          </c:val>
        </c:ser>
        <c:dLbls>
          <c:showLegendKey val="0"/>
          <c:showVal val="0"/>
          <c:showCatName val="0"/>
          <c:showSerName val="0"/>
          <c:showPercent val="0"/>
          <c:showBubbleSize val="0"/>
        </c:dLbls>
        <c:gapWidth val="219"/>
        <c:overlap val="-27"/>
        <c:axId val="1482298175"/>
        <c:axId val="1482296095"/>
      </c:barChart>
      <c:catAx>
        <c:axId val="1482298175"/>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Fg</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82296095"/>
        <c:crosses val="autoZero"/>
        <c:auto val="1"/>
        <c:lblAlgn val="ctr"/>
        <c:lblOffset val="100"/>
        <c:noMultiLvlLbl val="0"/>
      </c:catAx>
      <c:valAx>
        <c:axId val="1482296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机组数量</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822981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400" b="0" i="0" u="none" strike="noStrike" kern="1200" cap="none" spc="0" normalizeH="0" baseline="0">
                    <a:solidFill>
                      <a:schemeClr val="tx1"/>
                    </a:solidFill>
                    <a:uFill>
                      <a:solidFill>
                        <a:schemeClr val="tx1"/>
                      </a:solidFill>
                    </a:u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'[各场站理论风功率曲线（厂家提供）.xlsx]Sheet23'!$B$82:$B$86</c:f>
              <c:strCache>
                <c:ptCount val="5"/>
                <c:pt idx="0">
                  <c:v>-15~-10</c:v>
                </c:pt>
                <c:pt idx="1">
                  <c:v>-10~-5</c:v>
                </c:pt>
                <c:pt idx="2">
                  <c:v>-5~0</c:v>
                </c:pt>
                <c:pt idx="3">
                  <c:v>0~5</c:v>
                </c:pt>
                <c:pt idx="4">
                  <c:v>5~10</c:v>
                </c:pt>
              </c:strCache>
            </c:strRef>
          </c:cat>
          <c:val>
            <c:numRef>
              <c:f>'[各场站理论风功率曲线（厂家提供）.xlsx]Sheet23'!$C$82:$C$86</c:f>
              <c:numCache>
                <c:formatCode>General</c:formatCode>
                <c:ptCount val="5"/>
                <c:pt idx="0">
                  <c:v>0</c:v>
                </c:pt>
                <c:pt idx="1">
                  <c:v>1</c:v>
                </c:pt>
                <c:pt idx="2">
                  <c:v>33</c:v>
                </c:pt>
                <c:pt idx="3">
                  <c:v>5</c:v>
                </c:pt>
                <c:pt idx="4">
                  <c:v>0</c:v>
                </c:pt>
              </c:numCache>
            </c:numRef>
          </c:val>
        </c:ser>
        <c:dLbls>
          <c:showLegendKey val="0"/>
          <c:showVal val="1"/>
          <c:showCatName val="0"/>
          <c:showSerName val="0"/>
          <c:showPercent val="0"/>
          <c:showBubbleSize val="0"/>
        </c:dLbls>
        <c:gapWidth val="219"/>
        <c:overlap val="-27"/>
        <c:axId val="568638801"/>
        <c:axId val="140833574"/>
      </c:barChart>
      <c:catAx>
        <c:axId val="568638801"/>
        <c:scaling>
          <c:orientation val="minMax"/>
        </c:scaling>
        <c:delete val="0"/>
        <c:axPos val="b"/>
        <c:title>
          <c:tx>
            <c:rich>
              <a:bodyPr rot="0" spcFirstLastPara="1" vertOverflow="ellipsis" vert="horz" wrap="square" anchor="ctr" anchorCtr="1"/>
              <a:lstStyle/>
              <a:p>
                <a:pPr>
                  <a:defRPr lang="zh-CN" sz="1400" b="0" i="0" u="none" strike="noStrike" kern="1200" cap="none" spc="0" normalizeH="0" baseline="0">
                    <a:solidFill>
                      <a:schemeClr val="tx1"/>
                    </a:solidFill>
                    <a:uFill>
                      <a:solidFill>
                        <a:schemeClr val="tx1"/>
                      </a:solidFill>
                    </a:uFill>
                    <a:latin typeface="+mn-lt"/>
                    <a:ea typeface="+mn-ea"/>
                    <a:cs typeface="+mn-cs"/>
                  </a:defRPr>
                </a:pPr>
                <a:r>
                  <a:rPr lang="zh-CN" altLang="en-US"/>
                  <a:t>偏航静差</a:t>
                </a:r>
                <a:endParaRPr lang="zh-CN" altLang="en-US"/>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1400" b="0" i="0" u="none" strike="noStrike" kern="1200" cap="none" spc="0" normalizeH="0" baseline="0">
                <a:solidFill>
                  <a:schemeClr val="tx1"/>
                </a:solidFill>
                <a:uFill>
                  <a:solidFill>
                    <a:schemeClr val="tx1"/>
                  </a:solidFill>
                </a:uFill>
                <a:latin typeface="+mn-lt"/>
                <a:ea typeface="+mn-ea"/>
                <a:cs typeface="+mn-cs"/>
              </a:defRPr>
            </a:pPr>
          </a:p>
        </c:txPr>
        <c:crossAx val="140833574"/>
        <c:crosses val="autoZero"/>
        <c:auto val="1"/>
        <c:lblAlgn val="ctr"/>
        <c:lblOffset val="100"/>
        <c:noMultiLvlLbl val="0"/>
      </c:catAx>
      <c:valAx>
        <c:axId val="14083357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400" b="0" i="0" u="none" strike="noStrike" kern="1200" cap="none" spc="0" normalizeH="0" baseline="0">
                    <a:solidFill>
                      <a:schemeClr val="tx1"/>
                    </a:solidFill>
                    <a:uFill>
                      <a:solidFill>
                        <a:schemeClr val="tx1"/>
                      </a:solidFill>
                    </a:uFill>
                    <a:latin typeface="+mn-lt"/>
                    <a:ea typeface="+mn-ea"/>
                    <a:cs typeface="+mn-cs"/>
                  </a:defRPr>
                </a:pPr>
                <a:r>
                  <a:rPr lang="zh-CN" altLang="en-US"/>
                  <a:t>机组数量</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1400" b="0" i="0" u="none" strike="noStrike" kern="1200" cap="none" spc="0" normalizeH="0" baseline="0">
                <a:solidFill>
                  <a:schemeClr val="tx1"/>
                </a:solidFill>
                <a:uFill>
                  <a:solidFill>
                    <a:schemeClr val="tx1"/>
                  </a:solidFill>
                </a:uFill>
                <a:latin typeface="+mn-lt"/>
                <a:ea typeface="+mn-ea"/>
                <a:cs typeface="+mn-cs"/>
              </a:defRPr>
            </a:pPr>
          </a:p>
        </c:txPr>
        <c:crossAx val="56863880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1400" b="0" u="none" strike="noStrike" kern="1200" cap="none" spc="0" normalizeH="0">
          <a:solidFill>
            <a:schemeClr val="tx1"/>
          </a:solidFill>
          <a:uFill>
            <a:solidFill>
              <a:schemeClr val="tx1"/>
            </a:solidFill>
          </a:uFill>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F080</a:t>
            </a:r>
            <a:endParaRPr lang="en-US" altLang="zh-CN"/>
          </a:p>
        </c:rich>
      </c:tx>
      <c:layout/>
      <c:overlay val="0"/>
      <c:spPr>
        <a:noFill/>
        <a:ln>
          <a:noFill/>
        </a:ln>
        <a:effectLst/>
      </c:spPr>
    </c:title>
    <c:autoTitleDeleted val="0"/>
    <c:plotArea>
      <c:layout/>
      <c:lineChart>
        <c:grouping val="standard"/>
        <c:varyColors val="0"/>
        <c:ser>
          <c:idx val="0"/>
          <c:order val="0"/>
          <c:tx>
            <c:strRef>
              <c:f>'\Users\LENOVO\Desktop\冀北相关文档合并2021-08-11\[各场站理论风功率曲线（厂家提供）.xlsx]Sheet34'!$E$1</c:f>
              <c:strCache>
                <c:ptCount val="1"/>
                <c:pt idx="0">
                  <c:v>实际功率曲线</c:v>
                </c:pt>
              </c:strCache>
            </c:strRef>
          </c:tx>
          <c:spPr>
            <a:ln w="28575" cap="rnd">
              <a:solidFill>
                <a:schemeClr val="accent2"/>
              </a:solidFill>
              <a:round/>
            </a:ln>
            <a:effectLst/>
          </c:spPr>
          <c:marker>
            <c:symbol val="none"/>
          </c:marker>
          <c:dLbls>
            <c:delete val="1"/>
          </c:dLbls>
          <c:cat>
            <c:numRef>
              <c:f>'\Users\LENOVO\Desktop\冀北相关文档合并2021-08-11\[各场站理论风功率曲线（厂家提供）.xlsx]Sheet34'!$D$2:$D$32</c:f>
              <c:numCache>
                <c:formatCode>General</c:formatCode>
                <c:ptCount val="3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numCache>
            </c:numRef>
          </c:cat>
          <c:val>
            <c:numRef>
              <c:f>'\Users\LENOVO\Desktop\冀北相关文档合并2021-08-11\[各场站理论风功率曲线（厂家提供）.xlsx]Sheet34'!$E$2:$E$32</c:f>
              <c:numCache>
                <c:formatCode>General</c:formatCode>
                <c:ptCount val="31"/>
                <c:pt idx="0">
                  <c:v>0</c:v>
                </c:pt>
                <c:pt idx="1">
                  <c:v>19.6</c:v>
                </c:pt>
                <c:pt idx="2">
                  <c:v>44.04</c:v>
                </c:pt>
                <c:pt idx="3">
                  <c:v>57.54</c:v>
                </c:pt>
                <c:pt idx="4">
                  <c:v>109.31</c:v>
                </c:pt>
                <c:pt idx="5">
                  <c:v>73.31</c:v>
                </c:pt>
                <c:pt idx="6">
                  <c:v>113.19</c:v>
                </c:pt>
                <c:pt idx="7">
                  <c:v>161.09</c:v>
                </c:pt>
                <c:pt idx="8">
                  <c:v>203.49</c:v>
                </c:pt>
                <c:pt idx="9">
                  <c:v>283.7</c:v>
                </c:pt>
                <c:pt idx="10">
                  <c:v>415.02</c:v>
                </c:pt>
                <c:pt idx="11">
                  <c:v>542.72</c:v>
                </c:pt>
                <c:pt idx="12">
                  <c:v>703.68</c:v>
                </c:pt>
                <c:pt idx="13">
                  <c:v>877.78</c:v>
                </c:pt>
                <c:pt idx="14">
                  <c:v>1071.43</c:v>
                </c:pt>
                <c:pt idx="15">
                  <c:v>1265.35</c:v>
                </c:pt>
                <c:pt idx="16">
                  <c:v>1396.55</c:v>
                </c:pt>
                <c:pt idx="17">
                  <c:v>1520.55</c:v>
                </c:pt>
                <c:pt idx="18">
                  <c:v>1686.46</c:v>
                </c:pt>
                <c:pt idx="19">
                  <c:v>2035.8</c:v>
                </c:pt>
                <c:pt idx="20">
                  <c:v>2217.99</c:v>
                </c:pt>
                <c:pt idx="21">
                  <c:v>2346.51</c:v>
                </c:pt>
                <c:pt idx="22">
                  <c:v>2468.22</c:v>
                </c:pt>
                <c:pt idx="23">
                  <c:v>2491.58</c:v>
                </c:pt>
                <c:pt idx="24">
                  <c:v>2502.41</c:v>
                </c:pt>
                <c:pt idx="25">
                  <c:v>2516.06</c:v>
                </c:pt>
                <c:pt idx="26">
                  <c:v>2516.12</c:v>
                </c:pt>
                <c:pt idx="27">
                  <c:v>2520.2</c:v>
                </c:pt>
                <c:pt idx="28">
                  <c:v>2519.19</c:v>
                </c:pt>
                <c:pt idx="29">
                  <c:v>2522.42</c:v>
                </c:pt>
                <c:pt idx="30">
                  <c:v>2521.4</c:v>
                </c:pt>
              </c:numCache>
            </c:numRef>
          </c:val>
          <c:smooth val="0"/>
        </c:ser>
        <c:ser>
          <c:idx val="1"/>
          <c:order val="1"/>
          <c:tx>
            <c:strRef>
              <c:f>'\Users\LENOVO\Desktop\冀北相关文档合并2021-08-11\[各场站理论风功率曲线（厂家提供）.xlsx]Sheet34'!$F$1</c:f>
              <c:strCache>
                <c:ptCount val="1"/>
                <c:pt idx="0">
                  <c:v>标准化功率曲线</c:v>
                </c:pt>
              </c:strCache>
            </c:strRef>
          </c:tx>
          <c:spPr>
            <a:ln w="28575" cap="rnd">
              <a:solidFill>
                <a:schemeClr val="accent1"/>
              </a:solidFill>
              <a:round/>
            </a:ln>
            <a:effectLst/>
          </c:spPr>
          <c:marker>
            <c:symbol val="none"/>
          </c:marker>
          <c:dLbls>
            <c:delete val="1"/>
          </c:dLbls>
          <c:cat>
            <c:numRef>
              <c:f>'\Users\LENOVO\Desktop\冀北相关文档合并2021-08-11\[各场站理论风功率曲线（厂家提供）.xlsx]Sheet34'!$D$2:$D$32</c:f>
              <c:numCache>
                <c:formatCode>General</c:formatCode>
                <c:ptCount val="3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pt idx="26">
                  <c:v>13</c:v>
                </c:pt>
                <c:pt idx="27">
                  <c:v>13.5</c:v>
                </c:pt>
                <c:pt idx="28">
                  <c:v>14</c:v>
                </c:pt>
                <c:pt idx="29">
                  <c:v>14.5</c:v>
                </c:pt>
                <c:pt idx="30">
                  <c:v>15</c:v>
                </c:pt>
              </c:numCache>
            </c:numRef>
          </c:cat>
          <c:val>
            <c:numRef>
              <c:f>'\Users\LENOVO\Desktop\冀北相关文档合并2021-08-11\[各场站理论风功率曲线（厂家提供）.xlsx]Sheet34'!$F$2:$F$32</c:f>
              <c:numCache>
                <c:formatCode>General</c:formatCode>
                <c:ptCount val="31"/>
                <c:pt idx="0">
                  <c:v>0</c:v>
                </c:pt>
                <c:pt idx="1">
                  <c:v>19.6</c:v>
                </c:pt>
                <c:pt idx="2">
                  <c:v>44.04</c:v>
                </c:pt>
                <c:pt idx="3">
                  <c:v>57.54</c:v>
                </c:pt>
                <c:pt idx="4">
                  <c:v>57.89</c:v>
                </c:pt>
                <c:pt idx="5">
                  <c:v>74.83</c:v>
                </c:pt>
                <c:pt idx="6">
                  <c:v>114.89</c:v>
                </c:pt>
                <c:pt idx="7">
                  <c:v>154.27</c:v>
                </c:pt>
                <c:pt idx="8">
                  <c:v>210.05</c:v>
                </c:pt>
                <c:pt idx="9">
                  <c:v>294.92</c:v>
                </c:pt>
                <c:pt idx="10">
                  <c:v>408.67</c:v>
                </c:pt>
                <c:pt idx="11">
                  <c:v>539.58</c:v>
                </c:pt>
                <c:pt idx="12">
                  <c:v>705.79</c:v>
                </c:pt>
                <c:pt idx="13">
                  <c:v>871.6</c:v>
                </c:pt>
                <c:pt idx="14">
                  <c:v>1068.18</c:v>
                </c:pt>
                <c:pt idx="15">
                  <c:v>1263.54</c:v>
                </c:pt>
                <c:pt idx="16">
                  <c:v>1433.17</c:v>
                </c:pt>
                <c:pt idx="17">
                  <c:v>1638.34</c:v>
                </c:pt>
                <c:pt idx="18">
                  <c:v>1852.27</c:v>
                </c:pt>
                <c:pt idx="19">
                  <c:v>2024.79</c:v>
                </c:pt>
                <c:pt idx="20">
                  <c:v>2214.79</c:v>
                </c:pt>
                <c:pt idx="21">
                  <c:v>2346.93</c:v>
                </c:pt>
                <c:pt idx="22">
                  <c:v>2463.63</c:v>
                </c:pt>
                <c:pt idx="23">
                  <c:v>2495.2</c:v>
                </c:pt>
                <c:pt idx="24">
                  <c:v>2510.36</c:v>
                </c:pt>
                <c:pt idx="25">
                  <c:v>2515.64</c:v>
                </c:pt>
                <c:pt idx="26">
                  <c:v>2517.11</c:v>
                </c:pt>
                <c:pt idx="27">
                  <c:v>2519.38</c:v>
                </c:pt>
                <c:pt idx="28">
                  <c:v>2518.72</c:v>
                </c:pt>
                <c:pt idx="29">
                  <c:v>2518.69</c:v>
                </c:pt>
                <c:pt idx="30">
                  <c:v>2519.57</c:v>
                </c:pt>
              </c:numCache>
            </c:numRef>
          </c:val>
          <c:smooth val="0"/>
        </c:ser>
        <c:dLbls>
          <c:showLegendKey val="0"/>
          <c:showVal val="0"/>
          <c:showCatName val="0"/>
          <c:showSerName val="0"/>
          <c:showPercent val="0"/>
          <c:showBubbleSize val="0"/>
        </c:dLbls>
        <c:marker val="0"/>
        <c:smooth val="0"/>
        <c:axId val="123772693"/>
        <c:axId val="726664991"/>
      </c:lineChart>
      <c:catAx>
        <c:axId val="123772693"/>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风速（</a:t>
                </a:r>
                <a:r>
                  <a:rPr lang="en-US" altLang="zh-CN"/>
                  <a:t>m/s</a:t>
                </a:r>
                <a:r>
                  <a:rPr lang="zh-CN" altLang="en-US"/>
                  <a:t>）</a:t>
                </a:r>
                <a:endParaRPr lang="zh-CN" altLang="en-US"/>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6664991"/>
        <c:crosses val="autoZero"/>
        <c:auto val="1"/>
        <c:lblAlgn val="ctr"/>
        <c:lblOffset val="100"/>
        <c:noMultiLvlLbl val="0"/>
      </c:catAx>
      <c:valAx>
        <c:axId val="72666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功率（</a:t>
                </a:r>
                <a:r>
                  <a:rPr lang="en-US" altLang="zh-CN"/>
                  <a:t>kW</a:t>
                </a:r>
                <a:r>
                  <a:rPr lang="zh-CN" altLang="en-US"/>
                  <a:t>）</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377269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E13C5-8305-44CE-81A3-976A66D9B863}">
  <ds:schemaRefs/>
</ds:datastoreItem>
</file>

<file path=docProps/app.xml><?xml version="1.0" encoding="utf-8"?>
<Properties xmlns="http://schemas.openxmlformats.org/officeDocument/2006/extended-properties" xmlns:vt="http://schemas.openxmlformats.org/officeDocument/2006/docPropsVTypes">
  <Template>Normal</Template>
  <Pages>56</Pages>
  <Words>10662</Words>
  <Characters>12238</Characters>
  <Lines>123</Lines>
  <Paragraphs>34</Paragraphs>
  <TotalTime>6</TotalTime>
  <ScaleCrop>false</ScaleCrop>
  <LinksUpToDate>false</LinksUpToDate>
  <CharactersWithSpaces>12420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2022-01-20T01:24:00Z</dcterms:created>
  <dc:creator>群菱李杰</dc:creator>
  <cp:lastModifiedBy>Administrator</cp:lastModifiedBy>
  <cp:lastPrinted>2016-08-31T15:57:00Z</cp:lastPrinted>
  <dcterms:modified xsi:type="dcterms:W3CDTF">2022-05-21T16:48:57Z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509E254E9C7649B6908CC15E0630E5F6</vt:lpwstr>
  </property>
</Properties>
</file>