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Times New Roman" w:asciiTheme="majorEastAsia" w:hAnsiTheme="majorEastAsia" w:eastAsiaTheme="majorEastAsia"/>
          <w:b/>
          <w:sz w:val="44"/>
          <w:szCs w:val="44"/>
        </w:rPr>
      </w:pPr>
      <w:bookmarkStart w:id="0" w:name="_Hlk90637520"/>
      <w:bookmarkEnd w:id="0"/>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r>
        <w:rPr>
          <w:rFonts w:hint="eastAsia" w:cs="Times New Roman" w:asciiTheme="majorEastAsia" w:hAnsiTheme="majorEastAsia" w:eastAsiaTheme="majorEastAsia"/>
          <w:b/>
          <w:sz w:val="44"/>
          <w:szCs w:val="44"/>
          <w:lang w:val="en-US" w:eastAsia="zh-CN"/>
        </w:rPr>
        <w:t>{{stationName}}</w:t>
      </w:r>
      <w:r>
        <w:rPr>
          <w:rFonts w:hint="eastAsia" w:cs="Times New Roman" w:asciiTheme="majorEastAsia" w:hAnsiTheme="majorEastAsia" w:eastAsiaTheme="majorEastAsia"/>
          <w:b/>
          <w:sz w:val="44"/>
          <w:szCs w:val="44"/>
        </w:rPr>
        <w:t>风电场</w:t>
      </w: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r>
        <w:rPr>
          <w:rFonts w:hint="eastAsia" w:cs="Times New Roman" w:asciiTheme="majorEastAsia" w:hAnsiTheme="majorEastAsia" w:eastAsiaTheme="majorEastAsia"/>
          <w:b/>
          <w:sz w:val="44"/>
          <w:szCs w:val="44"/>
          <w:lang w:val="en-US" w:eastAsia="zh-CN"/>
        </w:rPr>
        <w:t>{{reportYear}}</w:t>
      </w:r>
      <w:r>
        <w:rPr>
          <w:rFonts w:hint="eastAsia" w:cs="Times New Roman" w:asciiTheme="majorEastAsia" w:hAnsiTheme="majorEastAsia" w:eastAsiaTheme="majorEastAsia"/>
          <w:b/>
          <w:sz w:val="44"/>
          <w:szCs w:val="44"/>
        </w:rPr>
        <w:t>年第</w:t>
      </w:r>
      <w:r>
        <w:rPr>
          <w:rFonts w:hint="eastAsia" w:cs="Times New Roman" w:asciiTheme="majorEastAsia" w:hAnsiTheme="majorEastAsia" w:eastAsiaTheme="majorEastAsia"/>
          <w:b/>
          <w:sz w:val="44"/>
          <w:szCs w:val="44"/>
          <w:lang w:val="en-US" w:eastAsia="zh-CN"/>
        </w:rPr>
        <w:t>{{reportQuarter}}</w:t>
      </w:r>
      <w:r>
        <w:rPr>
          <w:rFonts w:hint="eastAsia" w:cs="Times New Roman" w:asciiTheme="majorEastAsia" w:hAnsiTheme="majorEastAsia" w:eastAsiaTheme="majorEastAsia"/>
          <w:b/>
          <w:sz w:val="44"/>
          <w:szCs w:val="44"/>
        </w:rPr>
        <w:t>季度运行性能评估分析报告</w:t>
      </w: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rPr>
        <w:t>国网冀北电力有限公司电力科学研究院</w:t>
      </w:r>
    </w:p>
    <w:p>
      <w:pPr>
        <w:spacing w:line="360" w:lineRule="auto"/>
        <w:jc w:val="center"/>
        <w:rPr>
          <w:rFonts w:cs="Times New Roman" w:asciiTheme="majorEastAsia" w:hAnsiTheme="majorEastAsia" w:eastAsiaTheme="majorEastAsia"/>
          <w:b/>
          <w:sz w:val="32"/>
        </w:rPr>
      </w:pP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lang w:val="en-US" w:eastAsia="zh-CN"/>
        </w:rPr>
        <w:t>{{createYear}}</w:t>
      </w:r>
      <w:r>
        <w:rPr>
          <w:rFonts w:hint="eastAsia" w:cs="Times New Roman" w:asciiTheme="majorEastAsia" w:hAnsiTheme="majorEastAsia" w:eastAsiaTheme="majorEastAsia"/>
          <w:b/>
          <w:sz w:val="32"/>
        </w:rPr>
        <w:t>年</w:t>
      </w:r>
      <w:r>
        <w:rPr>
          <w:rFonts w:hint="eastAsia" w:cs="Times New Roman" w:asciiTheme="majorEastAsia" w:hAnsiTheme="majorEastAsia" w:eastAsiaTheme="majorEastAsia"/>
          <w:b/>
          <w:sz w:val="32"/>
          <w:lang w:val="en-US" w:eastAsia="zh-CN"/>
        </w:rPr>
        <w:t>{{createMonth}}</w:t>
      </w:r>
      <w:r>
        <w:rPr>
          <w:rFonts w:hint="eastAsia" w:cs="Times New Roman" w:asciiTheme="majorEastAsia" w:hAnsiTheme="majorEastAsia" w:eastAsiaTheme="majorEastAsia"/>
          <w:b/>
          <w:sz w:val="32"/>
        </w:rPr>
        <w:t>月</w:t>
      </w: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rPr>
        <w:t>目 录</w:t>
      </w:r>
    </w:p>
    <w:p>
      <w:pPr>
        <w:spacing w:line="360" w:lineRule="auto"/>
        <w:jc w:val="center"/>
        <w:rPr>
          <w:rFonts w:cs="Times New Roman" w:asciiTheme="majorEastAsia" w:hAnsiTheme="majorEastAsia" w:eastAsiaTheme="majorEastAsia"/>
          <w:b/>
          <w:sz w:val="32"/>
        </w:rPr>
      </w:pPr>
    </w:p>
    <w:p>
      <w:pPr>
        <w:pStyle w:val="30"/>
        <w:rPr>
          <w:rFonts w:asciiTheme="minorHAnsi" w:hAnsiTheme="minorHAnsi" w:eastAsiaTheme="minorEastAsia" w:cstheme="minorBidi"/>
          <w:b w:val="0"/>
          <w:sz w:val="21"/>
          <w:szCs w:val="22"/>
        </w:rPr>
      </w:pPr>
      <w:r>
        <w:rPr>
          <w:rFonts w:hint="eastAsia" w:asciiTheme="majorEastAsia" w:hAnsiTheme="majorEastAsia" w:eastAsiaTheme="majorEastAsia"/>
          <w:b w:val="0"/>
        </w:rPr>
        <w:fldChar w:fldCharType="begin"/>
      </w:r>
      <w:r>
        <w:rPr>
          <w:rFonts w:hint="eastAsia" w:asciiTheme="majorEastAsia" w:hAnsiTheme="majorEastAsia" w:eastAsiaTheme="majorEastAsia"/>
          <w:b w:val="0"/>
        </w:rPr>
        <w:instrText xml:space="preserve"> TOC \o "1-3" \h \z \u </w:instrText>
      </w:r>
      <w:r>
        <w:rPr>
          <w:rFonts w:hint="eastAsia" w:asciiTheme="majorEastAsia" w:hAnsiTheme="majorEastAsia" w:eastAsiaTheme="majorEastAsia"/>
          <w:b w:val="0"/>
        </w:rPr>
        <w:fldChar w:fldCharType="separate"/>
      </w:r>
      <w:r>
        <w:fldChar w:fldCharType="begin"/>
      </w:r>
      <w:r>
        <w:instrText xml:space="preserve"> HYPERLINK \l "_Toc93583517" </w:instrText>
      </w:r>
      <w:r>
        <w:fldChar w:fldCharType="separate"/>
      </w:r>
      <w:r>
        <w:rPr>
          <w:rStyle w:val="46"/>
          <w:rFonts w:asciiTheme="majorEastAsia" w:hAnsiTheme="majorEastAsia" w:eastAsiaTheme="majorEastAsia"/>
          <w:bCs/>
        </w:rPr>
        <w:t>一、概述</w:t>
      </w:r>
      <w:r>
        <w:tab/>
      </w:r>
      <w:r>
        <w:fldChar w:fldCharType="begin"/>
      </w:r>
      <w:r>
        <w:instrText xml:space="preserve"> PAGEREF _Toc93583517 \h </w:instrText>
      </w:r>
      <w:r>
        <w:fldChar w:fldCharType="separate"/>
      </w:r>
      <w:r>
        <w:t>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"_Toc93583518" </w:instrText>
      </w:r>
      <w:r>
        <w:fldChar w:fldCharType="separate"/>
      </w:r>
      <w:r>
        <w:rPr>
          <w:rStyle w:val="46"/>
          <w:rFonts w:asciiTheme="majorEastAsia" w:hAnsiTheme="majorEastAsia" w:eastAsiaTheme="majorEastAsia"/>
          <w:bCs/>
        </w:rPr>
        <w:t>二、风电场运行情况分析</w:t>
      </w:r>
      <w:r>
        <w:tab/>
      </w:r>
      <w:r>
        <w:fldChar w:fldCharType="begin"/>
      </w:r>
      <w:r>
        <w:instrText xml:space="preserve"> PAGEREF _Toc93583518 \h </w:instrText>
      </w:r>
      <w:r>
        <w:fldChar w:fldCharType="separate"/>
      </w:r>
      <w:r>
        <w:t>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"_Toc93583519" </w:instrText>
      </w:r>
      <w:r>
        <w:fldChar w:fldCharType="separate"/>
      </w:r>
      <w:r>
        <w:rPr>
          <w:rStyle w:val="46"/>
          <w:rFonts w:ascii="Times New Roman" w:eastAsia="宋体"/>
          <w:bCs/>
        </w:rPr>
        <w:t>2.1 发电量分析</w:t>
      </w:r>
      <w:r>
        <w:tab/>
      </w:r>
      <w:r>
        <w:fldChar w:fldCharType="begin"/>
      </w:r>
      <w:r>
        <w:instrText xml:space="preserve"> PAGEREF _Toc93583519 \h </w:instrText>
      </w:r>
      <w:r>
        <w:fldChar w:fldCharType="separate"/>
      </w:r>
      <w:r>
        <w:t>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"_Toc93583520" </w:instrText>
      </w:r>
      <w:r>
        <w:fldChar w:fldCharType="separate"/>
      </w:r>
      <w:r>
        <w:rPr>
          <w:rStyle w:val="46"/>
        </w:rPr>
        <w:t>2.1.1月度电量分析</w:t>
      </w:r>
      <w:r>
        <w:tab/>
      </w:r>
      <w:r>
        <w:fldChar w:fldCharType="begin"/>
      </w:r>
      <w:r>
        <w:instrText xml:space="preserve"> PAGEREF _Toc93583520 \h </w:instrText>
      </w:r>
      <w:r>
        <w:fldChar w:fldCharType="separate"/>
      </w:r>
      <w:r>
        <w:t>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"_Toc93583521" </w:instrText>
      </w:r>
      <w:r>
        <w:fldChar w:fldCharType="separate"/>
      </w:r>
      <w:r>
        <w:rPr>
          <w:rStyle w:val="46"/>
        </w:rPr>
        <w:t>2.1.2机组发电量排名</w:t>
      </w:r>
      <w:r>
        <w:tab/>
      </w:r>
      <w:r>
        <w:fldChar w:fldCharType="begin"/>
      </w:r>
      <w:r>
        <w:instrText xml:space="preserve"> PAGEREF _Toc93583521 \h </w:instrText>
      </w:r>
      <w:r>
        <w:fldChar w:fldCharType="separate"/>
      </w:r>
      <w:r>
        <w:t>5</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"_Toc93583522" </w:instrText>
      </w:r>
      <w:r>
        <w:fldChar w:fldCharType="separate"/>
      </w:r>
      <w:r>
        <w:rPr>
          <w:rStyle w:val="46"/>
          <w:rFonts w:ascii="Times New Roman" w:eastAsia="宋体"/>
          <w:bCs/>
        </w:rPr>
        <w:t>2.2 运行小时数分析</w:t>
      </w:r>
      <w:r>
        <w:tab/>
      </w:r>
      <w:r>
        <w:fldChar w:fldCharType="begin"/>
      </w:r>
      <w:r>
        <w:instrText xml:space="preserve"> PAGEREF _Toc93583522 \h </w:instrText>
      </w:r>
      <w:r>
        <w:fldChar w:fldCharType="separate"/>
      </w:r>
      <w:r>
        <w:t>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"_Toc93583523" </w:instrText>
      </w:r>
      <w:r>
        <w:fldChar w:fldCharType="separate"/>
      </w:r>
      <w:r>
        <w:rPr>
          <w:rStyle w:val="46"/>
          <w:rFonts w:ascii="Times New Roman" w:eastAsia="宋体"/>
          <w:bCs/>
        </w:rPr>
        <w:t>2.3 故障分析</w:t>
      </w:r>
      <w:r>
        <w:tab/>
      </w:r>
      <w:r>
        <w:fldChar w:fldCharType="begin"/>
      </w:r>
      <w:r>
        <w:instrText xml:space="preserve"> PAGEREF _Toc93583523 \h </w:instrText>
      </w:r>
      <w:r>
        <w:fldChar w:fldCharType="separate"/>
      </w:r>
      <w:r>
        <w:t>9</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"_Toc93583524" </w:instrText>
      </w:r>
      <w:r>
        <w:fldChar w:fldCharType="separate"/>
      </w:r>
      <w:r>
        <w:rPr>
          <w:rStyle w:val="46"/>
        </w:rPr>
        <w:t>2.3.1故障情况统计</w:t>
      </w:r>
      <w:r>
        <w:tab/>
      </w:r>
      <w:r>
        <w:fldChar w:fldCharType="begin"/>
      </w:r>
      <w:r>
        <w:instrText xml:space="preserve"> PAGEREF _Toc93583524 \h </w:instrText>
      </w:r>
      <w:r>
        <w:fldChar w:fldCharType="separate"/>
      </w:r>
      <w:r>
        <w:t>9</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"_Toc93583525" </w:instrText>
      </w:r>
      <w:r>
        <w:fldChar w:fldCharType="separate"/>
      </w:r>
      <w:r>
        <w:rPr>
          <w:rStyle w:val="46"/>
        </w:rPr>
        <w:t>2.3.2故障指标分析</w:t>
      </w:r>
      <w:r>
        <w:tab/>
      </w:r>
      <w:r>
        <w:fldChar w:fldCharType="begin"/>
      </w:r>
      <w:r>
        <w:instrText xml:space="preserve"> PAGEREF _Toc93583525 \h </w:instrText>
      </w:r>
      <w:r>
        <w:fldChar w:fldCharType="separate"/>
      </w:r>
      <w:r>
        <w:t>12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"_Toc93583526" </w:instrText>
      </w:r>
      <w:r>
        <w:fldChar w:fldCharType="separate"/>
      </w:r>
      <w:r>
        <w:rPr>
          <w:rStyle w:val="46"/>
        </w:rPr>
        <w:t>2.3.3检修指标分析</w:t>
      </w:r>
      <w:r>
        <w:tab/>
      </w:r>
      <w:r>
        <w:fldChar w:fldCharType="begin"/>
      </w:r>
      <w:r>
        <w:instrText xml:space="preserve"> PAGEREF _Toc93583526 \h </w:instrText>
      </w:r>
      <w:r>
        <w:fldChar w:fldCharType="separate"/>
      </w:r>
      <w:r>
        <w:t>14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"_Toc93583527" </w:instrText>
      </w:r>
      <w:r>
        <w:fldChar w:fldCharType="separate"/>
      </w:r>
      <w:r>
        <w:rPr>
          <w:rStyle w:val="46"/>
          <w:rFonts w:ascii="Times New Roman" w:eastAsia="宋体"/>
          <w:bCs/>
        </w:rPr>
        <w:t>2.4 损失电量分析</w:t>
      </w:r>
      <w:r>
        <w:tab/>
      </w:r>
      <w:r>
        <w:fldChar w:fldCharType="begin"/>
      </w:r>
      <w:r>
        <w:instrText xml:space="preserve"> PAGEREF _Toc93583527 \h </w:instrText>
      </w:r>
      <w:r>
        <w:fldChar w:fldCharType="separate"/>
      </w:r>
      <w:r>
        <w:t>16</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"_Toc93583528" </w:instrText>
      </w:r>
      <w:r>
        <w:fldChar w:fldCharType="separate"/>
      </w:r>
      <w:r>
        <w:rPr>
          <w:rStyle w:val="46"/>
          <w:rFonts w:ascii="Times New Roman" w:eastAsia="宋体"/>
          <w:bCs/>
        </w:rPr>
        <w:t>2.5 小结</w:t>
      </w:r>
      <w:r>
        <w:tab/>
      </w:r>
      <w:r>
        <w:fldChar w:fldCharType="begin"/>
      </w:r>
      <w:r>
        <w:instrText xml:space="preserve"> PAGEREF _Toc93583528 \h </w:instrText>
      </w:r>
      <w:r>
        <w:fldChar w:fldCharType="separate"/>
      </w:r>
      <w:r>
        <w:t>17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"_Toc93583529" </w:instrText>
      </w:r>
      <w:r>
        <w:fldChar w:fldCharType="separate"/>
      </w:r>
      <w:r>
        <w:rPr>
          <w:rStyle w:val="46"/>
          <w:rFonts w:asciiTheme="majorEastAsia" w:hAnsiTheme="majorEastAsia" w:eastAsiaTheme="majorEastAsia"/>
          <w:bCs/>
        </w:rPr>
        <w:t>三、风电机组发电性能评价及缺陷预警</w:t>
      </w:r>
      <w:r>
        <w:tab/>
      </w:r>
      <w:r>
        <w:fldChar w:fldCharType="begin"/>
      </w:r>
      <w:r>
        <w:instrText xml:space="preserve"> PAGEREF _Toc93583529 \h </w:instrText>
      </w:r>
      <w:r>
        <w:fldChar w:fldCharType="separate"/>
      </w:r>
      <w:r>
        <w:t>18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"_Toc93583530" </w:instrText>
      </w:r>
      <w:r>
        <w:fldChar w:fldCharType="separate"/>
      </w:r>
      <w:r>
        <w:rPr>
          <w:rStyle w:val="46"/>
          <w:rFonts w:ascii="Times New Roman" w:eastAsia="宋体"/>
          <w:bCs/>
        </w:rPr>
        <w:t>3.1 发电性能一致性分析</w:t>
      </w:r>
      <w:r>
        <w:tab/>
      </w:r>
      <w:r>
        <w:fldChar w:fldCharType="begin"/>
      </w:r>
      <w:r>
        <w:instrText xml:space="preserve"> PAGEREF _Toc93583530 \h </w:instrText>
      </w:r>
      <w:r>
        <w:fldChar w:fldCharType="separate"/>
      </w:r>
      <w:r>
        <w:t>18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"_Toc93583531" </w:instrText>
      </w:r>
      <w:r>
        <w:fldChar w:fldCharType="separate"/>
      </w:r>
      <w:r>
        <w:rPr>
          <w:rStyle w:val="46"/>
          <w:rFonts w:ascii="Times New Roman" w:eastAsia="宋体"/>
          <w:bCs/>
        </w:rPr>
        <w:t>3.2 发电能力指标Fg分析</w:t>
      </w:r>
      <w:r>
        <w:tab/>
      </w:r>
      <w:r>
        <w:fldChar w:fldCharType="begin"/>
      </w:r>
      <w:r>
        <w:instrText xml:space="preserve"> PAGEREF _Toc93583531 \h </w:instrText>
      </w:r>
      <w:r>
        <w:fldChar w:fldCharType="separate"/>
      </w:r>
      <w:r>
        <w:t>22</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"_Toc93583532" </w:instrText>
      </w:r>
      <w:r>
        <w:fldChar w:fldCharType="separate"/>
      </w:r>
      <w:r>
        <w:rPr>
          <w:rStyle w:val="46"/>
          <w:rFonts w:ascii="Times New Roman" w:eastAsia="宋体"/>
          <w:bCs/>
        </w:rPr>
        <w:t>3.3 偏航静态偏差分析及预警</w:t>
      </w:r>
      <w:r>
        <w:tab/>
      </w:r>
      <w:r>
        <w:fldChar w:fldCharType="begin"/>
      </w:r>
      <w:r>
        <w:instrText xml:space="preserve"> PAGEREF _Toc93583532 \h </w:instrText>
      </w:r>
      <w:r>
        <w:fldChar w:fldCharType="separate"/>
      </w:r>
      <w:r>
        <w:t>24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"_Toc93583533" </w:instrText>
      </w:r>
      <w:r>
        <w:fldChar w:fldCharType="separate"/>
      </w:r>
      <w:r>
        <w:rPr>
          <w:rStyle w:val="46"/>
        </w:rPr>
        <w:t>3.3.1偏航静态偏差分析</w:t>
      </w:r>
      <w:r>
        <w:tab/>
      </w:r>
      <w:r>
        <w:fldChar w:fldCharType="begin"/>
      </w:r>
      <w:r>
        <w:instrText xml:space="preserve"> PAGEREF _Toc93583533 \h </w:instrText>
      </w:r>
      <w:r>
        <w:fldChar w:fldCharType="separate"/>
      </w:r>
      <w:r>
        <w:t>25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"_Toc93583534" </w:instrText>
      </w:r>
      <w:r>
        <w:fldChar w:fldCharType="separate"/>
      </w:r>
      <w:r>
        <w:rPr>
          <w:rStyle w:val="46"/>
        </w:rPr>
        <w:t>3.3.2偏航评价</w:t>
      </w:r>
      <w:r>
        <w:tab/>
      </w:r>
      <w:r>
        <w:fldChar w:fldCharType="begin"/>
      </w:r>
      <w:r>
        <w:instrText xml:space="preserve"> PAGEREF _Toc93583534 \h </w:instrText>
      </w:r>
      <w:r>
        <w:fldChar w:fldCharType="separate"/>
      </w:r>
      <w:r>
        <w:t>26</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"_Toc93583535" </w:instrText>
      </w:r>
      <w:r>
        <w:fldChar w:fldCharType="separate"/>
      </w:r>
      <w:r>
        <w:rPr>
          <w:rStyle w:val="46"/>
          <w:rFonts w:ascii="Times New Roman" w:eastAsia="宋体"/>
          <w:bCs/>
        </w:rPr>
        <w:t>3.4 小结</w:t>
      </w:r>
      <w:r>
        <w:tab/>
      </w:r>
      <w:r>
        <w:fldChar w:fldCharType="begin"/>
      </w:r>
      <w:r>
        <w:instrText xml:space="preserve"> PAGEREF _Toc93583535 \h </w:instrText>
      </w:r>
      <w:r>
        <w:fldChar w:fldCharType="separate"/>
      </w:r>
      <w:r>
        <w:t>27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"_Toc93583536" </w:instrText>
      </w:r>
      <w:r>
        <w:fldChar w:fldCharType="separate"/>
      </w:r>
      <w:r>
        <w:rPr>
          <w:rStyle w:val="46"/>
          <w:rFonts w:ascii="宋体" w:hAnsi="宋体" w:eastAsia="宋体"/>
          <w:bCs/>
        </w:rPr>
        <w:t>四、涉网性能评价及分析</w:t>
      </w:r>
      <w:r>
        <w:tab/>
      </w:r>
      <w:r>
        <w:fldChar w:fldCharType="begin"/>
      </w:r>
      <w:r>
        <w:instrText xml:space="preserve"> PAGEREF _Toc93583536 \h </w:instrText>
      </w:r>
      <w:r>
        <w:fldChar w:fldCharType="separate"/>
      </w:r>
      <w:r>
        <w:t>28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"_Toc93583537" </w:instrText>
      </w:r>
      <w:r>
        <w:fldChar w:fldCharType="separate"/>
      </w:r>
      <w:r>
        <w:rPr>
          <w:rStyle w:val="46"/>
          <w:rFonts w:ascii="Times New Roman" w:eastAsia="宋体"/>
          <w:bCs/>
        </w:rPr>
        <w:t>4.1 AGC性能评价及分析</w:t>
      </w:r>
      <w:r>
        <w:tab/>
      </w:r>
      <w:r>
        <w:fldChar w:fldCharType="begin"/>
      </w:r>
      <w:r>
        <w:instrText xml:space="preserve"> PAGEREF _Toc93583537 \h </w:instrText>
      </w:r>
      <w:r>
        <w:fldChar w:fldCharType="separate"/>
      </w:r>
      <w:r>
        <w:t>28</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"_Toc93583538" </w:instrText>
      </w:r>
      <w:r>
        <w:fldChar w:fldCharType="separate"/>
      </w:r>
      <w:r>
        <w:rPr>
          <w:rStyle w:val="46"/>
          <w:rFonts w:ascii="Times New Roman" w:eastAsia="宋体"/>
          <w:b/>
          <w:bCs/>
        </w:rPr>
        <w:t>4.1.1月度跟踪评价</w:t>
      </w:r>
      <w:r>
        <w:tab/>
      </w:r>
      <w:r>
        <w:fldChar w:fldCharType="begin"/>
      </w:r>
      <w:r>
        <w:instrText xml:space="preserve"> PAGEREF _Toc93583538 \h </w:instrText>
      </w:r>
      <w:r>
        <w:fldChar w:fldCharType="separate"/>
      </w:r>
      <w:r>
        <w:t>28</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"_Toc93583539" </w:instrText>
      </w:r>
      <w:r>
        <w:fldChar w:fldCharType="separate"/>
      </w:r>
      <w:r>
        <w:rPr>
          <w:rStyle w:val="46"/>
          <w:rFonts w:ascii="Times New Roman" w:eastAsia="宋体"/>
          <w:b/>
          <w:bCs/>
        </w:rPr>
        <w:t>4.1.2典型日运行情况分析</w:t>
      </w:r>
      <w:r>
        <w:tab/>
      </w:r>
      <w:r>
        <w:fldChar w:fldCharType="begin"/>
      </w:r>
      <w:r>
        <w:instrText xml:space="preserve"> PAGEREF _Toc93583539 \h </w:instrText>
      </w:r>
      <w:r>
        <w:fldChar w:fldCharType="separate"/>
      </w:r>
      <w:r>
        <w:t>31</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"_Toc93583540" </w:instrText>
      </w:r>
      <w:r>
        <w:fldChar w:fldCharType="separate"/>
      </w:r>
      <w:r>
        <w:rPr>
          <w:rStyle w:val="46"/>
          <w:rFonts w:ascii="Times New Roman" w:eastAsia="宋体"/>
          <w:bCs/>
        </w:rPr>
        <w:t>4.2 AVC性能评价及分析</w:t>
      </w:r>
      <w:r>
        <w:tab/>
      </w:r>
      <w:r>
        <w:fldChar w:fldCharType="begin"/>
      </w:r>
      <w:r>
        <w:instrText xml:space="preserve"> PAGEREF _Toc93583540 \h </w:instrText>
      </w:r>
      <w:r>
        <w:fldChar w:fldCharType="separate"/>
      </w:r>
      <w:r>
        <w:t>32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"_Toc93583541" </w:instrText>
      </w:r>
      <w:r>
        <w:fldChar w:fldCharType="separate"/>
      </w:r>
      <w:r>
        <w:rPr>
          <w:rStyle w:val="46"/>
          <w:rFonts w:ascii="Times New Roman" w:eastAsia="宋体"/>
          <w:b/>
          <w:bCs/>
        </w:rPr>
        <w:t>4.2.1月度跟踪评价</w:t>
      </w:r>
      <w:r>
        <w:tab/>
      </w:r>
      <w:r>
        <w:fldChar w:fldCharType="begin"/>
      </w:r>
      <w:r>
        <w:instrText xml:space="preserve"> PAGEREF _Toc93583541 \h </w:instrText>
      </w:r>
      <w:r>
        <w:fldChar w:fldCharType="separate"/>
      </w:r>
      <w:r>
        <w:t>32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"_Toc93583542" </w:instrText>
      </w:r>
      <w:r>
        <w:fldChar w:fldCharType="separate"/>
      </w:r>
      <w:r>
        <w:rPr>
          <w:rStyle w:val="46"/>
          <w:rFonts w:ascii="Times New Roman" w:eastAsia="宋体"/>
          <w:b/>
          <w:bCs/>
        </w:rPr>
        <w:t>4.2.2典型日运行情况分析</w:t>
      </w:r>
      <w:r>
        <w:tab/>
      </w:r>
      <w:r>
        <w:fldChar w:fldCharType="begin"/>
      </w:r>
      <w:r>
        <w:instrText xml:space="preserve"> PAGEREF _Toc93583542 \h </w:instrText>
      </w:r>
      <w:r>
        <w:fldChar w:fldCharType="separate"/>
      </w:r>
      <w:r>
        <w:t>35</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"_Toc93583543" </w:instrText>
      </w:r>
      <w:r>
        <w:fldChar w:fldCharType="separate"/>
      </w:r>
      <w:r>
        <w:rPr>
          <w:rStyle w:val="46"/>
          <w:rFonts w:ascii="Times New Roman" w:eastAsia="宋体"/>
          <w:bCs/>
        </w:rPr>
        <w:t>4.3 SVG性能评价及分析</w:t>
      </w:r>
      <w:r>
        <w:tab/>
      </w:r>
      <w:r>
        <w:fldChar w:fldCharType="begin"/>
      </w:r>
      <w:r>
        <w:instrText xml:space="preserve"> PAGEREF _Toc93583543 \h </w:instrText>
      </w:r>
      <w:r>
        <w:fldChar w:fldCharType="separate"/>
      </w:r>
      <w:r>
        <w:t>36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"_Toc93583544" </w:instrText>
      </w:r>
      <w:r>
        <w:fldChar w:fldCharType="separate"/>
      </w:r>
      <w:r>
        <w:rPr>
          <w:rStyle w:val="46"/>
          <w:rFonts w:ascii="Times New Roman" w:eastAsia="宋体"/>
          <w:b/>
          <w:bCs/>
        </w:rPr>
        <w:t>4.3.1月度跟踪评价</w:t>
      </w:r>
      <w:r>
        <w:tab/>
      </w:r>
      <w:r>
        <w:fldChar w:fldCharType="begin"/>
      </w:r>
      <w:r>
        <w:instrText xml:space="preserve"> PAGEREF _Toc93583544 \h </w:instrText>
      </w:r>
      <w:r>
        <w:fldChar w:fldCharType="separate"/>
      </w:r>
      <w:r>
        <w:t>36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"_Toc93583545" </w:instrText>
      </w:r>
      <w:r>
        <w:fldChar w:fldCharType="separate"/>
      </w:r>
      <w:r>
        <w:rPr>
          <w:rStyle w:val="46"/>
          <w:rFonts w:ascii="Times New Roman" w:eastAsia="宋体"/>
          <w:b/>
          <w:bCs/>
        </w:rPr>
        <w:t>4.3.2典型日运行情况分析</w:t>
      </w:r>
      <w:r>
        <w:tab/>
      </w:r>
      <w:r>
        <w:fldChar w:fldCharType="begin"/>
      </w:r>
      <w:r>
        <w:instrText xml:space="preserve"> PAGEREF _Toc93583545 \h </w:instrText>
      </w:r>
      <w:r>
        <w:fldChar w:fldCharType="separate"/>
      </w:r>
      <w:r>
        <w:t>39</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"_Toc93583546" </w:instrText>
      </w:r>
      <w:r>
        <w:fldChar w:fldCharType="separate"/>
      </w:r>
      <w:r>
        <w:rPr>
          <w:rStyle w:val="46"/>
          <w:rFonts w:ascii="Times New Roman" w:eastAsia="宋体"/>
          <w:bCs/>
        </w:rPr>
        <w:t>4.4 小结</w:t>
      </w:r>
      <w:r>
        <w:tab/>
      </w:r>
      <w:r>
        <w:fldChar w:fldCharType="begin"/>
      </w:r>
      <w:r>
        <w:instrText xml:space="preserve"> PAGEREF _Toc93583546 \h </w:instrText>
      </w:r>
      <w:r>
        <w:fldChar w:fldCharType="separate"/>
      </w:r>
      <w:r>
        <w:t>41</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"_Toc93583547" </w:instrText>
      </w:r>
      <w:r>
        <w:fldChar w:fldCharType="separate"/>
      </w:r>
      <w:r>
        <w:rPr>
          <w:rStyle w:val="46"/>
          <w:rFonts w:asciiTheme="majorEastAsia" w:hAnsiTheme="majorEastAsia" w:eastAsiaTheme="majorEastAsia"/>
          <w:bCs/>
        </w:rPr>
        <w:t>五、功率预测性能评价及优化</w:t>
      </w:r>
      <w:r>
        <w:tab/>
      </w:r>
      <w:r>
        <w:fldChar w:fldCharType="begin"/>
      </w:r>
      <w:r>
        <w:instrText xml:space="preserve"> PAGEREF _Toc93583547 \h </w:instrText>
      </w:r>
      <w:r>
        <w:fldChar w:fldCharType="separate"/>
      </w:r>
      <w:r>
        <w:t>42</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"_Toc93583548" </w:instrText>
      </w:r>
      <w:r>
        <w:fldChar w:fldCharType="separate"/>
      </w:r>
      <w:r>
        <w:rPr>
          <w:rStyle w:val="46"/>
          <w:rFonts w:ascii="Times New Roman" w:eastAsia="宋体"/>
          <w:bCs/>
        </w:rPr>
        <w:t>5.1 风功率预测精度跟踪评价</w:t>
      </w:r>
      <w:r>
        <w:tab/>
      </w:r>
      <w:r>
        <w:fldChar w:fldCharType="begin"/>
      </w:r>
      <w:r>
        <w:instrText xml:space="preserve"> PAGEREF _Toc93583548 \h </w:instrText>
      </w:r>
      <w:r>
        <w:fldChar w:fldCharType="separate"/>
      </w:r>
      <w:r>
        <w:t>42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"_Toc93583549" </w:instrText>
      </w:r>
      <w:r>
        <w:fldChar w:fldCharType="separate"/>
      </w:r>
      <w:r>
        <w:rPr>
          <w:rStyle w:val="46"/>
        </w:rPr>
        <w:t>5.1.1功率预测月度跟踪评价</w:t>
      </w:r>
      <w:r>
        <w:tab/>
      </w:r>
      <w:r>
        <w:fldChar w:fldCharType="begin"/>
      </w:r>
      <w:r>
        <w:instrText xml:space="preserve"> PAGEREF _Toc93583549 \h </w:instrText>
      </w:r>
      <w:r>
        <w:fldChar w:fldCharType="separate"/>
      </w:r>
      <w:r>
        <w:t>42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"_Toc93583550" </w:instrText>
      </w:r>
      <w:r>
        <w:fldChar w:fldCharType="separate"/>
      </w:r>
      <w:r>
        <w:rPr>
          <w:rStyle w:val="46"/>
        </w:rPr>
        <w:t>5.1.2 典型日综合分析</w:t>
      </w:r>
      <w:r>
        <w:tab/>
      </w:r>
      <w:r>
        <w:fldChar w:fldCharType="begin"/>
      </w:r>
      <w:r>
        <w:instrText xml:space="preserve"> PAGEREF _Toc93583550 \h </w:instrText>
      </w:r>
      <w:r>
        <w:fldChar w:fldCharType="separate"/>
      </w:r>
      <w:r>
        <w:t>44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"_Toc93583551" </w:instrText>
      </w:r>
      <w:r>
        <w:fldChar w:fldCharType="separate"/>
      </w:r>
      <w:r>
        <w:rPr>
          <w:rStyle w:val="46"/>
          <w:rFonts w:ascii="Times New Roman" w:eastAsia="宋体"/>
          <w:bCs/>
        </w:rPr>
        <w:t>5.2 风功率预测优化及对比分析</w:t>
      </w:r>
      <w:r>
        <w:tab/>
      </w:r>
      <w:r>
        <w:fldChar w:fldCharType="begin"/>
      </w:r>
      <w:r>
        <w:instrText xml:space="preserve"> PAGEREF _Toc93583551 \h </w:instrText>
      </w:r>
      <w:r>
        <w:fldChar w:fldCharType="separate"/>
      </w:r>
      <w:r>
        <w:t>45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"_Toc93583552" </w:instrText>
      </w:r>
      <w:r>
        <w:fldChar w:fldCharType="separate"/>
      </w:r>
      <w:r>
        <w:rPr>
          <w:rStyle w:val="46"/>
        </w:rPr>
        <w:t>5.2.1预测精度提升方案</w:t>
      </w:r>
      <w:r>
        <w:tab/>
      </w:r>
      <w:r>
        <w:fldChar w:fldCharType="begin"/>
      </w:r>
      <w:r>
        <w:instrText xml:space="preserve"> PAGEREF _Toc93583552 \h </w:instrText>
      </w:r>
      <w:r>
        <w:fldChar w:fldCharType="separate"/>
      </w:r>
      <w:r>
        <w:t>45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"_Toc93583553" </w:instrText>
      </w:r>
      <w:r>
        <w:fldChar w:fldCharType="separate"/>
      </w:r>
      <w:r>
        <w:rPr>
          <w:rStyle w:val="46"/>
        </w:rPr>
        <w:t>5.2.2优化前后月度功率预测考核电量</w:t>
      </w:r>
      <w:r>
        <w:tab/>
      </w:r>
      <w:r>
        <w:fldChar w:fldCharType="begin"/>
      </w:r>
      <w:r>
        <w:instrText xml:space="preserve"> PAGEREF _Toc93583553 \h </w:instrText>
      </w:r>
      <w:r>
        <w:fldChar w:fldCharType="separate"/>
      </w:r>
      <w:r>
        <w:t>46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"_Toc93583554" </w:instrText>
      </w:r>
      <w:r>
        <w:fldChar w:fldCharType="separate"/>
      </w:r>
      <w:r>
        <w:rPr>
          <w:rStyle w:val="46"/>
        </w:rPr>
        <w:t>5.2.3优化前后日前功率预测准确率</w:t>
      </w:r>
      <w:r>
        <w:tab/>
      </w:r>
      <w:r>
        <w:fldChar w:fldCharType="begin"/>
      </w:r>
      <w:r>
        <w:instrText xml:space="preserve"> PAGEREF _Toc93583554 \h </w:instrText>
      </w:r>
      <w:r>
        <w:fldChar w:fldCharType="separate"/>
      </w:r>
      <w:r>
        <w:t>47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"_Toc93583555" </w:instrText>
      </w:r>
      <w:r>
        <w:fldChar w:fldCharType="separate"/>
      </w:r>
      <w:r>
        <w:rPr>
          <w:rStyle w:val="46"/>
          <w:rFonts w:ascii="Times New Roman" w:eastAsia="宋体"/>
          <w:bCs/>
        </w:rPr>
        <w:t>5.3 小结</w:t>
      </w:r>
      <w:r>
        <w:tab/>
      </w:r>
      <w:r>
        <w:fldChar w:fldCharType="begin"/>
      </w:r>
      <w:r>
        <w:instrText xml:space="preserve"> PAGEREF _Toc93583555 \h </w:instrText>
      </w:r>
      <w:r>
        <w:fldChar w:fldCharType="separate"/>
      </w:r>
      <w:r>
        <w:t>47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"_Toc93583556" </w:instrText>
      </w:r>
      <w:r>
        <w:fldChar w:fldCharType="separate"/>
      </w:r>
      <w:r>
        <w:rPr>
          <w:rStyle w:val="46"/>
          <w:rFonts w:asciiTheme="majorEastAsia" w:hAnsiTheme="majorEastAsia" w:eastAsiaTheme="majorEastAsia"/>
          <w:bCs/>
        </w:rPr>
        <w:t>六、结论</w:t>
      </w:r>
      <w:r>
        <w:tab/>
      </w:r>
      <w:r>
        <w:fldChar w:fldCharType="begin"/>
      </w:r>
      <w:r>
        <w:instrText xml:space="preserve"> PAGEREF _Toc93583556 \h </w:instrText>
      </w:r>
      <w:r>
        <w:fldChar w:fldCharType="separate"/>
      </w:r>
      <w:r>
        <w:t>48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"_Toc93583557" </w:instrText>
      </w:r>
      <w:r>
        <w:fldChar w:fldCharType="separate"/>
      </w:r>
      <w:r>
        <w:rPr>
          <w:rStyle w:val="46"/>
          <w:rFonts w:asciiTheme="majorEastAsia" w:hAnsiTheme="majorEastAsia" w:eastAsiaTheme="majorEastAsia"/>
          <w:bCs/>
        </w:rPr>
        <w:t>附件 风电机组单机运行特性分析</w:t>
      </w:r>
      <w:r>
        <w:tab/>
      </w:r>
      <w:r>
        <w:fldChar w:fldCharType="begin"/>
      </w:r>
      <w:r>
        <w:instrText xml:space="preserve"> PAGEREF _Toc93583557 \h </w:instrText>
      </w:r>
      <w:r>
        <w:fldChar w:fldCharType="separate"/>
      </w:r>
      <w:r>
        <w:t>50</w:t>
      </w:r>
      <w:r>
        <w:fldChar w:fldCharType="end"/>
      </w:r>
      <w:r>
        <w:fldChar w:fldCharType="end"/>
      </w:r>
    </w:p>
    <w:p>
      <w:pPr>
        <w:spacing w:line="360" w:lineRule="auto"/>
        <w:rPr>
          <w:rFonts w:cs="Times New Roman" w:asciiTheme="majorEastAsia" w:hAnsiTheme="majorEastAsia" w:eastAsiaTheme="majorEastAsia"/>
          <w:b/>
          <w:sz w:val="32"/>
        </w:rPr>
        <w:sectPr>
          <w:pgSz w:w="11906" w:h="16838"/>
          <w:pgMar w:top="1440" w:right="1800" w:bottom="1440" w:left="1800" w:header="851" w:footer="992" w:gutter="0"/>
          <w:cols w:space="425" w:num="1"/>
          <w:docGrid w:type="lines" w:linePitch="312" w:charSpace="0"/>
        </w:sectPr>
      </w:pPr>
      <w:r>
        <w:rPr>
          <w:rFonts w:hint="eastAsia" w:cs="Times New Roman" w:asciiTheme="majorEastAsia" w:hAnsiTheme="majorEastAsia" w:eastAsiaTheme="majorEastAsia"/>
          <w:sz w:val="24"/>
          <w:szCs w:val="24"/>
        </w:rPr>
        <w:fldChar w:fldCharType="end"/>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1" w:name="_Toc93583517"/>
      <w:r>
        <w:rPr>
          <w:rFonts w:hint="eastAsia" w:cs="Times New Roman" w:asciiTheme="majorEastAsia" w:hAnsiTheme="majorEastAsia" w:eastAsiaTheme="majorEastAsia"/>
          <w:b/>
          <w:bCs/>
          <w:sz w:val="32"/>
          <w:szCs w:val="32"/>
        </w:rPr>
        <w:t>一、概述</w:t>
      </w:r>
      <w:bookmarkEnd w:id="1"/>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依托新能源大数据精细化分析与创新服务平台，冀北电科院从风电场精益运维、增功提效、涉网性能分析优化三大方面开展数字化技术监督服务并形成</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风电场运行性能评估分析报告，提升风电场的精益化运维水平、设备的发电性能和风电场涉网性能，实现整场发电效益的提升。</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风电场接入大数据平台的风电机组装机容量为</w:t>
      </w:r>
      <w:r>
        <w:rPr>
          <w:rFonts w:hint="eastAsia" w:cs="Times New Roman" w:asciiTheme="majorEastAsia" w:hAnsiTheme="majorEastAsia" w:eastAsiaTheme="majorEastAsia"/>
          <w:sz w:val="28"/>
          <w:szCs w:val="28"/>
          <w:lang w:val="en-US" w:eastAsia="zh-CN"/>
        </w:rPr>
        <w:t>{{stationCapacity}}</w:t>
      </w:r>
      <w:r>
        <w:rPr>
          <w:rFonts w:hint="eastAsia" w:cs="Times New Roman" w:asciiTheme="majorEastAsia" w:hAnsiTheme="majorEastAsia" w:eastAsiaTheme="majorEastAsia"/>
          <w:sz w:val="28"/>
          <w:szCs w:val="28"/>
        </w:rPr>
        <w:t>MW，其中包括</w:t>
      </w:r>
      <w:r>
        <w:rPr>
          <w:rFonts w:hint="eastAsia" w:cs="Times New Roman" w:asciiTheme="majorEastAsia" w:hAnsiTheme="majorEastAsia" w:eastAsiaTheme="majorEastAsia"/>
          <w:sz w:val="28"/>
          <w:szCs w:val="28"/>
          <w:lang w:val="en-US" w:eastAsia="zh-CN"/>
        </w:rPr>
        <w:t>{{?fjXhList}}{{deviceNum}}</w:t>
      </w:r>
      <w:r>
        <w:rPr>
          <w:rFonts w:hint="eastAsia" w:cs="Times New Roman" w:asciiTheme="majorEastAsia" w:hAnsiTheme="majorEastAsia" w:eastAsiaTheme="majorEastAsia"/>
          <w:sz w:val="28"/>
          <w:szCs w:val="28"/>
        </w:rPr>
        <w:t>台</w:t>
      </w:r>
      <w:r>
        <w:rPr>
          <w:rFonts w:hint="eastAsia" w:cs="Times New Roman" w:asciiTheme="majorEastAsia" w:hAnsiTheme="majorEastAsia" w:eastAsiaTheme="majorEastAsia"/>
          <w:sz w:val="28"/>
          <w:szCs w:val="28"/>
          <w:lang w:val="en-US" w:eastAsia="zh-CN"/>
        </w:rPr>
        <w:t>{{fjXh}}</w:t>
      </w:r>
      <w:r>
        <w:rPr>
          <w:rFonts w:hint="eastAsia" w:cs="Times New Roman" w:asciiTheme="majorEastAsia" w:hAnsiTheme="majorEastAsia" w:eastAsiaTheme="majorEastAsia"/>
          <w:sz w:val="28"/>
          <w:szCs w:val="28"/>
        </w:rPr>
        <w:t>型号风电机组，单机容量为</w:t>
      </w:r>
      <w:r>
        <w:rPr>
          <w:rFonts w:hint="eastAsia" w:cs="Times New Roman" w:asciiTheme="majorEastAsia" w:hAnsiTheme="majorEastAsia" w:eastAsiaTheme="majorEastAsia"/>
          <w:sz w:val="28"/>
          <w:szCs w:val="28"/>
          <w:lang w:val="en-US" w:eastAsia="zh-CN"/>
        </w:rPr>
        <w:t>{{deviceCapacity}}</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lang w:val="en-US" w:eastAsia="zh-CN"/>
        </w:rPr>
        <w:t>{{/fjXhList}}</w:t>
      </w:r>
      <w:r>
        <w:rPr>
          <w:rFonts w:hint="eastAsia" w:cs="Times New Roman" w:asciiTheme="majorEastAsia" w:hAnsiTheme="majorEastAsia" w:eastAsiaTheme="majorEastAsia"/>
          <w:sz w:val="28"/>
          <w:szCs w:val="28"/>
        </w:rPr>
        <w:t>。报告评估的时间周期为</w:t>
      </w:r>
      <w:r>
        <w:rPr>
          <w:rFonts w:hint="eastAsia" w:cs="Times New Roman" w:asciiTheme="majorEastAsia" w:hAnsiTheme="majorEastAsia" w:eastAsiaTheme="majorEastAsia"/>
          <w:sz w:val="28"/>
          <w:szCs w:val="28"/>
          <w:lang w:val="en-US" w:eastAsia="zh-CN"/>
        </w:rPr>
        <w:t>{{startdate}}</w:t>
      </w:r>
      <w:r>
        <w:rPr>
          <w:rFonts w:hint="eastAsia"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lang w:val="en-US" w:eastAsia="zh-CN"/>
        </w:rPr>
        <w:t>{{enddate}}</w:t>
      </w:r>
      <w:r>
        <w:rPr>
          <w:rFonts w:hint="eastAsia" w:cs="Times New Roman" w:asciiTheme="majorEastAsia" w:hAnsiTheme="majorEastAsia" w:eastAsiaTheme="majorEastAsia"/>
          <w:sz w:val="28"/>
          <w:szCs w:val="28"/>
        </w:rPr>
        <w:t>。</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2" w:name="_Toc93583518"/>
      <w:r>
        <w:rPr>
          <w:rFonts w:hint="eastAsia" w:cs="Times New Roman" w:asciiTheme="majorEastAsia" w:hAnsiTheme="majorEastAsia" w:eastAsiaTheme="majorEastAsia"/>
          <w:b/>
          <w:bCs/>
          <w:sz w:val="32"/>
          <w:szCs w:val="32"/>
        </w:rPr>
        <w:t>二、风电场运行情况分析</w:t>
      </w:r>
      <w:bookmarkEnd w:id="2"/>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 w:name="_Toc93583519"/>
      <w:r>
        <w:rPr>
          <w:rFonts w:ascii="Times New Roman" w:hAnsi="Times New Roman" w:eastAsia="宋体" w:cs="Times New Roman"/>
          <w:b/>
          <w:bCs/>
          <w:sz w:val="32"/>
          <w:szCs w:val="32"/>
        </w:rPr>
        <w:t xml:space="preserve">2.1 </w:t>
      </w:r>
      <w:r>
        <w:rPr>
          <w:rFonts w:hint="eastAsia" w:ascii="Times New Roman" w:hAnsi="Times New Roman" w:eastAsia="宋体" w:cs="Times New Roman"/>
          <w:b/>
          <w:bCs/>
          <w:sz w:val="32"/>
          <w:szCs w:val="32"/>
        </w:rPr>
        <w:t>发电量分析</w:t>
      </w:r>
      <w:bookmarkEnd w:id="3"/>
    </w:p>
    <w:p>
      <w:pPr>
        <w:pStyle w:val="4"/>
        <w:numPr>
          <w:ilvl w:val="0"/>
          <w:numId w:val="0"/>
        </w:numPr>
        <w:ind w:left="720" w:hanging="720"/>
      </w:pPr>
      <w:bookmarkStart w:id="4" w:name="_Toc93583520"/>
      <w:r>
        <w:t>2.</w:t>
      </w:r>
      <w:r>
        <w:rPr>
          <w:rFonts w:hint="eastAsia"/>
        </w:rPr>
        <w:t>1</w:t>
      </w:r>
      <w:r>
        <w:t>.1</w:t>
      </w:r>
      <w:r>
        <w:rPr>
          <w:rFonts w:hint="eastAsia"/>
        </w:rPr>
        <w:t>月度电量分析</w:t>
      </w:r>
      <w:bookmarkEnd w:id="4"/>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截至本季度末，</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风电场年度等效利用小时数为</w:t>
      </w:r>
      <w:r>
        <w:rPr>
          <w:rFonts w:hint="eastAsia" w:cs="Times New Roman" w:asciiTheme="majorEastAsia" w:hAnsiTheme="majorEastAsia" w:eastAsiaTheme="majorEastAsia"/>
          <w:sz w:val="28"/>
          <w:szCs w:val="28"/>
          <w:lang w:val="en-US" w:eastAsia="zh-CN"/>
        </w:rPr>
        <w:t>{{stationUseHour}}</w:t>
      </w:r>
      <w:r>
        <w:rPr>
          <w:rFonts w:hint="eastAsia" w:cs="Times New Roman" w:asciiTheme="majorEastAsia" w:hAnsiTheme="majorEastAsia" w:eastAsiaTheme="majorEastAsia"/>
          <w:sz w:val="28"/>
          <w:szCs w:val="28"/>
        </w:rPr>
        <w:t>小时，在冀北地区的风电场中排名</w:t>
      </w:r>
      <w:r>
        <w:rPr>
          <w:rFonts w:hint="eastAsia" w:cs="Times New Roman" w:asciiTheme="majorEastAsia" w:hAnsiTheme="majorEastAsia" w:eastAsiaTheme="majorEastAsia"/>
          <w:sz w:val="28"/>
          <w:szCs w:val="28"/>
          <w:lang w:val="en-US" w:eastAsia="zh-CN"/>
        </w:rPr>
        <w:t>{{sortJb}}</w:t>
      </w:r>
      <w:r>
        <w:rPr>
          <w:rFonts w:hint="eastAsia" w:cs="Times New Roman" w:asciiTheme="majorEastAsia" w:hAnsiTheme="majorEastAsia" w:eastAsiaTheme="majorEastAsia"/>
          <w:sz w:val="28"/>
          <w:szCs w:val="28"/>
        </w:rPr>
        <w:t>，在</w:t>
      </w:r>
      <w:r>
        <w:rPr>
          <w:rFonts w:hint="eastAsia" w:cs="Times New Roman" w:asciiTheme="majorEastAsia" w:hAnsiTheme="majorEastAsia" w:eastAsiaTheme="majorEastAsia"/>
          <w:sz w:val="28"/>
          <w:szCs w:val="28"/>
          <w:lang w:val="en-US" w:eastAsia="zh-CN"/>
        </w:rPr>
        <w:t>{{aname}}</w:t>
      </w:r>
      <w:r>
        <w:rPr>
          <w:rFonts w:hint="eastAsia" w:cs="Times New Roman" w:asciiTheme="majorEastAsia" w:hAnsiTheme="majorEastAsia" w:eastAsiaTheme="majorEastAsia"/>
          <w:sz w:val="28"/>
          <w:szCs w:val="28"/>
        </w:rPr>
        <w:t>市的风电场中排名</w:t>
      </w:r>
      <w:r>
        <w:rPr>
          <w:rFonts w:hint="eastAsia" w:cs="Times New Roman" w:asciiTheme="majorEastAsia" w:hAnsiTheme="majorEastAsia" w:eastAsiaTheme="majorEastAsia"/>
          <w:sz w:val="28"/>
          <w:szCs w:val="28"/>
          <w:lang w:val="en-US" w:eastAsia="zh-CN"/>
        </w:rPr>
        <w:t>{{sortDq}}</w:t>
      </w:r>
      <w:r>
        <w:rPr>
          <w:rFonts w:hint="eastAsia" w:cs="Times New Roman" w:asciiTheme="majorEastAsia" w:hAnsiTheme="majorEastAsia" w:eastAsiaTheme="majorEastAsia"/>
          <w:sz w:val="28"/>
          <w:szCs w:val="28"/>
        </w:rPr>
        <w:t>；本季度的总发电量为</w:t>
      </w:r>
      <w:r>
        <w:rPr>
          <w:rFonts w:hint="eastAsia" w:cs="Times New Roman" w:asciiTheme="majorEastAsia" w:hAnsiTheme="majorEastAsia" w:eastAsiaTheme="majorEastAsia"/>
          <w:sz w:val="28"/>
          <w:szCs w:val="28"/>
          <w:lang w:val="en-US" w:eastAsia="zh-CN"/>
        </w:rPr>
        <w:t>{{stationTotalGeneration}}</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rPr>
        <w:t>h。</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风电场月度发电量及风资源状况分析结果如下图所示。</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{{@stationGenerationAndWind}}</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2-1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风电场发电量月度分析（改图）</w:t>
      </w:r>
    </w:p>
    <w:p>
      <w:pPr>
        <w:spacing w:line="360" w:lineRule="auto"/>
        <w:ind w:firstLine="560" w:firstLineChars="200"/>
        <w:rPr>
          <w:szCs w:val="21"/>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风电机组发电量前十位及后十位排名如下图所示。其中</w:t>
      </w:r>
      <w:r>
        <w:rPr>
          <w:rFonts w:hint="eastAsia" w:cs="Times New Roman" w:asciiTheme="majorEastAsia" w:hAnsiTheme="majorEastAsia" w:eastAsiaTheme="majorEastAsia"/>
          <w:sz w:val="28"/>
          <w:szCs w:val="28"/>
          <w:lang w:val="en-US" w:eastAsia="zh-CN"/>
        </w:rPr>
        <w:t>{{stationGenerationDeviceGoodName}}</w:t>
      </w:r>
      <w:r>
        <w:rPr>
          <w:rFonts w:hint="eastAsia" w:cs="Times New Roman" w:asciiTheme="majorEastAsia" w:hAnsiTheme="majorEastAsia" w:eastAsiaTheme="majorEastAsia"/>
          <w:sz w:val="28"/>
          <w:szCs w:val="28"/>
        </w:rPr>
        <w:t>机组发电量为最优，发电量为</w:t>
      </w:r>
      <w:r>
        <w:rPr>
          <w:rFonts w:hint="eastAsia" w:cs="Times New Roman" w:asciiTheme="majorEastAsia" w:hAnsiTheme="majorEastAsia" w:eastAsiaTheme="majorEastAsia"/>
          <w:sz w:val="28"/>
          <w:szCs w:val="28"/>
          <w:lang w:val="en-US" w:eastAsia="zh-CN"/>
        </w:rPr>
        <w:t>{{stationGenerationDeviceGoodPG}}</w:t>
      </w:r>
      <w:r>
        <w:rPr>
          <w:rFonts w:hint="eastAsia" w:cs="Times New Roman" w:asciiTheme="majorEastAsia" w:hAnsiTheme="majorEastAsia" w:eastAsiaTheme="majorEastAsia"/>
          <w:sz w:val="28"/>
          <w:szCs w:val="28"/>
        </w:rPr>
        <w:t>MWh；</w:t>
      </w:r>
      <w:r>
        <w:rPr>
          <w:rFonts w:hint="eastAsia" w:cs="Times New Roman" w:asciiTheme="majorEastAsia" w:hAnsiTheme="majorEastAsia" w:eastAsiaTheme="majorEastAsia"/>
          <w:sz w:val="28"/>
          <w:szCs w:val="28"/>
          <w:lang w:val="en-US" w:eastAsia="zh-CN"/>
        </w:rPr>
        <w:t>{{stationGenerationDeviceBadName}}</w:t>
      </w:r>
      <w:r>
        <w:rPr>
          <w:rFonts w:hint="eastAsia" w:cs="Times New Roman" w:asciiTheme="majorEastAsia" w:hAnsiTheme="majorEastAsia" w:eastAsiaTheme="majorEastAsia"/>
          <w:sz w:val="28"/>
          <w:szCs w:val="28"/>
        </w:rPr>
        <w:t>机组发电量为最差,发电量为</w:t>
      </w:r>
      <w:r>
        <w:rPr>
          <w:rFonts w:hint="eastAsia" w:cs="Times New Roman" w:asciiTheme="majorEastAsia" w:hAnsiTheme="majorEastAsia" w:eastAsiaTheme="majorEastAsia"/>
          <w:sz w:val="28"/>
          <w:szCs w:val="28"/>
          <w:lang w:val="en-US" w:eastAsia="zh-CN"/>
        </w:rPr>
        <w:t>{{stationGenerationDeviceBadPG}}</w:t>
      </w:r>
      <w:r>
        <w:rPr>
          <w:rFonts w:hint="eastAsia" w:cs="Times New Roman" w:asciiTheme="majorEastAsia" w:hAnsiTheme="majorEastAsia" w:eastAsiaTheme="majorEastAsia"/>
          <w:sz w:val="28"/>
          <w:szCs w:val="28"/>
        </w:rPr>
        <w:t>MWh，发电量最大偏差为</w:t>
      </w:r>
      <w:r>
        <w:rPr>
          <w:rFonts w:hint="eastAsia" w:cs="Times New Roman" w:asciiTheme="majorEastAsia" w:hAnsiTheme="majorEastAsia" w:eastAsiaTheme="majorEastAsia"/>
          <w:sz w:val="28"/>
          <w:szCs w:val="28"/>
          <w:lang w:val="en-US" w:eastAsia="zh-CN"/>
        </w:rPr>
        <w:t>{{stationGenerationDeviceBadGoodDiff}}</w:t>
      </w:r>
      <w:r>
        <w:rPr>
          <w:rFonts w:hint="eastAsia" w:cs="Times New Roman" w:asciiTheme="majorEastAsia" w:hAnsiTheme="majorEastAsia" w:eastAsiaTheme="majorEastAsia"/>
          <w:sz w:val="28"/>
          <w:szCs w:val="28"/>
        </w:rPr>
        <w:t>MWh。</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{{@stationGenerationDeviceTop10}}</w:t>
      </w:r>
    </w:p>
    <w:p>
      <w:pPr>
        <w:spacing w:line="360" w:lineRule="auto"/>
        <w:ind w:firstLine="48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2-16 </w:t>
      </w:r>
      <w:r>
        <w:rPr>
          <w:rFonts w:hint="eastAsia" w:cs="Times New Roman" w:asciiTheme="majorEastAsia" w:hAnsiTheme="majorEastAsia" w:eastAsiaTheme="majorEastAsia"/>
          <w:sz w:val="24"/>
          <w:szCs w:val="24"/>
        </w:rPr>
        <w:t>发电量前十名机组统计</w:t>
      </w:r>
    </w:p>
    <w:p>
      <w:pPr>
        <w:spacing w:line="360" w:lineRule="auto"/>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{{@stationGenerationBottom10}}</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发电量后十名机组统计</w:t>
      </w:r>
    </w:p>
    <w:p>
      <w:pPr>
        <w:pStyle w:val="4"/>
        <w:numPr>
          <w:ilvl w:val="0"/>
          <w:numId w:val="0"/>
        </w:numPr>
        <w:ind w:left="720" w:hanging="720"/>
        <w:rPr>
          <w:rFonts w:hint="eastAsia"/>
        </w:rPr>
      </w:pPr>
      <w:bookmarkStart w:id="5" w:name="_Toc93583521"/>
      <w:r>
        <w:t>2.</w:t>
      </w:r>
      <w:r>
        <w:rPr>
          <w:rFonts w:hint="eastAsia"/>
        </w:rPr>
        <w:t>1</w:t>
      </w:r>
      <w:r>
        <w:t>.2</w:t>
      </w:r>
      <w:r>
        <w:rPr>
          <w:rFonts w:hint="eastAsia"/>
        </w:rPr>
        <w:t>机组发电量排名</w:t>
      </w:r>
      <w:bookmarkEnd w:id="5"/>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{{?DeviceGenerationRank}}</w:t>
      </w:r>
    </w:p>
    <w:p>
      <w:pPr>
        <w:spacing w:line="360" w:lineRule="auto"/>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 xml:space="preserve">    </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型各机组发电量及风资源情况统计详情见下表，按照发电量正序排名。</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rPr>
        <w:t>各台机组发电量情况统计（正序）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1"/>
        <w:gridCol w:w="2681"/>
        <w:gridCol w:w="1258"/>
        <w:gridCol w:w="1258"/>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2121" w:type="dxa"/>
          </w:tcPr>
          <w:p>
            <w:pPr>
              <w:keepNext w:val="0"/>
              <w:keepLines w:val="0"/>
              <w:widowControl/>
              <w:suppressLineNumbers w:val="0"/>
              <w:shd w:val="clear" w:fill="FFFFFF"/>
              <w:spacing w:line="285" w:lineRule="atLeast"/>
              <w:jc w:val="center"/>
              <w:rPr>
                <w:rFonts w:hint="eastAsia"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w:t>
            </w:r>
            <w:r>
              <w:rPr>
                <w:rFonts w:hint="default" w:cs="Times New Roman" w:asciiTheme="majorEastAsia" w:hAnsiTheme="majorEastAsia" w:eastAsiaTheme="majorEastAsia"/>
                <w:sz w:val="18"/>
                <w:szCs w:val="18"/>
                <w:lang w:val="en-US" w:eastAsia="zh-CN"/>
              </w:rPr>
              <w:t>deviceGenerationByUnit</w:t>
            </w:r>
            <w:r>
              <w:rPr>
                <w:rFonts w:hint="eastAsia" w:cs="Times New Roman" w:asciiTheme="majorEastAsia" w:hAnsiTheme="majorEastAsia" w:eastAsiaTheme="majorEastAsia"/>
                <w:sz w:val="24"/>
                <w:szCs w:val="24"/>
                <w:lang w:val="en-US" w:eastAsia="zh-CN"/>
              </w:rPr>
              <w:t>}}</w:t>
            </w:r>
            <w:r>
              <w:rPr>
                <w:rFonts w:hint="eastAsia" w:cs="Times New Roman" w:asciiTheme="majorEastAsia" w:hAnsiTheme="majorEastAsia" w:eastAsiaTheme="majorEastAsia"/>
                <w:sz w:val="24"/>
                <w:szCs w:val="24"/>
              </w:rPr>
              <w:t>机组编号</w:t>
            </w:r>
          </w:p>
        </w:tc>
        <w:tc>
          <w:tcPr>
            <w:tcW w:w="268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发电量（MWh）</w:t>
            </w:r>
          </w:p>
        </w:tc>
        <w:tc>
          <w:tcPr>
            <w:tcW w:w="125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最大风速</w:t>
            </w:r>
          </w:p>
        </w:tc>
        <w:tc>
          <w:tcPr>
            <w:tcW w:w="125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平均风速</w:t>
            </w:r>
          </w:p>
        </w:tc>
        <w:tc>
          <w:tcPr>
            <w:tcW w:w="1204"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发电量排名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[deviceName]</w:t>
            </w:r>
          </w:p>
        </w:tc>
        <w:tc>
          <w:tcPr>
            <w:tcW w:w="268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w:t>
            </w:r>
            <w:r>
              <w:rPr>
                <w:rFonts w:hint="eastAsia" w:cs="微软雅黑" w:asciiTheme="majorEastAsia" w:hAnsiTheme="majorEastAsia" w:eastAsiaTheme="majorEastAsia"/>
                <w:color w:val="575962"/>
                <w:kern w:val="0"/>
                <w:sz w:val="21"/>
                <w:szCs w:val="21"/>
                <w:lang w:val="en-US" w:eastAsia="zh-CN" w:bidi="ar"/>
              </w:rPr>
              <w:t>sumgeneration</w:t>
            </w:r>
            <w:r>
              <w:rPr>
                <w:rFonts w:hint="eastAsia" w:cs="微软雅黑" w:asciiTheme="majorEastAsia" w:hAnsiTheme="majorEastAsia" w:eastAsiaTheme="majorEastAsia"/>
                <w:color w:val="575962"/>
                <w:kern w:val="0"/>
                <w:sz w:val="22"/>
                <w:szCs w:val="22"/>
                <w:lang w:val="en-US" w:eastAsia="zh-CN" w:bidi="ar"/>
              </w:rPr>
              <w:t>]</w:t>
            </w:r>
          </w:p>
        </w:tc>
        <w:tc>
          <w:tcPr>
            <w:tcW w:w="1258"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[maxWind]</w:t>
            </w:r>
          </w:p>
        </w:tc>
        <w:tc>
          <w:tcPr>
            <w:tcW w:w="1258"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[avgWind]</w:t>
            </w:r>
          </w:p>
        </w:tc>
        <w:tc>
          <w:tcPr>
            <w:tcW w:w="1204" w:type="dxa"/>
          </w:tcPr>
          <w:p>
            <w:pPr>
              <w:spacing w:line="360" w:lineRule="auto"/>
              <w:jc w:val="center"/>
              <w:rPr>
                <w:rFonts w:hint="default" w:cs="Times New Roman" w:asciiTheme="majorEastAsia" w:hAnsiTheme="majorEastAsia" w:eastAsiaTheme="majorEastAsia"/>
                <w:sz w:val="22"/>
                <w:szCs w:val="22"/>
                <w:lang w:val="en-US" w:eastAsia="zh-CN"/>
              </w:rPr>
            </w:pPr>
            <w:r>
              <w:rPr>
                <w:rFonts w:hint="eastAsia" w:cs="Times New Roman" w:asciiTheme="majorEastAsia" w:hAnsiTheme="majorEastAsia" w:eastAsiaTheme="majorEastAsia"/>
                <w:sz w:val="22"/>
                <w:szCs w:val="22"/>
                <w:lang w:val="en-US" w:eastAsia="zh-CN"/>
              </w:rPr>
              <w:t>[_index + 1]</w:t>
            </w:r>
          </w:p>
        </w:tc>
      </w:tr>
    </w:tbl>
    <w:p>
      <w:pPr>
        <w:spacing w:line="360" w:lineRule="auto"/>
        <w:rPr>
          <w:rFonts w:hint="eastAsia" w:cs="Times New Roman" w:asciiTheme="majorEastAsia" w:hAnsiTheme="majorEastAsia" w:eastAsiaTheme="majorEastAsia"/>
          <w:sz w:val="28"/>
          <w:szCs w:val="28"/>
          <w:lang w:val="en-US" w:eastAsia="zh-CN"/>
        </w:rPr>
      </w:pPr>
      <w:bookmarkStart w:id="6" w:name="_Toc93583522"/>
      <w:r>
        <w:rPr>
          <w:rFonts w:hint="eastAsia" w:cs="Times New Roman" w:asciiTheme="majorEastAsia" w:hAnsiTheme="majorEastAsia" w:eastAsiaTheme="majorEastAsia"/>
          <w:sz w:val="28"/>
          <w:szCs w:val="28"/>
          <w:lang w:val="en-US" w:eastAsia="zh-CN"/>
        </w:rPr>
        <w:t>{{/DeviceGenerationRank}}</w:t>
      </w:r>
    </w:p>
    <w:p>
      <w:pPr>
        <w:spacing w:line="360" w:lineRule="auto"/>
        <w:rPr>
          <w:rFonts w:ascii="Times New Roman" w:hAnsi="Times New Roman" w:eastAsia="宋体" w:cs="Times New Roman"/>
          <w:b/>
          <w:bCs/>
          <w:sz w:val="32"/>
          <w:szCs w:val="32"/>
        </w:rPr>
      </w:pPr>
      <w:r>
        <w:rPr>
          <w:rFonts w:ascii="Times New Roman" w:hAnsi="Times New Roman" w:eastAsia="宋体" w:cs="Times New Roman"/>
          <w:b/>
          <w:bCs/>
          <w:sz w:val="32"/>
          <w:szCs w:val="32"/>
        </w:rPr>
        <w:t xml:space="preserve">2.2 </w:t>
      </w:r>
      <w:r>
        <w:rPr>
          <w:rFonts w:hint="eastAsia" w:ascii="Times New Roman" w:hAnsi="Times New Roman" w:eastAsia="宋体" w:cs="Times New Roman"/>
          <w:b/>
          <w:bCs/>
          <w:sz w:val="32"/>
          <w:szCs w:val="32"/>
        </w:rPr>
        <w:t>运行小时数分析</w:t>
      </w:r>
      <w:bookmarkEnd w:id="6"/>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风电场运行小时数分析结果如下图所示，其中正常发电小时数占比为</w:t>
      </w:r>
      <w:r>
        <w:rPr>
          <w:rFonts w:hint="eastAsia" w:cs="Times New Roman" w:asciiTheme="majorEastAsia" w:hAnsiTheme="majorEastAsia" w:eastAsiaTheme="majorEastAsia"/>
          <w:sz w:val="28"/>
          <w:szCs w:val="28"/>
          <w:lang w:val="en-US" w:eastAsia="zh-CN"/>
        </w:rPr>
        <w:t>{{normalPowerTimePercent}}</w:t>
      </w:r>
      <w:r>
        <w:rPr>
          <w:rFonts w:hint="eastAsia" w:cs="Times New Roman" w:asciiTheme="majorEastAsia" w:hAnsiTheme="majorEastAsia" w:eastAsiaTheme="majorEastAsia"/>
          <w:sz w:val="28"/>
          <w:szCs w:val="28"/>
        </w:rPr>
        <w:t>%，站内陪停时间占比</w:t>
      </w:r>
      <w:r>
        <w:rPr>
          <w:rFonts w:hint="eastAsia" w:cs="Times New Roman" w:asciiTheme="majorEastAsia" w:hAnsiTheme="majorEastAsia" w:eastAsiaTheme="majorEastAsia"/>
          <w:sz w:val="28"/>
          <w:szCs w:val="28"/>
          <w:lang w:val="en-US" w:eastAsia="zh-CN"/>
        </w:rPr>
        <w:t>{{stationInStopTimePercent}}</w:t>
      </w:r>
      <w:r>
        <w:rPr>
          <w:rFonts w:hint="eastAsia" w:cs="Times New Roman" w:asciiTheme="majorEastAsia" w:hAnsiTheme="majorEastAsia" w:eastAsiaTheme="majorEastAsia"/>
          <w:sz w:val="28"/>
          <w:szCs w:val="28"/>
        </w:rPr>
        <w:t>%，电网限功率运行小时数占比为</w:t>
      </w:r>
      <w:r>
        <w:rPr>
          <w:rFonts w:hint="eastAsia" w:cs="Times New Roman" w:asciiTheme="majorEastAsia" w:hAnsiTheme="majorEastAsia" w:eastAsiaTheme="majorEastAsia"/>
          <w:sz w:val="28"/>
          <w:szCs w:val="28"/>
          <w:lang w:val="en-US" w:eastAsia="zh-CN"/>
        </w:rPr>
        <w:t>{{limitRateTimePercent}}</w:t>
      </w:r>
      <w:r>
        <w:rPr>
          <w:rFonts w:hint="eastAsia" w:cs="Times New Roman" w:asciiTheme="majorEastAsia" w:hAnsiTheme="majorEastAsia" w:eastAsiaTheme="majorEastAsia"/>
          <w:sz w:val="28"/>
          <w:szCs w:val="28"/>
        </w:rPr>
        <w:t>%，机组故障停机小时数占比为</w:t>
      </w:r>
      <w:r>
        <w:rPr>
          <w:rFonts w:hint="eastAsia" w:cs="Times New Roman" w:asciiTheme="majorEastAsia" w:hAnsiTheme="majorEastAsia" w:eastAsiaTheme="majorEastAsia"/>
          <w:sz w:val="28"/>
          <w:szCs w:val="28"/>
          <w:lang w:val="en-US" w:eastAsia="zh-CN"/>
        </w:rPr>
        <w:t>{{unitStopTimePercent}}</w:t>
      </w:r>
      <w:r>
        <w:rPr>
          <w:rFonts w:hint="eastAsia" w:cs="Times New Roman" w:asciiTheme="majorEastAsia" w:hAnsiTheme="majorEastAsia" w:eastAsiaTheme="majorEastAsia"/>
          <w:sz w:val="28"/>
          <w:szCs w:val="28"/>
        </w:rPr>
        <w:t>%，待机时长占比为</w:t>
      </w:r>
      <w:r>
        <w:rPr>
          <w:rFonts w:hint="eastAsia" w:cs="Times New Roman" w:asciiTheme="majorEastAsia" w:hAnsiTheme="majorEastAsia" w:eastAsiaTheme="majorEastAsia"/>
          <w:sz w:val="28"/>
          <w:szCs w:val="28"/>
          <w:lang w:val="en-US" w:eastAsia="zh-CN"/>
        </w:rPr>
        <w:t>{{standbyTimePercent}}</w:t>
      </w:r>
      <w:r>
        <w:rPr>
          <w:rFonts w:hint="eastAsia" w:cs="Times New Roman" w:asciiTheme="majorEastAsia" w:hAnsiTheme="majorEastAsia" w:eastAsiaTheme="majorEastAsia"/>
          <w:sz w:val="28"/>
          <w:szCs w:val="28"/>
        </w:rPr>
        <w:t>%，机组例行维护时长为</w:t>
      </w:r>
      <w:r>
        <w:rPr>
          <w:rFonts w:hint="eastAsia" w:cs="Times New Roman" w:asciiTheme="majorEastAsia" w:hAnsiTheme="majorEastAsia" w:eastAsiaTheme="majorEastAsia"/>
          <w:sz w:val="28"/>
          <w:szCs w:val="28"/>
          <w:lang w:val="en-US" w:eastAsia="zh-CN"/>
        </w:rPr>
        <w:t>{{unitDailyRepairTimePercent}}</w:t>
      </w:r>
      <w:r>
        <w:rPr>
          <w:rFonts w:hint="eastAsia" w:cs="Times New Roman" w:asciiTheme="majorEastAsia" w:hAnsiTheme="majorEastAsia" w:eastAsiaTheme="majorEastAsia"/>
          <w:sz w:val="28"/>
          <w:szCs w:val="28"/>
        </w:rPr>
        <w:t>%，其他时间占比共计</w:t>
      </w:r>
      <w:r>
        <w:rPr>
          <w:rFonts w:hint="eastAsia" w:cs="Times New Roman" w:asciiTheme="majorEastAsia" w:hAnsiTheme="majorEastAsia" w:eastAsiaTheme="majorEastAsia"/>
          <w:sz w:val="28"/>
          <w:szCs w:val="28"/>
          <w:lang w:val="en-US" w:eastAsia="zh-CN"/>
        </w:rPr>
        <w:t>{{otherTimePercent}}</w:t>
      </w:r>
      <w:r>
        <w:rPr>
          <w:rFonts w:hint="eastAsia" w:cs="Times New Roman" w:asciiTheme="majorEastAsia" w:hAnsiTheme="majorEastAsia" w:eastAsiaTheme="majorEastAsia"/>
          <w:sz w:val="28"/>
          <w:szCs w:val="28"/>
        </w:rPr>
        <w:t>%。</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{{@RunTimeAnalysisPercentPie}}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2-3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风电场运行小时数分析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风电场本季度各月损失运行时间、并网发电时间、待机时间的统计如下图所示。</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{{@runTimeAnalysisPercentStackImage}}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2-4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风电场运行小时数月度分析</w:t>
      </w:r>
    </w:p>
    <w:p>
      <w:pPr>
        <w:spacing w:line="360" w:lineRule="auto"/>
        <w:jc w:val="left"/>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风电场各风电机组的运行小时数如下表所示。</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各台机组运行小时数分析</w:t>
      </w:r>
    </w:p>
    <w:tbl>
      <w:tblPr>
        <w:tblStyle w:val="38"/>
        <w:tblW w:w="0" w:type="auto"/>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690"/>
        <w:gridCol w:w="966"/>
        <w:gridCol w:w="1006"/>
        <w:gridCol w:w="769"/>
        <w:gridCol w:w="1045"/>
        <w:gridCol w:w="650"/>
        <w:gridCol w:w="887"/>
        <w:gridCol w:w="809"/>
        <w:gridCol w:w="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trPr>
        <w:tc>
          <w:tcPr>
            <w:tcW w:w="76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{{deviceRunTimeAnalysisTable}}</w:t>
            </w:r>
            <w:r>
              <w:rPr>
                <w:rFonts w:hint="eastAsia" w:cs="Times New Roman" w:asciiTheme="majorEastAsia" w:hAnsiTheme="majorEastAsia" w:eastAsiaTheme="majorEastAsia"/>
                <w:sz w:val="24"/>
                <w:szCs w:val="24"/>
              </w:rPr>
              <w:t>序号</w:t>
            </w:r>
          </w:p>
        </w:tc>
        <w:tc>
          <w:tcPr>
            <w:tcW w:w="657"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103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站内陪停(</w:t>
            </w:r>
            <w:r>
              <w:rPr>
                <w:rFonts w:cs="Times New Roman" w:asciiTheme="majorEastAsia" w:hAnsiTheme="majorEastAsia" w:eastAsiaTheme="majorEastAsia"/>
                <w:sz w:val="24"/>
                <w:szCs w:val="24"/>
              </w:rPr>
              <w:t>h)</w:t>
            </w:r>
          </w:p>
        </w:tc>
        <w:tc>
          <w:tcPr>
            <w:tcW w:w="97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站外陪停(</w:t>
            </w:r>
            <w:r>
              <w:rPr>
                <w:rFonts w:cs="Times New Roman" w:asciiTheme="majorEastAsia" w:hAnsiTheme="majorEastAsia" w:eastAsiaTheme="majorEastAsia"/>
                <w:sz w:val="24"/>
                <w:szCs w:val="24"/>
              </w:rPr>
              <w:t>h)</w:t>
            </w:r>
          </w:p>
        </w:tc>
        <w:tc>
          <w:tcPr>
            <w:tcW w:w="105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机组故障停机(</w:t>
            </w:r>
            <w:r>
              <w:rPr>
                <w:rFonts w:cs="Times New Roman" w:asciiTheme="majorEastAsia" w:hAnsiTheme="majorEastAsia" w:eastAsiaTheme="majorEastAsia"/>
                <w:sz w:val="24"/>
                <w:szCs w:val="24"/>
              </w:rPr>
              <w:t>h)</w:t>
            </w:r>
          </w:p>
        </w:tc>
        <w:tc>
          <w:tcPr>
            <w:tcW w:w="950"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机组例行维护(</w:t>
            </w:r>
            <w:r>
              <w:rPr>
                <w:rFonts w:cs="Times New Roman" w:asciiTheme="majorEastAsia" w:hAnsiTheme="majorEastAsia" w:eastAsiaTheme="majorEastAsia"/>
                <w:sz w:val="24"/>
                <w:szCs w:val="24"/>
              </w:rPr>
              <w:t>h)</w:t>
            </w:r>
          </w:p>
        </w:tc>
        <w:tc>
          <w:tcPr>
            <w:tcW w:w="83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其他（h）</w:t>
            </w:r>
          </w:p>
        </w:tc>
        <w:tc>
          <w:tcPr>
            <w:tcW w:w="83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正常发电(</w:t>
            </w:r>
            <w:r>
              <w:rPr>
                <w:rFonts w:cs="Times New Roman" w:asciiTheme="majorEastAsia" w:hAnsiTheme="majorEastAsia" w:eastAsiaTheme="majorEastAsia"/>
                <w:sz w:val="24"/>
                <w:szCs w:val="24"/>
              </w:rPr>
              <w:t>h)</w:t>
            </w:r>
          </w:p>
        </w:tc>
        <w:tc>
          <w:tcPr>
            <w:tcW w:w="98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电网限功率运行(</w:t>
            </w:r>
            <w:r>
              <w:rPr>
                <w:rFonts w:cs="Times New Roman" w:asciiTheme="majorEastAsia" w:hAnsiTheme="majorEastAsia" w:eastAsiaTheme="majorEastAsia"/>
                <w:sz w:val="24"/>
                <w:szCs w:val="24"/>
              </w:rPr>
              <w:t>h)</w:t>
            </w:r>
          </w:p>
        </w:tc>
        <w:tc>
          <w:tcPr>
            <w:tcW w:w="8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待机时间(</w:t>
            </w:r>
            <w:r>
              <w:rPr>
                <w:rFonts w:cs="Times New Roman" w:asciiTheme="majorEastAsia" w:hAnsiTheme="majorEastAsia" w:eastAsiaTheme="majorEastAsia"/>
                <w:sz w:val="24"/>
                <w:szCs w:val="24"/>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[_index + 1]</w:t>
            </w:r>
          </w:p>
        </w:tc>
        <w:tc>
          <w:tcPr>
            <w:tcW w:w="657"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[deviceName]</w:t>
            </w:r>
          </w:p>
        </w:tc>
        <w:tc>
          <w:tcPr>
            <w:tcW w:w="1039"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[stationInStopTime]</w:t>
            </w:r>
          </w:p>
        </w:tc>
        <w:tc>
          <w:tcPr>
            <w:tcW w:w="972"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[stationOutStopTime]</w:t>
            </w:r>
          </w:p>
        </w:tc>
        <w:tc>
          <w:tcPr>
            <w:tcW w:w="1055"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[unitStopTime]</w:t>
            </w:r>
          </w:p>
        </w:tc>
        <w:tc>
          <w:tcPr>
            <w:tcW w:w="950"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[unitDailyRepairTime]</w:t>
            </w:r>
          </w:p>
        </w:tc>
        <w:tc>
          <w:tcPr>
            <w:tcW w:w="831" w:type="dxa"/>
            <w:vAlign w:val="bottom"/>
          </w:tcPr>
          <w:p>
            <w:pPr>
              <w:widowControl/>
              <w:jc w:val="center"/>
              <w:textAlignment w:val="bottom"/>
              <w:rPr>
                <w:rFonts w:hint="default" w:cs="Calibri" w:asciiTheme="majorEastAsia" w:hAnsiTheme="majorEastAsia" w:eastAsiaTheme="majorEastAsia"/>
                <w:color w:val="000000"/>
                <w:kern w:val="0"/>
                <w:sz w:val="24"/>
                <w:szCs w:val="24"/>
                <w:lang w:val="en-US" w:eastAsia="zh-CN" w:bidi="ar"/>
              </w:rPr>
            </w:pPr>
            <w:r>
              <w:rPr>
                <w:rFonts w:hint="eastAsia" w:cs="Calibri" w:asciiTheme="majorEastAsia" w:hAnsiTheme="majorEastAsia" w:eastAsiaTheme="majorEastAsia"/>
                <w:color w:val="000000"/>
                <w:kern w:val="0"/>
                <w:sz w:val="24"/>
                <w:szCs w:val="24"/>
                <w:lang w:val="en-US" w:eastAsia="zh-CN" w:bidi="ar"/>
              </w:rPr>
              <w:t>[otherTime]</w:t>
            </w:r>
          </w:p>
        </w:tc>
        <w:tc>
          <w:tcPr>
            <w:tcW w:w="831"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[normalPowerTime]</w:t>
            </w:r>
          </w:p>
        </w:tc>
        <w:tc>
          <w:tcPr>
            <w:tcW w:w="982"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[limitRateTime]</w:t>
            </w:r>
          </w:p>
        </w:tc>
        <w:tc>
          <w:tcPr>
            <w:tcW w:w="871"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[standbyTime]</w:t>
            </w: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7" w:name="_Toc93583523"/>
      <w:r>
        <w:rPr>
          <w:rFonts w:ascii="Times New Roman" w:hAnsi="Times New Roman" w:eastAsia="宋体" w:cs="Times New Roman"/>
          <w:b/>
          <w:bCs/>
          <w:sz w:val="32"/>
          <w:szCs w:val="32"/>
        </w:rPr>
        <w:t xml:space="preserve">2.3 </w:t>
      </w:r>
      <w:r>
        <w:rPr>
          <w:rFonts w:hint="eastAsia" w:ascii="Times New Roman" w:hAnsi="Times New Roman" w:eastAsia="宋体" w:cs="Times New Roman"/>
          <w:b/>
          <w:bCs/>
          <w:sz w:val="32"/>
          <w:szCs w:val="32"/>
        </w:rPr>
        <w:t>故障分析</w:t>
      </w:r>
      <w:bookmarkEnd w:id="7"/>
    </w:p>
    <w:p>
      <w:pPr>
        <w:pStyle w:val="4"/>
        <w:numPr>
          <w:ilvl w:val="0"/>
          <w:numId w:val="0"/>
        </w:numPr>
        <w:ind w:left="720" w:hanging="720"/>
      </w:pPr>
      <w:bookmarkStart w:id="8" w:name="_Toc93583524"/>
      <w:r>
        <w:t>2.3.1</w:t>
      </w:r>
      <w:r>
        <w:rPr>
          <w:rFonts w:hint="eastAsia"/>
        </w:rPr>
        <w:t>故障情况统计</w:t>
      </w:r>
      <w:bookmarkEnd w:id="8"/>
    </w:p>
    <w:p>
      <w:pPr>
        <w:spacing w:line="360" w:lineRule="auto"/>
        <w:ind w:firstLine="560" w:firstLineChars="200"/>
        <w:rPr>
          <w:rFonts w:cs="Times New Roman" w:asciiTheme="majorEastAsia" w:hAnsiTheme="majorEastAsia" w:eastAsiaTheme="majorEastAsia"/>
          <w:sz w:val="28"/>
          <w:szCs w:val="28"/>
        </w:rPr>
      </w:pPr>
      <w:bookmarkStart w:id="9" w:name="_Hlk93481145"/>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风电场本季度共计发生风电机组故障</w:t>
      </w:r>
      <w:r>
        <w:rPr>
          <w:rFonts w:hint="eastAsia" w:cs="Times New Roman" w:asciiTheme="majorEastAsia" w:hAnsiTheme="majorEastAsia" w:eastAsiaTheme="majorEastAsia"/>
          <w:sz w:val="28"/>
          <w:szCs w:val="28"/>
          <w:lang w:val="en-US" w:eastAsia="zh-CN"/>
        </w:rPr>
        <w:t>{{stationBreakdownTopTotalCnt}}</w:t>
      </w:r>
      <w:r>
        <w:rPr>
          <w:rFonts w:hint="eastAsia" w:cs="Times New Roman" w:asciiTheme="majorEastAsia" w:hAnsiTheme="majorEastAsia" w:eastAsiaTheme="majorEastAsia"/>
          <w:sz w:val="28"/>
          <w:szCs w:val="28"/>
        </w:rPr>
        <w:t>次，其中</w:t>
      </w:r>
      <w:r>
        <w:rPr>
          <w:rFonts w:hint="eastAsia" w:cs="Times New Roman" w:asciiTheme="majorEastAsia" w:hAnsiTheme="majorEastAsia" w:eastAsiaTheme="majorEastAsia"/>
          <w:sz w:val="28"/>
          <w:szCs w:val="28"/>
          <w:lang w:val="en-US" w:eastAsia="zh-CN"/>
        </w:rPr>
        <w:t>{{stationBreakdownTopTName}}</w:t>
      </w:r>
      <w:r>
        <w:rPr>
          <w:rFonts w:hint="eastAsia" w:cs="Times New Roman" w:asciiTheme="majorEastAsia" w:hAnsiTheme="majorEastAsia" w:eastAsiaTheme="majorEastAsia"/>
          <w:sz w:val="28"/>
          <w:szCs w:val="28"/>
        </w:rPr>
        <w:t>部件故障次数最多为</w:t>
      </w:r>
      <w:r>
        <w:rPr>
          <w:rFonts w:hint="eastAsia" w:cs="Times New Roman" w:asciiTheme="majorEastAsia" w:hAnsiTheme="majorEastAsia" w:eastAsiaTheme="majorEastAsia"/>
          <w:sz w:val="28"/>
          <w:szCs w:val="28"/>
          <w:lang w:val="en-US" w:eastAsia="zh-CN"/>
        </w:rPr>
        <w:t>{{stationBreakdownTopCnt}}</w:t>
      </w:r>
      <w:r>
        <w:rPr>
          <w:rFonts w:hint="eastAsia" w:cs="Times New Roman" w:asciiTheme="majorEastAsia" w:hAnsiTheme="majorEastAsia" w:eastAsiaTheme="majorEastAsia"/>
          <w:sz w:val="28"/>
          <w:szCs w:val="28"/>
        </w:rPr>
        <w:t>次，</w:t>
      </w:r>
      <w:r>
        <w:rPr>
          <w:rFonts w:hint="eastAsia" w:cs="Times New Roman" w:asciiTheme="majorEastAsia" w:hAnsiTheme="majorEastAsia" w:eastAsiaTheme="majorEastAsia"/>
          <w:sz w:val="28"/>
          <w:szCs w:val="28"/>
          <w:lang w:val="en-US" w:eastAsia="zh-CN"/>
        </w:rPr>
        <w:t>{{stationBreakdownTopTName}}</w:t>
      </w:r>
      <w:r>
        <w:rPr>
          <w:rFonts w:hint="eastAsia" w:cs="Times New Roman" w:asciiTheme="majorEastAsia" w:hAnsiTheme="majorEastAsia" w:eastAsiaTheme="majorEastAsia"/>
          <w:sz w:val="28"/>
          <w:szCs w:val="28"/>
        </w:rPr>
        <w:t>部件故障时长最长为</w:t>
      </w:r>
      <w:r>
        <w:rPr>
          <w:rFonts w:hint="eastAsia" w:cs="Times New Roman" w:asciiTheme="majorEastAsia" w:hAnsiTheme="majorEastAsia" w:eastAsiaTheme="majorEastAsia"/>
          <w:sz w:val="28"/>
          <w:szCs w:val="28"/>
          <w:lang w:val="en-US" w:eastAsia="zh-CN"/>
        </w:rPr>
        <w:t>{{stationBreakdownTopTime}}</w:t>
      </w:r>
      <w:r>
        <w:rPr>
          <w:rFonts w:hint="eastAsia" w:cs="Times New Roman" w:asciiTheme="majorEastAsia" w:hAnsiTheme="majorEastAsia" w:eastAsiaTheme="majorEastAsia"/>
          <w:sz w:val="28"/>
          <w:szCs w:val="28"/>
        </w:rPr>
        <w:t>小时，请结合巡检或定期检修计划对该类部件进行检查，确定导致该部件故障频发的原因，并及时解决。风电场内按部件进行故障情况分析结果如下图所示（注：图中“其他”指未知故障）。</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{{@stationBreakDownCountBar}}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风电场故障次数统计</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{{@stationBreakDownTimeBar}}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风电场故障时长统计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进一步按照故障代码对风电场故障情况进行详细分析，得出本季度故障代码发生次数TOP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和累计时长TOP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如表2-</w:t>
      </w:r>
      <w:r>
        <w:rPr>
          <w:rFonts w:cs="Times New Roman" w:asciiTheme="majorEastAsia" w:hAnsiTheme="majorEastAsia" w:eastAsiaTheme="majorEastAsia"/>
          <w:sz w:val="28"/>
          <w:szCs w:val="28"/>
        </w:rPr>
        <w:t>3</w:t>
      </w:r>
      <w:r>
        <w:rPr>
          <w:rFonts w:hint="eastAsia" w:cs="Times New Roman" w:asciiTheme="majorEastAsia" w:hAnsiTheme="majorEastAsia" w:eastAsiaTheme="majorEastAsia"/>
          <w:sz w:val="28"/>
          <w:szCs w:val="28"/>
        </w:rPr>
        <w:t>所示，结合日常巡检结果，建议在下一维护周期内对通过专项技改、或综合分析等手段对该类的故障进行处理，提升机组的可利用率。其中发生故障次数最多的故障代码为“</w:t>
      </w:r>
      <w:r>
        <w:rPr>
          <w:rFonts w:hint="eastAsia" w:cs="Times New Roman" w:asciiTheme="majorEastAsia" w:hAnsiTheme="majorEastAsia" w:eastAsiaTheme="majorEastAsia"/>
          <w:sz w:val="28"/>
          <w:szCs w:val="28"/>
          <w:lang w:val="en-US" w:eastAsia="zh-CN"/>
        </w:rPr>
        <w:t>{{mustCntCode}}</w:t>
      </w:r>
      <w:r>
        <w:rPr>
          <w:rFonts w:hint="eastAsia" w:cs="Times New Roman" w:asciiTheme="majorEastAsia" w:hAnsiTheme="majorEastAsia" w:eastAsiaTheme="majorEastAsia"/>
          <w:sz w:val="28"/>
          <w:szCs w:val="28"/>
        </w:rPr>
        <w:t>”，发生次数为</w:t>
      </w:r>
      <w:r>
        <w:rPr>
          <w:rFonts w:hint="eastAsia" w:cs="Times New Roman" w:asciiTheme="majorEastAsia" w:hAnsiTheme="majorEastAsia" w:eastAsiaTheme="majorEastAsia"/>
          <w:sz w:val="28"/>
          <w:szCs w:val="28"/>
          <w:lang w:val="en-US" w:eastAsia="zh-CN"/>
        </w:rPr>
        <w:t>{{mustCnt}}</w:t>
      </w:r>
      <w:r>
        <w:rPr>
          <w:rFonts w:hint="eastAsia" w:cs="Times New Roman" w:asciiTheme="majorEastAsia" w:hAnsiTheme="majorEastAsia" w:eastAsiaTheme="majorEastAsia"/>
          <w:sz w:val="28"/>
          <w:szCs w:val="28"/>
        </w:rPr>
        <w:t>次；故障时长最长的故障代码为“</w:t>
      </w:r>
      <w:r>
        <w:rPr>
          <w:rFonts w:hint="eastAsia" w:cs="Times New Roman" w:asciiTheme="majorEastAsia" w:hAnsiTheme="majorEastAsia" w:eastAsiaTheme="majorEastAsia"/>
          <w:sz w:val="28"/>
          <w:szCs w:val="28"/>
          <w:lang w:val="en-US" w:eastAsia="zh-CN"/>
        </w:rPr>
        <w:t>{{mustTimeCode}}</w:t>
      </w:r>
      <w:r>
        <w:rPr>
          <w:rFonts w:hint="eastAsia" w:cs="Times New Roman" w:asciiTheme="majorEastAsia" w:hAnsiTheme="majorEastAsia" w:eastAsiaTheme="majorEastAsia"/>
          <w:sz w:val="28"/>
          <w:szCs w:val="28"/>
        </w:rPr>
        <w:t>”，累计故障时长为</w:t>
      </w:r>
      <w:r>
        <w:rPr>
          <w:rFonts w:hint="eastAsia" w:cs="Times New Roman" w:asciiTheme="majorEastAsia" w:hAnsiTheme="majorEastAsia" w:eastAsiaTheme="majorEastAsia"/>
          <w:sz w:val="28"/>
          <w:szCs w:val="28"/>
          <w:lang w:val="en-US" w:eastAsia="zh-CN"/>
        </w:rPr>
        <w:t>{{mustTime}}</w:t>
      </w:r>
      <w:r>
        <w:rPr>
          <w:rFonts w:hint="eastAsia" w:cs="Times New Roman" w:asciiTheme="majorEastAsia" w:hAnsiTheme="majorEastAsia" w:eastAsiaTheme="majorEastAsia"/>
          <w:sz w:val="28"/>
          <w:szCs w:val="28"/>
        </w:rPr>
        <w:t>小时，在例行维护与日常巡检过程中应重点关注。</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风电场频发故障TOP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分析（正序）</w:t>
      </w:r>
    </w:p>
    <w:tbl>
      <w:tblPr>
        <w:tblStyle w:val="3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2100"/>
        <w:gridCol w:w="1466"/>
        <w:gridCol w:w="2031"/>
        <w:gridCol w:w="1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451" w:type="dxa"/>
            <w:vMerge w:val="restart"/>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3566"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发生次数TOP</w:t>
            </w:r>
            <w:r>
              <w:rPr>
                <w:rFonts w:cs="Times New Roman" w:asciiTheme="majorEastAsia" w:hAnsiTheme="majorEastAsia" w:eastAsiaTheme="majorEastAsia"/>
                <w:sz w:val="24"/>
                <w:szCs w:val="24"/>
              </w:rPr>
              <w:t>10</w:t>
            </w:r>
          </w:p>
        </w:tc>
        <w:tc>
          <w:tcPr>
            <w:tcW w:w="3505"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累计时长TOP</w:t>
            </w:r>
            <w:r>
              <w:rPr>
                <w:rFonts w:cs="Times New Roman" w:asciiTheme="majorEastAsia" w:hAnsiTheme="majorEastAsia" w:eastAsiaTheme="maj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451" w:type="dxa"/>
            <w:vMerge w:val="continue"/>
            <w:vAlign w:val="center"/>
          </w:tcPr>
          <w:p>
            <w:pPr>
              <w:spacing w:line="360" w:lineRule="auto"/>
              <w:jc w:val="center"/>
              <w:rPr>
                <w:rFonts w:cs="Times New Roman" w:asciiTheme="majorEastAsia" w:hAnsiTheme="majorEastAsia" w:eastAsiaTheme="majorEastAsia"/>
                <w:sz w:val="24"/>
                <w:szCs w:val="24"/>
              </w:rPr>
            </w:pPr>
          </w:p>
        </w:tc>
        <w:tc>
          <w:tcPr>
            <w:tcW w:w="2100"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{{stationBreakDownAnalysisTable}}</w:t>
            </w:r>
            <w:r>
              <w:rPr>
                <w:rFonts w:hint="eastAsia" w:cs="Times New Roman" w:asciiTheme="majorEastAsia" w:hAnsiTheme="majorEastAsia" w:eastAsiaTheme="majorEastAsia"/>
                <w:sz w:val="24"/>
                <w:szCs w:val="24"/>
              </w:rPr>
              <w:t>故障代码名称</w:t>
            </w:r>
          </w:p>
        </w:tc>
        <w:tc>
          <w:tcPr>
            <w:tcW w:w="1466"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发生的次数</w:t>
            </w:r>
          </w:p>
        </w:tc>
        <w:tc>
          <w:tcPr>
            <w:tcW w:w="2031"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474"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1" w:type="dxa"/>
            <w:vAlign w:val="center"/>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[sortNo]</w:t>
            </w:r>
          </w:p>
        </w:tc>
        <w:tc>
          <w:tcPr>
            <w:tcW w:w="2100"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[mustCntCode]</w:t>
            </w:r>
          </w:p>
        </w:tc>
        <w:tc>
          <w:tcPr>
            <w:tcW w:w="146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[mustCnt]</w:t>
            </w:r>
          </w:p>
        </w:tc>
        <w:tc>
          <w:tcPr>
            <w:tcW w:w="203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[mustTimeCode]</w:t>
            </w:r>
          </w:p>
        </w:tc>
        <w:tc>
          <w:tcPr>
            <w:tcW w:w="1474"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[mustTime]</w:t>
            </w:r>
          </w:p>
        </w:tc>
      </w:tr>
      <w:bookmarkEnd w:id="9"/>
    </w:tbl>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其中</w:t>
      </w:r>
      <w:r>
        <w:rPr>
          <w:rFonts w:hint="eastAsia" w:cs="Times New Roman" w:asciiTheme="majorEastAsia" w:hAnsiTheme="majorEastAsia" w:eastAsiaTheme="majorEastAsia"/>
          <w:sz w:val="28"/>
          <w:szCs w:val="28"/>
          <w:lang w:val="en-US" w:eastAsia="zh-CN"/>
        </w:rPr>
        <w:t>{{bkCntDeviceName}}</w:t>
      </w:r>
      <w:r>
        <w:rPr>
          <w:rFonts w:hint="eastAsia" w:cs="Times New Roman" w:asciiTheme="majorEastAsia" w:hAnsiTheme="majorEastAsia" w:eastAsiaTheme="majorEastAsia"/>
          <w:sz w:val="28"/>
          <w:szCs w:val="28"/>
        </w:rPr>
        <w:t>机组发生故障次数最多，为</w:t>
      </w:r>
      <w:r>
        <w:rPr>
          <w:rFonts w:hint="eastAsia" w:cs="Times New Roman" w:asciiTheme="majorEastAsia" w:hAnsiTheme="majorEastAsia" w:eastAsiaTheme="majorEastAsia"/>
          <w:sz w:val="28"/>
          <w:szCs w:val="28"/>
          <w:lang w:val="en-US" w:eastAsia="zh-CN"/>
        </w:rPr>
        <w:t>{{deviceBkCnt}}</w:t>
      </w:r>
      <w:r>
        <w:rPr>
          <w:rFonts w:hint="eastAsia" w:cs="Times New Roman" w:asciiTheme="majorEastAsia" w:hAnsiTheme="majorEastAsia" w:eastAsiaTheme="majorEastAsia"/>
          <w:sz w:val="28"/>
          <w:szCs w:val="28"/>
        </w:rPr>
        <w:t>次；</w:t>
      </w:r>
      <w:r>
        <w:rPr>
          <w:rFonts w:hint="eastAsia" w:cs="Times New Roman" w:asciiTheme="majorEastAsia" w:hAnsiTheme="majorEastAsia" w:eastAsiaTheme="majorEastAsia"/>
          <w:sz w:val="28"/>
          <w:szCs w:val="28"/>
          <w:lang w:val="en-US" w:eastAsia="zh-CN"/>
        </w:rPr>
        <w:t>{{bkTimeDeviceName}}</w:t>
      </w:r>
      <w:r>
        <w:rPr>
          <w:rFonts w:hint="eastAsia" w:cs="Times New Roman" w:asciiTheme="majorEastAsia" w:hAnsiTheme="majorEastAsia" w:eastAsiaTheme="majorEastAsia"/>
          <w:sz w:val="28"/>
          <w:szCs w:val="28"/>
        </w:rPr>
        <w:t>机组故障累计时长最长，为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小时，故障次数排名前1</w:t>
      </w:r>
      <w:r>
        <w:rPr>
          <w:rFonts w:cs="Times New Roman" w:asciiTheme="majorEastAsia" w:hAnsiTheme="majorEastAsia" w:eastAsiaTheme="majorEastAsia"/>
          <w:sz w:val="28"/>
          <w:szCs w:val="28"/>
        </w:rPr>
        <w:t>0</w:t>
      </w:r>
      <w:r>
        <w:rPr>
          <w:rFonts w:hint="eastAsia" w:cs="Times New Roman" w:asciiTheme="majorEastAsia" w:hAnsiTheme="majorEastAsia" w:eastAsiaTheme="majorEastAsia"/>
          <w:sz w:val="28"/>
          <w:szCs w:val="28"/>
        </w:rPr>
        <w:t>及故障累计时长排名前1</w:t>
      </w:r>
      <w:r>
        <w:rPr>
          <w:rFonts w:cs="Times New Roman" w:asciiTheme="majorEastAsia" w:hAnsiTheme="majorEastAsia" w:eastAsiaTheme="majorEastAsia"/>
          <w:sz w:val="28"/>
          <w:szCs w:val="28"/>
        </w:rPr>
        <w:t>0</w:t>
      </w:r>
      <w:r>
        <w:rPr>
          <w:rFonts w:hint="eastAsia" w:cs="Times New Roman" w:asciiTheme="majorEastAsia" w:hAnsiTheme="majorEastAsia" w:eastAsiaTheme="majorEastAsia"/>
          <w:sz w:val="28"/>
          <w:szCs w:val="28"/>
        </w:rPr>
        <w:t>机组，如下表所示，该台次机组</w:t>
      </w:r>
      <w:bookmarkStart w:id="10" w:name="_Hlk93474222"/>
      <w:r>
        <w:rPr>
          <w:rFonts w:hint="eastAsia" w:cs="Times New Roman" w:asciiTheme="majorEastAsia" w:hAnsiTheme="majorEastAsia" w:eastAsiaTheme="majorEastAsia"/>
          <w:sz w:val="28"/>
          <w:szCs w:val="28"/>
        </w:rPr>
        <w:t>在例行维护与日常巡检过程中应重点关注</w:t>
      </w:r>
      <w:bookmarkEnd w:id="10"/>
      <w:r>
        <w:rPr>
          <w:rFonts w:hint="eastAsia" w:cs="Times New Roman" w:asciiTheme="majorEastAsia" w:hAnsiTheme="majorEastAsia" w:eastAsiaTheme="majorEastAsia"/>
          <w:sz w:val="28"/>
          <w:szCs w:val="28"/>
        </w:rPr>
        <w:t>。</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4 </w:t>
      </w:r>
      <w:r>
        <w:rPr>
          <w:rFonts w:hint="eastAsia" w:cs="Times New Roman" w:asciiTheme="majorEastAsia" w:hAnsiTheme="majorEastAsia" w:eastAsiaTheme="majorEastAsia"/>
          <w:sz w:val="24"/>
          <w:szCs w:val="24"/>
        </w:rPr>
        <w:t>故障次数TOP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机组分析（正序）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9"/>
        <w:gridCol w:w="2075"/>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{{stationBreakDownDeviceAnalysisCntTable}}</w:t>
            </w:r>
            <w:r>
              <w:rPr>
                <w:rFonts w:hint="eastAsia" w:cs="Times New Roman" w:asciiTheme="majorEastAsia" w:hAnsiTheme="majorEastAsia" w:eastAsiaTheme="majorEastAsia"/>
                <w:sz w:val="24"/>
                <w:szCs w:val="24"/>
              </w:rPr>
              <w:t>排名</w:t>
            </w:r>
          </w:p>
        </w:tc>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276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机组故障次数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[sortno]</w:t>
            </w:r>
          </w:p>
        </w:tc>
        <w:tc>
          <w:tcPr>
            <w:tcW w:w="276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[bkCntDeviceName]</w:t>
            </w:r>
          </w:p>
        </w:tc>
        <w:tc>
          <w:tcPr>
            <w:tcW w:w="276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[deviceBkCnt]</w:t>
            </w:r>
          </w:p>
        </w:tc>
      </w:tr>
    </w:tbl>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故障累计时长TOP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机组分析（正序）</w:t>
      </w:r>
    </w:p>
    <w:tbl>
      <w:tblPr>
        <w:tblStyle w:val="38"/>
        <w:tblW w:w="8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0"/>
        <w:gridCol w:w="210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{{stationBreakDownDeviceAnalysisTimeTable}}</w:t>
            </w:r>
            <w:r>
              <w:rPr>
                <w:rFonts w:hint="eastAsia" w:cs="Times New Roman" w:asciiTheme="majorEastAsia" w:hAnsiTheme="majorEastAsia" w:eastAsiaTheme="majorEastAsia"/>
                <w:sz w:val="24"/>
                <w:szCs w:val="24"/>
              </w:rPr>
              <w:t>排名</w:t>
            </w:r>
          </w:p>
        </w:tc>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300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[sortno]</w:t>
            </w:r>
          </w:p>
        </w:tc>
        <w:tc>
          <w:tcPr>
            <w:tcW w:w="267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[bkTimeDeviceName]</w:t>
            </w:r>
          </w:p>
        </w:tc>
        <w:tc>
          <w:tcPr>
            <w:tcW w:w="300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[deviceBkTime]</w:t>
            </w:r>
          </w:p>
        </w:tc>
      </w:tr>
    </w:tbl>
    <w:p>
      <w:pPr>
        <w:pStyle w:val="4"/>
        <w:numPr>
          <w:ilvl w:val="0"/>
          <w:numId w:val="0"/>
        </w:numPr>
        <w:ind w:left="720" w:hanging="720"/>
      </w:pPr>
      <w:bookmarkStart w:id="11" w:name="_Toc93583525"/>
      <w:r>
        <w:t>2.3.2</w:t>
      </w:r>
      <w:r>
        <w:rPr>
          <w:rFonts w:hint="eastAsia"/>
        </w:rPr>
        <w:t>故障指标分析</w:t>
      </w:r>
      <w:bookmarkEnd w:id="11"/>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机组的故障指标主要包括平均无故障运行时间和平均可利用率，代表了机组可靠性的情况。</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平均无故障运行时间是指设备在一定时间长度内，相邻两次故障之间的平均工作时间，代表了机组故障发生的频次，平均无故障运行时间越短，说明机组发生故障的频次越高</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可利用率Ai是指在一定时间长度内，设备可利用小时数占具备条件运行时间的百分比，是反映机组运行可靠性的关键指标。其中具备条件运行时间不包括因电网、外部电气设备故障、气象条件及其它不可抗力等原因造成的停机时间。</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风电场的故障数据进行了故障指标评价计算，评价结果如下表所示。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各台机组故障指标情况统计（正序）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6"/>
        <w:gridCol w:w="2288"/>
        <w:gridCol w:w="2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{{deviceAvgUnBreakDownTimeTable}}</w:t>
            </w:r>
            <w:r>
              <w:rPr>
                <w:rFonts w:hint="eastAsia" w:cs="Times New Roman" w:asciiTheme="majorEastAsia" w:hAnsiTheme="majorEastAsia" w:eastAsiaTheme="majorEastAsia"/>
                <w:sz w:val="24"/>
                <w:szCs w:val="24"/>
              </w:rPr>
              <w:t>机组编号</w:t>
            </w:r>
          </w:p>
        </w:tc>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平均无故障运行时间</w:t>
            </w:r>
          </w:p>
        </w:tc>
        <w:tc>
          <w:tcPr>
            <w:tcW w:w="276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平均可利用率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[deviceName]</w:t>
            </w:r>
          </w:p>
        </w:tc>
        <w:tc>
          <w:tcPr>
            <w:tcW w:w="276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[avgUnbkTime]</w:t>
            </w:r>
          </w:p>
        </w:tc>
        <w:tc>
          <w:tcPr>
            <w:tcW w:w="276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[avgRate]</w:t>
            </w:r>
          </w:p>
        </w:tc>
      </w:tr>
    </w:tbl>
    <w:p/>
    <w:p>
      <w:pPr>
        <w:pStyle w:val="4"/>
        <w:numPr>
          <w:ilvl w:val="0"/>
          <w:numId w:val="0"/>
        </w:numPr>
        <w:ind w:left="720" w:hanging="720"/>
      </w:pPr>
      <w:bookmarkStart w:id="12" w:name="_Toc93583526"/>
      <w:r>
        <w:t>2.3</w:t>
      </w:r>
      <w:r>
        <w:rPr>
          <w:rFonts w:hint="eastAsia"/>
        </w:rPr>
        <w:t>.</w:t>
      </w:r>
      <w:r>
        <w:t>3</w:t>
      </w:r>
      <w:r>
        <w:rPr>
          <w:rFonts w:hint="eastAsia"/>
        </w:rPr>
        <w:t>检修指标分析</w:t>
      </w:r>
      <w:bookmarkEnd w:id="12"/>
    </w:p>
    <w:p>
      <w:pPr>
        <w:spacing w:line="360" w:lineRule="auto"/>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检修故障平均间隔时间是指设备在一定时间长度内，相邻两次需就地检修故障之间的平均工作时间。检修故障平均间隔时间能够体现发电设备大型故障或缺陷的发生概率，在一定程度上能够反映设备的设计、安装和调试质量</w:t>
      </w:r>
      <w:r>
        <w:rPr>
          <w:rFonts w:hint="eastAsia" w:cs="Times New Roman" w:asciiTheme="majorEastAsia" w:hAnsiTheme="majorEastAsia" w:eastAsiaTheme="majorEastAsia"/>
          <w:sz w:val="28"/>
          <w:szCs w:val="28"/>
        </w:rPr>
        <w:t>，同时也反映了机组检修的频度</w:t>
      </w:r>
      <w:r>
        <w:rPr>
          <w:rFonts w:cs="Times New Roman" w:asciiTheme="majorEastAsia" w:hAnsiTheme="majorEastAsia" w:eastAsiaTheme="majorEastAsia"/>
          <w:sz w:val="28"/>
          <w:szCs w:val="28"/>
        </w:rPr>
        <w:t>。</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检修故障平均修复时间是指设备在一定时间长度内，平均每次需就地检修故障的修复时间。检修故障平均修复时间能够直接衡量维修服务团队故障诊断和修复效率的参量，包括充足的备件保障。</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风电场的进行了检修指标评价计算，评价结果如下表所示。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7 </w:t>
      </w:r>
      <w:r>
        <w:rPr>
          <w:rFonts w:hint="eastAsia" w:cs="Times New Roman" w:asciiTheme="majorEastAsia" w:hAnsiTheme="majorEastAsia" w:eastAsiaTheme="majorEastAsia"/>
          <w:sz w:val="24"/>
          <w:szCs w:val="24"/>
        </w:rPr>
        <w:t>各台机组检修指标情况统计（正序）</w:t>
      </w:r>
    </w:p>
    <w:tbl>
      <w:tblPr>
        <w:tblStyle w:val="38"/>
        <w:tblW w:w="8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6"/>
        <w:gridCol w:w="2069"/>
        <w:gridCol w:w="2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{{deviceRpairBreakDownTimeTable}}</w:t>
            </w:r>
            <w:r>
              <w:rPr>
                <w:rFonts w:hint="eastAsia" w:cs="Times New Roman" w:asciiTheme="majorEastAsia" w:hAnsiTheme="majorEastAsia" w:eastAsiaTheme="majorEastAsia"/>
                <w:sz w:val="24"/>
                <w:szCs w:val="24"/>
              </w:rPr>
              <w:t>机组编号</w:t>
            </w:r>
          </w:p>
        </w:tc>
        <w:tc>
          <w:tcPr>
            <w:tcW w:w="3004" w:type="dxa"/>
          </w:tcPr>
          <w:p>
            <w:pPr>
              <w:spacing w:line="360" w:lineRule="auto"/>
              <w:jc w:val="center"/>
              <w:rPr>
                <w:rFonts w:cs="Times New Roman" w:asciiTheme="majorEastAsia" w:hAnsiTheme="majorEastAsia" w:eastAsiaTheme="majorEastAsia"/>
                <w:sz w:val="24"/>
                <w:szCs w:val="24"/>
              </w:rPr>
            </w:pPr>
            <w:r>
              <w:rPr>
                <w:rFonts w:cs="Times New Roman" w:asciiTheme="majorEastAsia" w:hAnsiTheme="majorEastAsia" w:eastAsiaTheme="majorEastAsia"/>
                <w:sz w:val="24"/>
                <w:szCs w:val="24"/>
              </w:rPr>
              <w:t>检修故障平均间隔时间</w:t>
            </w:r>
          </w:p>
        </w:tc>
        <w:tc>
          <w:tcPr>
            <w:tcW w:w="299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检修故障平均修复时间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[deviceName]</w:t>
            </w:r>
          </w:p>
        </w:tc>
        <w:tc>
          <w:tcPr>
            <w:tcW w:w="3004"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[avgJg]</w:t>
            </w:r>
          </w:p>
        </w:tc>
        <w:tc>
          <w:tcPr>
            <w:tcW w:w="2992"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[avgXf]</w:t>
            </w: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3" w:name="_Toc93583527"/>
      <w:r>
        <w:rPr>
          <w:rFonts w:ascii="Times New Roman" w:hAnsi="Times New Roman" w:eastAsia="宋体" w:cs="Times New Roman"/>
          <w:b/>
          <w:bCs/>
          <w:sz w:val="32"/>
          <w:szCs w:val="32"/>
        </w:rPr>
        <w:t xml:space="preserve">2.4 </w:t>
      </w:r>
      <w:r>
        <w:rPr>
          <w:rFonts w:hint="eastAsia" w:ascii="Times New Roman" w:hAnsi="Times New Roman" w:eastAsia="宋体" w:cs="Times New Roman"/>
          <w:b/>
          <w:bCs/>
          <w:sz w:val="32"/>
          <w:szCs w:val="32"/>
        </w:rPr>
        <w:t>损失电量分析</w:t>
      </w:r>
      <w:bookmarkEnd w:id="13"/>
    </w:p>
    <w:p>
      <w:pPr>
        <w:ind w:firstLine="560" w:firstLineChars="200"/>
        <w:rPr>
          <w:rFonts w:hint="eastAsia" w:cs="Times New Roman" w:asciiTheme="majorEastAsia" w:hAnsiTheme="majorEastAsia" w:eastAsiaTheme="majorEastAsia"/>
          <w:sz w:val="28"/>
          <w:szCs w:val="28"/>
        </w:rPr>
      </w:pPr>
      <w:bookmarkStart w:id="14" w:name="_Hlk93481654"/>
      <w:r>
        <w:rPr>
          <w:rFonts w:hint="eastAsia" w:cs="Times New Roman" w:asciiTheme="majorEastAsia" w:hAnsiTheme="majorEastAsia" w:eastAsiaTheme="majorEastAsia"/>
          <w:sz w:val="28"/>
          <w:szCs w:val="28"/>
        </w:rPr>
        <w:t>XXX风电场损失电量分析结果如下图所示，其中造成损失电量较大的原因主要包括：</w:t>
      </w:r>
    </w:p>
    <w:p>
      <w:pPr>
        <w:keepNext w:val="0"/>
        <w:keepLines w:val="0"/>
        <w:widowControl/>
        <w:suppressLineNumbers w:val="0"/>
        <w:shd w:val="clear" w:fill="FFFFFF"/>
        <w:spacing w:line="285" w:lineRule="atLeast"/>
        <w:jc w:val="left"/>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w:t>
      </w:r>
      <w:r>
        <w:rPr>
          <w:rFonts w:hint="default" w:cs="Times New Roman" w:asciiTheme="majorEastAsia" w:hAnsiTheme="majorEastAsia" w:eastAsiaTheme="majorEastAsia"/>
          <w:sz w:val="28"/>
          <w:szCs w:val="28"/>
          <w:lang w:val="en-US" w:eastAsia="zh-CN"/>
        </w:rPr>
        <w:t>stationLosePowerTop5Table</w:t>
      </w:r>
      <w:r>
        <w:rPr>
          <w:rFonts w:hint="eastAsia" w:cs="Times New Roman" w:asciiTheme="majorEastAsia" w:hAnsiTheme="majorEastAsia" w:eastAsiaTheme="majorEastAsia"/>
          <w:sz w:val="28"/>
          <w:szCs w:val="28"/>
          <w:lang w:val="en-US" w:eastAsia="zh-CN"/>
        </w:rPr>
        <w:t>}}</w:t>
      </w:r>
    </w:p>
    <w:p>
      <w:pPr>
        <w:numPr>
          <w:numId w:val="0"/>
        </w:numPr>
        <w:ind w:leftChars="286"/>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{{sortNo}}、{{reason}}</w:t>
      </w:r>
      <w:r>
        <w:rPr>
          <w:rFonts w:hint="eastAsia" w:cs="Times New Roman" w:asciiTheme="majorEastAsia" w:hAnsiTheme="majorEastAsia" w:eastAsiaTheme="majorEastAsia"/>
          <w:sz w:val="28"/>
          <w:szCs w:val="28"/>
        </w:rPr>
        <w:t>，损失电量占比为</w:t>
      </w:r>
      <w:r>
        <w:rPr>
          <w:rFonts w:hint="eastAsia" w:cs="Times New Roman" w:asciiTheme="majorEastAsia" w:hAnsiTheme="majorEastAsia" w:eastAsiaTheme="majorEastAsia"/>
          <w:sz w:val="28"/>
          <w:szCs w:val="28"/>
          <w:lang w:val="en-US" w:eastAsia="zh-CN"/>
        </w:rPr>
        <w:t>{{proportion}}</w:t>
      </w:r>
      <w:r>
        <w:rPr>
          <w:rFonts w:hint="eastAsia" w:cs="Times New Roman" w:asciiTheme="majorEastAsia" w:hAnsiTheme="majorEastAsia" w:eastAsiaTheme="majorEastAsia"/>
          <w:sz w:val="28"/>
          <w:szCs w:val="28"/>
        </w:rPr>
        <w:t>%；</w:t>
      </w:r>
    </w:p>
    <w:p>
      <w:pPr>
        <w:keepNext w:val="0"/>
        <w:keepLines w:val="0"/>
        <w:widowControl/>
        <w:suppressLineNumbers w:val="0"/>
        <w:shd w:val="clear" w:fill="FFFFFF"/>
        <w:spacing w:line="285" w:lineRule="atLeast"/>
        <w:jc w:val="left"/>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w:t>
      </w:r>
      <w:r>
        <w:rPr>
          <w:rFonts w:hint="default" w:cs="Times New Roman" w:asciiTheme="majorEastAsia" w:hAnsiTheme="majorEastAsia" w:eastAsiaTheme="majorEastAsia"/>
          <w:sz w:val="28"/>
          <w:szCs w:val="28"/>
          <w:lang w:val="en-US" w:eastAsia="zh-CN"/>
        </w:rPr>
        <w:t>stationLosePowerTop5Table</w:t>
      </w:r>
      <w:r>
        <w:rPr>
          <w:rFonts w:hint="eastAsia" w:cs="Times New Roman" w:asciiTheme="majorEastAsia" w:hAnsiTheme="majorEastAsia" w:eastAsiaTheme="majorEastAsia"/>
          <w:sz w:val="28"/>
          <w:szCs w:val="28"/>
          <w:lang w:val="en-US" w:eastAsia="zh-CN"/>
        </w:rPr>
        <w:t>}}</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{{@stationLosePowerRatePie}}</w:t>
      </w:r>
    </w:p>
    <w:p>
      <w:pPr>
        <w:ind w:left="181" w:leftChars="86"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图2-</w:t>
      </w:r>
      <w:r>
        <w:rPr>
          <w:rFonts w:cs="Times New Roman" w:asciiTheme="majorEastAsia" w:hAnsiTheme="majorEastAsia" w:eastAsiaTheme="majorEastAsia"/>
          <w:sz w:val="24"/>
          <w:szCs w:val="24"/>
        </w:rPr>
        <w:t xml:space="preserve">7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风电场损失电量占比</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损失电量按照月度统计如下图所示。</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{{@stationLosePowerStackImage}}</w:t>
      </w:r>
    </w:p>
    <w:p>
      <w:pPr>
        <w:ind w:firstLine="480" w:firstLineChars="200"/>
        <w:jc w:val="center"/>
      </w:pPr>
      <w:r>
        <w:rPr>
          <w:rFonts w:hint="eastAsia" w:cs="Times New Roman" w:asciiTheme="majorEastAsia" w:hAnsiTheme="majorEastAsia" w:eastAsiaTheme="majorEastAsia"/>
          <w:sz w:val="24"/>
          <w:szCs w:val="24"/>
        </w:rPr>
        <w:t>图2-</w:t>
      </w:r>
      <w:r>
        <w:rPr>
          <w:rFonts w:cs="Times New Roman" w:asciiTheme="majorEastAsia" w:hAnsiTheme="majorEastAsia" w:eastAsiaTheme="majorEastAsia"/>
          <w:sz w:val="24"/>
          <w:szCs w:val="24"/>
        </w:rPr>
        <w:t>8</w:t>
      </w:r>
      <w:r>
        <w:rPr>
          <w:rFonts w:hint="eastAsia"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风电场月度损失电量统计</w:t>
      </w:r>
      <w:bookmarkEnd w:id="14"/>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5" w:name="_Toc93583528"/>
      <w:r>
        <w:rPr>
          <w:rFonts w:ascii="Times New Roman" w:hAnsi="Times New Roman" w:eastAsia="宋体" w:cs="Times New Roman"/>
          <w:b/>
          <w:bCs/>
          <w:sz w:val="32"/>
          <w:szCs w:val="32"/>
        </w:rPr>
        <w:t xml:space="preserve">2.5 </w:t>
      </w:r>
      <w:r>
        <w:rPr>
          <w:rFonts w:hint="eastAsia" w:ascii="Times New Roman" w:hAnsi="Times New Roman" w:eastAsia="宋体" w:cs="Times New Roman"/>
          <w:b/>
          <w:bCs/>
          <w:sz w:val="32"/>
          <w:szCs w:val="32"/>
        </w:rPr>
        <w:t>小结</w:t>
      </w:r>
      <w:bookmarkEnd w:id="15"/>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本章从发电量、运行小时数、机组故障、损失电量四方面对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风电场的整体情况及各风电机组进行了分析。由分析结果可知，在发电量方面，本季度风电场发电量最高月份为</w:t>
      </w:r>
      <w:r>
        <w:rPr>
          <w:rFonts w:hint="eastAsia" w:cs="Times New Roman" w:asciiTheme="majorEastAsia" w:hAnsiTheme="majorEastAsia" w:eastAsiaTheme="majorEastAsia"/>
          <w:sz w:val="28"/>
          <w:szCs w:val="28"/>
          <w:lang w:val="en-US" w:eastAsia="zh-CN"/>
        </w:rPr>
        <w:t>{{stationGenerationDeviceBestMon}}</w:t>
      </w:r>
      <w:r>
        <w:rPr>
          <w:rFonts w:hint="eastAsia" w:cs="Times New Roman" w:asciiTheme="majorEastAsia" w:hAnsiTheme="majorEastAsia" w:eastAsiaTheme="majorEastAsia"/>
          <w:sz w:val="28"/>
          <w:szCs w:val="28"/>
        </w:rPr>
        <w:t>月，发电量</w:t>
      </w:r>
      <w:r>
        <w:rPr>
          <w:rFonts w:hint="eastAsia" w:cs="Times New Roman" w:asciiTheme="majorEastAsia" w:hAnsiTheme="majorEastAsia" w:eastAsiaTheme="majorEastAsia"/>
          <w:sz w:val="28"/>
          <w:szCs w:val="28"/>
          <w:lang w:val="en-US" w:eastAsia="zh-CN"/>
        </w:rPr>
        <w:t>{{stationGenerationDeviceBestMonPG}}</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rPr>
        <w:t>；编号</w:t>
      </w:r>
      <w:r>
        <w:rPr>
          <w:rFonts w:hint="eastAsia" w:cs="Times New Roman" w:asciiTheme="majorEastAsia" w:hAnsiTheme="majorEastAsia" w:eastAsiaTheme="majorEastAsia"/>
          <w:sz w:val="28"/>
          <w:szCs w:val="28"/>
          <w:lang w:val="en-US" w:eastAsia="zh-CN"/>
        </w:rPr>
        <w:t>{{stationGenerationDeviceGoodName}}</w:t>
      </w:r>
      <w:r>
        <w:rPr>
          <w:rFonts w:hint="eastAsia" w:cs="Times New Roman" w:asciiTheme="majorEastAsia" w:hAnsiTheme="majorEastAsia" w:eastAsiaTheme="majorEastAsia"/>
          <w:sz w:val="28"/>
          <w:szCs w:val="28"/>
        </w:rPr>
        <w:t>机组发电量最高，编号</w:t>
      </w:r>
      <w:r>
        <w:rPr>
          <w:rFonts w:hint="eastAsia" w:cs="Times New Roman" w:asciiTheme="majorEastAsia" w:hAnsiTheme="majorEastAsia" w:eastAsiaTheme="majorEastAsia"/>
          <w:sz w:val="28"/>
          <w:szCs w:val="28"/>
          <w:lang w:val="en-US" w:eastAsia="zh-CN"/>
        </w:rPr>
        <w:t>{{stationGenerationDeviceBadName}}</w:t>
      </w:r>
      <w:r>
        <w:rPr>
          <w:rFonts w:hint="eastAsia" w:cs="Times New Roman" w:asciiTheme="majorEastAsia" w:hAnsiTheme="majorEastAsia" w:eastAsiaTheme="majorEastAsia"/>
          <w:sz w:val="28"/>
          <w:szCs w:val="28"/>
        </w:rPr>
        <w:t>机组发电量最低，机组间发电量的最大偏差为</w:t>
      </w:r>
      <w:r>
        <w:rPr>
          <w:rFonts w:hint="eastAsia" w:cs="Times New Roman" w:asciiTheme="majorEastAsia" w:hAnsiTheme="majorEastAsia" w:eastAsiaTheme="majorEastAsia"/>
          <w:sz w:val="28"/>
          <w:szCs w:val="28"/>
          <w:lang w:val="en-US" w:eastAsia="zh-CN"/>
        </w:rPr>
        <w:t>{{stationGenerationDeviceBadGoodDiff}}</w:t>
      </w:r>
      <w:r>
        <w:rPr>
          <w:rFonts w:hint="eastAsia" w:cs="Times New Roman" w:asciiTheme="majorEastAsia" w:hAnsiTheme="majorEastAsia" w:eastAsiaTheme="majorEastAsia"/>
          <w:sz w:val="28"/>
          <w:szCs w:val="28"/>
        </w:rPr>
        <w:t>MWh。</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在运行小时数方面，本季度风电场正常运行小时数最高月份为</w:t>
      </w:r>
      <w:r>
        <w:rPr>
          <w:rFonts w:hint="eastAsia" w:cs="Times New Roman" w:asciiTheme="majorEastAsia" w:hAnsiTheme="majorEastAsia" w:eastAsiaTheme="majorEastAsia"/>
          <w:sz w:val="28"/>
          <w:szCs w:val="28"/>
          <w:lang w:val="en-US" w:eastAsia="zh-CN"/>
        </w:rPr>
        <w:t>{{runTimeAnalysisSummaryBestMonth}}</w:t>
      </w:r>
      <w:r>
        <w:rPr>
          <w:rFonts w:hint="eastAsia" w:cs="Times New Roman" w:asciiTheme="majorEastAsia" w:hAnsiTheme="majorEastAsia" w:eastAsiaTheme="majorEastAsia"/>
          <w:sz w:val="28"/>
          <w:szCs w:val="28"/>
        </w:rPr>
        <w:t>月，正常运行小时占比为</w:t>
      </w:r>
      <w:r>
        <w:rPr>
          <w:rFonts w:hint="eastAsia" w:cs="Times New Roman" w:asciiTheme="majorEastAsia" w:hAnsiTheme="majorEastAsia" w:eastAsiaTheme="majorEastAsia"/>
          <w:sz w:val="28"/>
          <w:szCs w:val="28"/>
          <w:lang w:val="en-US" w:eastAsia="zh-CN"/>
        </w:rPr>
        <w:t>{{normalPowerTimePercent}}</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。本季度限功率运行小数占比为</w:t>
      </w:r>
      <w:r>
        <w:rPr>
          <w:rFonts w:hint="eastAsia" w:cs="Times New Roman" w:asciiTheme="majorEastAsia" w:hAnsiTheme="majorEastAsia" w:eastAsiaTheme="majorEastAsia"/>
          <w:sz w:val="28"/>
          <w:szCs w:val="28"/>
          <w:lang w:val="en-US" w:eastAsia="zh-CN"/>
        </w:rPr>
        <w:t>{{limitRateTimePercent}}</w:t>
      </w:r>
      <w:r>
        <w:rPr>
          <w:rFonts w:hint="eastAsia" w:cs="Times New Roman" w:asciiTheme="majorEastAsia" w:hAnsiTheme="majorEastAsia" w:eastAsiaTheme="majorEastAsia"/>
          <w:sz w:val="28"/>
          <w:szCs w:val="28"/>
        </w:rPr>
        <w:t>%，机组停机时间占比为</w:t>
      </w:r>
      <w:r>
        <w:rPr>
          <w:rFonts w:hint="eastAsia" w:cs="Times New Roman" w:asciiTheme="majorEastAsia" w:hAnsiTheme="majorEastAsia" w:eastAsiaTheme="majorEastAsia"/>
          <w:sz w:val="28"/>
          <w:szCs w:val="28"/>
          <w:lang w:val="en-US" w:eastAsia="zh-CN"/>
        </w:rPr>
        <w:t>{{unitStopTimePercent}}</w:t>
      </w:r>
      <w:r>
        <w:rPr>
          <w:rFonts w:hint="eastAsia" w:cs="Times New Roman" w:asciiTheme="majorEastAsia" w:hAnsiTheme="majorEastAsia" w:eastAsiaTheme="majorEastAsia"/>
          <w:sz w:val="28"/>
          <w:szCs w:val="28"/>
        </w:rPr>
        <w:t>%，其中导致机组停机时间最长的原因为：“</w:t>
      </w:r>
      <w:r>
        <w:rPr>
          <w:rFonts w:hint="eastAsia" w:cs="Times New Roman" w:asciiTheme="majorEastAsia" w:hAnsiTheme="majorEastAsia" w:eastAsiaTheme="majorEastAsia"/>
          <w:sz w:val="28"/>
          <w:szCs w:val="28"/>
          <w:lang w:val="en-US" w:eastAsia="zh-CN"/>
        </w:rPr>
        <w:t>{{runTimeAnalysisSummaryBad}}</w:t>
      </w:r>
      <w:r>
        <w:rPr>
          <w:rFonts w:hint="eastAsia" w:cs="Times New Roman" w:asciiTheme="majorEastAsia" w:hAnsiTheme="majorEastAsia" w:eastAsiaTheme="majorEastAsia"/>
          <w:sz w:val="28"/>
          <w:szCs w:val="28"/>
        </w:rPr>
        <w:t>”占比为</w:t>
      </w:r>
      <w:r>
        <w:rPr>
          <w:rFonts w:hint="eastAsia" w:cs="Times New Roman" w:asciiTheme="majorEastAsia" w:hAnsiTheme="majorEastAsia" w:eastAsiaTheme="majorEastAsia"/>
          <w:sz w:val="28"/>
          <w:szCs w:val="28"/>
          <w:lang w:val="en-US" w:eastAsia="zh-CN"/>
        </w:rPr>
        <w:t>{{runTimeAnalysisSummaryBadPercend}}</w:t>
      </w:r>
      <w:r>
        <w:rPr>
          <w:rFonts w:hint="eastAsia" w:cs="Times New Roman" w:asciiTheme="majorEastAsia" w:hAnsiTheme="majorEastAsia" w:eastAsiaTheme="majorEastAsia"/>
          <w:sz w:val="28"/>
          <w:szCs w:val="28"/>
        </w:rPr>
        <w:t>%。</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在机组故障方面，</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风电场故障次数最多部件为</w:t>
      </w:r>
      <w:r>
        <w:rPr>
          <w:rFonts w:hint="eastAsia" w:cs="Times New Roman" w:asciiTheme="majorEastAsia" w:hAnsiTheme="majorEastAsia" w:eastAsiaTheme="majorEastAsia"/>
          <w:sz w:val="28"/>
          <w:szCs w:val="28"/>
          <w:lang w:val="en-US" w:eastAsia="zh-CN"/>
        </w:rPr>
        <w:t>{{stationBreakdownTopTName}}</w:t>
      </w:r>
      <w:r>
        <w:rPr>
          <w:rFonts w:hint="eastAsia" w:cs="Times New Roman" w:asciiTheme="majorEastAsia" w:hAnsiTheme="majorEastAsia" w:eastAsiaTheme="majorEastAsia"/>
          <w:sz w:val="28"/>
          <w:szCs w:val="28"/>
        </w:rPr>
        <w:t>，共发生故障</w:t>
      </w:r>
      <w:r>
        <w:rPr>
          <w:rFonts w:hint="eastAsia" w:cs="Times New Roman" w:asciiTheme="majorEastAsia" w:hAnsiTheme="majorEastAsia" w:eastAsiaTheme="majorEastAsia"/>
          <w:sz w:val="28"/>
          <w:szCs w:val="28"/>
          <w:lang w:val="en-US" w:eastAsia="zh-CN"/>
        </w:rPr>
        <w:t>{{stationBreakdownTopCnt}}</w:t>
      </w:r>
      <w:r>
        <w:rPr>
          <w:rFonts w:hint="eastAsia" w:cs="Times New Roman" w:asciiTheme="majorEastAsia" w:hAnsiTheme="majorEastAsia" w:eastAsiaTheme="majorEastAsia"/>
          <w:sz w:val="28"/>
          <w:szCs w:val="28"/>
        </w:rPr>
        <w:t>次，请结合巡检或定期检修计划对该类部件进行检查，确定导致该部件故障频发的原因，并及时解决。其中编号</w:t>
      </w:r>
      <w:r>
        <w:rPr>
          <w:rFonts w:hint="eastAsia" w:cs="Times New Roman" w:asciiTheme="majorEastAsia" w:hAnsiTheme="majorEastAsia" w:eastAsiaTheme="majorEastAsia"/>
          <w:sz w:val="28"/>
          <w:szCs w:val="28"/>
          <w:lang w:val="en-US" w:eastAsia="zh-CN"/>
        </w:rPr>
        <w:t>{{bkCntDeviceName}}</w:t>
      </w:r>
      <w:r>
        <w:rPr>
          <w:rFonts w:hint="eastAsia" w:cs="Times New Roman" w:asciiTheme="majorEastAsia" w:hAnsiTheme="majorEastAsia" w:eastAsiaTheme="majorEastAsia"/>
          <w:sz w:val="28"/>
          <w:szCs w:val="28"/>
        </w:rPr>
        <w:t>机组故障次数最多，编号</w:t>
      </w:r>
      <w:r>
        <w:rPr>
          <w:rFonts w:hint="eastAsia" w:cs="Times New Roman" w:asciiTheme="majorEastAsia" w:hAnsiTheme="majorEastAsia" w:eastAsiaTheme="majorEastAsia"/>
          <w:sz w:val="28"/>
          <w:szCs w:val="28"/>
          <w:lang w:val="en-US" w:eastAsia="zh-CN"/>
        </w:rPr>
        <w:t>{{bkTimeDeviceName}}</w:t>
      </w:r>
      <w:r>
        <w:rPr>
          <w:rFonts w:hint="eastAsia" w:cs="Times New Roman" w:asciiTheme="majorEastAsia" w:hAnsiTheme="majorEastAsia" w:eastAsiaTheme="majorEastAsia"/>
          <w:sz w:val="28"/>
          <w:szCs w:val="28"/>
        </w:rPr>
        <w:t>机组累计故障时间最长，在下一阶段例行维护与日常巡检过程中应重点关注。；风电场平均无故障运行时间为</w:t>
      </w:r>
      <w:r>
        <w:rPr>
          <w:rFonts w:hint="eastAsia" w:cs="Times New Roman" w:asciiTheme="majorEastAsia" w:hAnsiTheme="majorEastAsia" w:eastAsiaTheme="majorEastAsia"/>
          <w:sz w:val="28"/>
          <w:szCs w:val="28"/>
          <w:lang w:val="en-US" w:eastAsia="zh-CN"/>
        </w:rPr>
        <w:t>{{unBreakdownAndLosePowerSummaryStationAvgUnbkTime}}</w:t>
      </w:r>
      <w:r>
        <w:rPr>
          <w:rFonts w:hint="eastAsia" w:cs="Times New Roman" w:asciiTheme="majorEastAsia" w:hAnsiTheme="majorEastAsia" w:eastAsiaTheme="majorEastAsia"/>
          <w:sz w:val="28"/>
          <w:szCs w:val="28"/>
        </w:rPr>
        <w:t>小时，可利用率为</w:t>
      </w:r>
      <w:r>
        <w:rPr>
          <w:rFonts w:hint="eastAsia" w:cs="Times New Roman" w:asciiTheme="majorEastAsia" w:hAnsiTheme="majorEastAsia" w:eastAsiaTheme="majorEastAsia"/>
          <w:sz w:val="28"/>
          <w:szCs w:val="28"/>
          <w:lang w:val="en-US" w:eastAsia="zh-CN"/>
        </w:rPr>
        <w:t>{{unBreakdownAndLosePowerSummaryAvgRate}}</w:t>
      </w:r>
      <w:r>
        <w:rPr>
          <w:rFonts w:hint="eastAsia" w:cs="Times New Roman" w:asciiTheme="majorEastAsia" w:hAnsiTheme="majorEastAsia" w:eastAsiaTheme="majorEastAsia"/>
          <w:sz w:val="28"/>
          <w:szCs w:val="28"/>
        </w:rPr>
        <w:t>%，其中编号</w:t>
      </w:r>
      <w:r>
        <w:rPr>
          <w:rFonts w:hint="eastAsia" w:cs="Times New Roman" w:asciiTheme="majorEastAsia" w:hAnsiTheme="majorEastAsia" w:eastAsiaTheme="majorEastAsia"/>
          <w:sz w:val="28"/>
          <w:szCs w:val="28"/>
          <w:lang w:val="en-US" w:eastAsia="zh-CN"/>
        </w:rPr>
        <w:t>{{unBreakdownAndLosePowerSummaryDeviceNameTop}}</w:t>
      </w:r>
      <w:r>
        <w:rPr>
          <w:rFonts w:hint="eastAsia" w:cs="Times New Roman" w:asciiTheme="majorEastAsia" w:hAnsiTheme="majorEastAsia" w:eastAsiaTheme="majorEastAsia"/>
          <w:sz w:val="28"/>
          <w:szCs w:val="28"/>
        </w:rPr>
        <w:t>机组平均可利用率最高，为</w:t>
      </w:r>
      <w:r>
        <w:rPr>
          <w:rFonts w:hint="eastAsia" w:cs="Times New Roman" w:asciiTheme="majorEastAsia" w:hAnsiTheme="majorEastAsia" w:eastAsiaTheme="majorEastAsia"/>
          <w:sz w:val="28"/>
          <w:szCs w:val="28"/>
          <w:lang w:val="en-US" w:eastAsia="zh-CN"/>
        </w:rPr>
        <w:t>{{unBreakdownAndLosePowerSummaryDeviceAvgRateTop}}</w:t>
      </w:r>
      <w:r>
        <w:rPr>
          <w:rFonts w:cs="Times New Roman" w:asciiTheme="majorEastAsia" w:hAnsiTheme="majorEastAsia" w:eastAsiaTheme="majorEastAsia"/>
          <w:sz w:val="28"/>
          <w:szCs w:val="28"/>
        </w:rPr>
        <w:t>% ,</w:t>
      </w:r>
      <w:r>
        <w:rPr>
          <w:rFonts w:hint="eastAsia" w:cs="Times New Roman" w:asciiTheme="majorEastAsia" w:hAnsiTheme="majorEastAsia" w:eastAsiaTheme="majorEastAsia"/>
          <w:sz w:val="28"/>
          <w:szCs w:val="28"/>
        </w:rPr>
        <w:t>编号</w:t>
      </w:r>
      <w:r>
        <w:rPr>
          <w:rFonts w:hint="eastAsia" w:cs="Times New Roman" w:asciiTheme="majorEastAsia" w:hAnsiTheme="majorEastAsia" w:eastAsiaTheme="majorEastAsia"/>
          <w:sz w:val="28"/>
          <w:szCs w:val="28"/>
          <w:lang w:val="en-US" w:eastAsia="zh-CN"/>
        </w:rPr>
        <w:t>{{unBreakdownAndLosePowerSummaryDeviceNameBottom}}</w:t>
      </w:r>
      <w:r>
        <w:rPr>
          <w:rFonts w:hint="eastAsia" w:cs="Times New Roman" w:asciiTheme="majorEastAsia" w:hAnsiTheme="majorEastAsia" w:eastAsiaTheme="majorEastAsia"/>
          <w:sz w:val="28"/>
          <w:szCs w:val="28"/>
        </w:rPr>
        <w:t>平均可利用率最差,为</w:t>
      </w:r>
      <w:r>
        <w:rPr>
          <w:rFonts w:hint="eastAsia" w:cs="Times New Roman" w:asciiTheme="majorEastAsia" w:hAnsiTheme="majorEastAsia" w:eastAsiaTheme="majorEastAsia"/>
          <w:sz w:val="28"/>
          <w:szCs w:val="28"/>
          <w:lang w:val="en-US" w:eastAsia="zh-CN"/>
        </w:rPr>
        <w:t>{{unBreakdownAndLosePowerSummaryDeviceAvgRateBottom}}</w:t>
      </w:r>
      <w:r>
        <w:rPr>
          <w:rFonts w:hint="eastAsia" w:cs="Times New Roman" w:asciiTheme="majorEastAsia" w:hAnsiTheme="majorEastAsia" w:eastAsiaTheme="majorEastAsia"/>
          <w:sz w:val="28"/>
          <w:szCs w:val="28"/>
        </w:rPr>
        <w:t xml:space="preserve">%； </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在损失电量方面，“</w:t>
      </w:r>
      <w:r>
        <w:rPr>
          <w:rFonts w:hint="eastAsia" w:cs="Times New Roman" w:asciiTheme="majorEastAsia" w:hAnsiTheme="majorEastAsia" w:eastAsiaTheme="majorEastAsia"/>
          <w:sz w:val="28"/>
          <w:szCs w:val="28"/>
          <w:lang w:val="en-US" w:eastAsia="zh-CN"/>
        </w:rPr>
        <w:t>{{stationLosePowerTop5Table[0].reason}}</w:t>
      </w:r>
      <w:r>
        <w:rPr>
          <w:rFonts w:hint="eastAsia" w:cs="Times New Roman" w:asciiTheme="majorEastAsia" w:hAnsiTheme="majorEastAsia" w:eastAsiaTheme="majorEastAsia"/>
          <w:sz w:val="28"/>
          <w:szCs w:val="28"/>
        </w:rPr>
        <w:t>”原因导致的损失电量占比最高，请结合现场实际情况对损失电量原因进一步核实。</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16" w:name="_Toc93583529"/>
      <w:r>
        <w:rPr>
          <w:rFonts w:hint="eastAsia" w:cs="Times New Roman" w:asciiTheme="majorEastAsia" w:hAnsiTheme="majorEastAsia" w:eastAsiaTheme="majorEastAsia"/>
          <w:b/>
          <w:bCs/>
          <w:sz w:val="32"/>
          <w:szCs w:val="32"/>
        </w:rPr>
        <w:t>三、风电机组发电性能评价及缺陷预警</w:t>
      </w:r>
      <w:bookmarkEnd w:id="16"/>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7" w:name="_Toc93583530"/>
      <w:r>
        <w:rPr>
          <w:rFonts w:ascii="Times New Roman" w:hAnsi="Times New Roman" w:eastAsia="宋体" w:cs="Times New Roman"/>
          <w:b/>
          <w:bCs/>
          <w:sz w:val="32"/>
          <w:szCs w:val="32"/>
        </w:rPr>
        <w:t xml:space="preserve">3.1 </w:t>
      </w:r>
      <w:r>
        <w:rPr>
          <w:rFonts w:hint="eastAsia" w:ascii="Times New Roman" w:hAnsi="Times New Roman" w:eastAsia="宋体" w:cs="Times New Roman"/>
          <w:b/>
          <w:bCs/>
          <w:sz w:val="32"/>
          <w:szCs w:val="32"/>
        </w:rPr>
        <w:t>发电性能一致性分析</w:t>
      </w:r>
      <w:bookmarkEnd w:id="17"/>
    </w:p>
    <w:p>
      <w:pPr>
        <w:spacing w:line="360" w:lineRule="auto"/>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利用运行数据，统计了分析了</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风电场各台机组的功率特性曲线，通过机组间功率特性曲线的横向对比，分析风电场运行机组发电特性的差异程度，下图为</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w:t>
      </w:r>
      <w:r>
        <w:rPr>
          <w:rFonts w:hint="eastAsia" w:cs="Times New Roman" w:asciiTheme="majorEastAsia" w:hAnsiTheme="majorEastAsia" w:eastAsiaTheme="majorEastAsia"/>
          <w:sz w:val="28"/>
          <w:szCs w:val="28"/>
          <w:lang w:val="en-US" w:eastAsia="zh-CN"/>
        </w:rPr>
        <w:t>各</w:t>
      </w:r>
      <w:r>
        <w:rPr>
          <w:rFonts w:hint="eastAsia" w:cs="Times New Roman" w:asciiTheme="majorEastAsia" w:hAnsiTheme="majorEastAsia" w:eastAsiaTheme="majorEastAsia"/>
          <w:sz w:val="28"/>
          <w:szCs w:val="28"/>
        </w:rPr>
        <w:t>型号风电机组最优功率特性曲线及最差功率特性曲线的分析。</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{{?PowerGenerationPerformanceAnalysisMix}}</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{{serialNumber}}</w:t>
      </w: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{{performanceDeviceXh}}</w:t>
      </w:r>
      <w:r>
        <w:rPr>
          <w:rFonts w:hint="eastAsia" w:cs="Times New Roman" w:asciiTheme="majorEastAsia" w:hAnsiTheme="majorEastAsia" w:eastAsiaTheme="majorEastAsia"/>
          <w:sz w:val="28"/>
          <w:szCs w:val="28"/>
          <w:shd w:val="clear" w:color="auto" w:fill="FFFF00"/>
        </w:rPr>
        <w:t>型号</w:t>
      </w:r>
    </w:p>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{{@powerCurveEchartsLine}}</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2 + 1}}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4"/>
          <w:szCs w:val="24"/>
        </w:rPr>
        <w:t>型号机组实际运行的最优功率曲线与最差功率曲线</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进一步对各台机组功率特性曲线进行详细分析，根据风电机组间的差异程度将风电场功率特性曲线划分为“优”“良”“中”“差”四类，其中“中”“差</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两类机组的发电能力一致性较差，可能造成较大的发电量损失。</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经计算，</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8"/>
          <w:szCs w:val="28"/>
        </w:rPr>
        <w:t>风电机组的功率特性曲线分类的所示。其中，性能评价为“优”的有</w:t>
      </w:r>
      <w:r>
        <w:rPr>
          <w:rFonts w:hint="eastAsia" w:cs="Times New Roman" w:asciiTheme="majorEastAsia" w:hAnsiTheme="majorEastAsia" w:eastAsiaTheme="majorEastAsia"/>
          <w:sz w:val="28"/>
          <w:szCs w:val="28"/>
          <w:lang w:val="en-US" w:eastAsia="zh-CN"/>
        </w:rPr>
        <w:t>{{performanceScoreANum}}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{{performanceScoreAPercent}}</w:t>
      </w:r>
      <w:r>
        <w:rPr>
          <w:rFonts w:hint="eastAsia" w:cs="Times New Roman" w:asciiTheme="majorEastAsia" w:hAnsiTheme="majorEastAsia" w:eastAsiaTheme="majorEastAsia"/>
          <w:sz w:val="28"/>
          <w:szCs w:val="28"/>
        </w:rPr>
        <w:t>；“良”为</w:t>
      </w:r>
      <w:r>
        <w:rPr>
          <w:rFonts w:hint="eastAsia" w:cs="Times New Roman" w:asciiTheme="majorEastAsia" w:hAnsiTheme="majorEastAsia" w:eastAsiaTheme="majorEastAsia"/>
          <w:sz w:val="28"/>
          <w:szCs w:val="28"/>
          <w:lang w:val="en-US" w:eastAsia="zh-CN"/>
        </w:rPr>
        <w:t>{{performanceScoreBNum}}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{{performanceScoreBPercent}}</w:t>
      </w:r>
      <w:r>
        <w:rPr>
          <w:rFonts w:hint="eastAsia" w:cs="Times New Roman" w:asciiTheme="majorEastAsia" w:hAnsiTheme="majorEastAsia" w:eastAsiaTheme="majorEastAsia"/>
          <w:sz w:val="28"/>
          <w:szCs w:val="28"/>
        </w:rPr>
        <w:t>%；“中”为</w:t>
      </w:r>
      <w:r>
        <w:rPr>
          <w:rFonts w:hint="eastAsia" w:cs="Times New Roman" w:asciiTheme="majorEastAsia" w:hAnsiTheme="majorEastAsia" w:eastAsiaTheme="majorEastAsia"/>
          <w:sz w:val="28"/>
          <w:szCs w:val="28"/>
          <w:lang w:val="en-US" w:eastAsia="zh-CN"/>
        </w:rPr>
        <w:t>{{performanceScoreCNum}}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{{performanceScoreCPercent}}</w:t>
      </w:r>
      <w:r>
        <w:rPr>
          <w:rFonts w:hint="eastAsia" w:cs="Times New Roman" w:asciiTheme="majorEastAsia" w:hAnsiTheme="majorEastAsia" w:eastAsiaTheme="majorEastAsia"/>
          <w:sz w:val="28"/>
          <w:szCs w:val="28"/>
        </w:rPr>
        <w:t>%；“差”为</w:t>
      </w:r>
      <w:r>
        <w:rPr>
          <w:rFonts w:hint="eastAsia" w:cs="Times New Roman" w:asciiTheme="majorEastAsia" w:hAnsiTheme="majorEastAsia" w:eastAsiaTheme="majorEastAsia"/>
          <w:sz w:val="28"/>
          <w:szCs w:val="28"/>
          <w:lang w:val="en-US" w:eastAsia="zh-CN"/>
        </w:rPr>
        <w:t>{{performanceScoreDNum}}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{{performanceScoreDPercent}}</w:t>
      </w:r>
      <w:r>
        <w:rPr>
          <w:rFonts w:hint="eastAsia" w:cs="Times New Roman" w:asciiTheme="majorEastAsia" w:hAnsiTheme="majorEastAsia" w:eastAsiaTheme="majorEastAsia"/>
          <w:sz w:val="28"/>
          <w:szCs w:val="28"/>
        </w:rPr>
        <w:t>%。</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{{@powerCurveClassifyEcharts}}</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2 + 2}}</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4"/>
          <w:szCs w:val="24"/>
        </w:rPr>
        <w:t>风电机组功率曲线分类占比饼状图</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各机组功率曲线的分类详情如下表所示。</w:t>
      </w:r>
    </w:p>
    <w:p>
      <w:pPr>
        <w:spacing w:line="360" w:lineRule="auto"/>
        <w:ind w:firstLine="564"/>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4"/>
          <w:szCs w:val="24"/>
        </w:rPr>
        <w:t>风电机组的功率曲线分类</w:t>
      </w:r>
    </w:p>
    <w:tbl>
      <w:tblPr>
        <w:tblStyle w:val="3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5"/>
        <w:gridCol w:w="1465"/>
        <w:gridCol w:w="2088"/>
        <w:gridCol w:w="1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3125"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val="en-US" w:eastAsia="zh-CN" w:bidi="ar"/>
              </w:rPr>
              <w:t>{{devicePowerCurveClassifyTable}}</w:t>
            </w:r>
            <w:r>
              <w:rPr>
                <w:rFonts w:hint="eastAsia" w:cs="宋体" w:asciiTheme="majorEastAsia" w:hAnsiTheme="majorEastAsia" w:eastAsiaTheme="majorEastAsia"/>
                <w:color w:val="000000"/>
                <w:kern w:val="0"/>
                <w:sz w:val="28"/>
                <w:szCs w:val="28"/>
                <w:lang w:bidi="ar"/>
              </w:rPr>
              <w:t>风电场名称</w:t>
            </w:r>
          </w:p>
        </w:tc>
        <w:tc>
          <w:tcPr>
            <w:tcW w:w="1465"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风电机组型号</w:t>
            </w:r>
          </w:p>
        </w:tc>
        <w:tc>
          <w:tcPr>
            <w:tcW w:w="2088"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编号</w:t>
            </w:r>
          </w:p>
        </w:tc>
        <w:tc>
          <w:tcPr>
            <w:tcW w:w="1844"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功率曲线分类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3125"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[stationName]</w:t>
            </w:r>
          </w:p>
        </w:tc>
        <w:tc>
          <w:tcPr>
            <w:tcW w:w="1465"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[fjXh]</w:t>
            </w:r>
          </w:p>
        </w:tc>
        <w:tc>
          <w:tcPr>
            <w:tcW w:w="2088"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[deviceName]</w:t>
            </w:r>
          </w:p>
        </w:tc>
        <w:tc>
          <w:tcPr>
            <w:tcW w:w="1844"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[powertype]</w:t>
            </w:r>
          </w:p>
        </w:tc>
      </w:tr>
    </w:tbl>
    <w:p>
      <w:pPr>
        <w:spacing w:line="360" w:lineRule="auto"/>
        <w:rPr>
          <w:rFonts w:ascii="Times New Roman" w:hAnsi="Times New Roman" w:eastAsia="宋体" w:cs="Times New Roman"/>
          <w:b/>
          <w:bCs/>
          <w:sz w:val="32"/>
          <w:szCs w:val="32"/>
        </w:rPr>
      </w:pPr>
      <w:bookmarkStart w:id="18" w:name="_Toc93583531"/>
      <w:r>
        <w:rPr>
          <w:rFonts w:hint="eastAsia" w:cs="Times New Roman" w:asciiTheme="majorEastAsia" w:hAnsiTheme="majorEastAsia" w:eastAsiaTheme="majorEastAsia"/>
          <w:sz w:val="28"/>
          <w:szCs w:val="28"/>
          <w:lang w:val="en-US" w:eastAsia="zh-CN"/>
        </w:rPr>
        <w:t>{{/PowerGenerationPerformanceAnalysisMix}}</w:t>
      </w:r>
    </w:p>
    <w:p>
      <w:pPr>
        <w:keepNext/>
        <w:keepLines/>
        <w:tabs>
          <w:tab w:val="left" w:pos="576"/>
          <w:tab w:val="left" w:pos="1247"/>
        </w:tabs>
        <w:spacing w:before="260" w:after="260" w:line="416" w:lineRule="auto"/>
        <w:outlineLvl w:val="1"/>
        <w:rPr>
          <w:rFonts w:ascii="Times New Roman" w:hAnsi="Times New Roman" w:eastAsia="宋体" w:cs="Times New Roman"/>
          <w:b/>
          <w:bCs/>
          <w:sz w:val="32"/>
          <w:szCs w:val="32"/>
        </w:rPr>
      </w:pPr>
      <w:r>
        <w:rPr>
          <w:rFonts w:ascii="Times New Roman" w:hAnsi="Times New Roman" w:eastAsia="宋体" w:cs="Times New Roman"/>
          <w:b/>
          <w:bCs/>
          <w:sz w:val="32"/>
          <w:szCs w:val="32"/>
        </w:rPr>
        <w:t xml:space="preserve">3.2 </w:t>
      </w:r>
      <w:r>
        <w:rPr>
          <w:rFonts w:hint="eastAsia" w:ascii="Times New Roman" w:hAnsi="Times New Roman" w:eastAsia="宋体" w:cs="Times New Roman"/>
          <w:b/>
          <w:bCs/>
          <w:sz w:val="32"/>
          <w:szCs w:val="32"/>
        </w:rPr>
        <w:t>发电能力指标Fg分析</w:t>
      </w:r>
      <w:bookmarkEnd w:id="18"/>
    </w:p>
    <w:p>
      <w:pPr>
        <w:spacing w:line="360" w:lineRule="auto"/>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风力发电机组发电能力指标Fg表示风力发电机组实际发电功率与最优发电功率的比值，代表了各台风电机组与场内发电能力最优机组的差异程度。</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{{?StationFGAnalysisMix}}</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{{serialNumber}}</w:t>
      </w: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{{fgDeviceXh}}</w:t>
      </w:r>
      <w:r>
        <w:rPr>
          <w:rFonts w:hint="eastAsia" w:cs="Times New Roman" w:asciiTheme="majorEastAsia" w:hAnsiTheme="majorEastAsia" w:eastAsiaTheme="majorEastAsia"/>
          <w:sz w:val="28"/>
          <w:szCs w:val="28"/>
          <w:shd w:val="clear" w:color="auto" w:fill="FFFF00"/>
        </w:rPr>
        <w:t>型号</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{{fgDeviceXh}}</w:t>
      </w:r>
      <w:r>
        <w:rPr>
          <w:rFonts w:hint="eastAsia" w:cs="Times New Roman" w:asciiTheme="majorEastAsia" w:hAnsiTheme="majorEastAsia" w:eastAsiaTheme="majorEastAsia"/>
          <w:sz w:val="28"/>
          <w:szCs w:val="28"/>
        </w:rPr>
        <w:t>风电机组的发电能力指标统计如下图所示。</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{{@fgEchartsBar}}</w:t>
      </w:r>
    </w:p>
    <w:p>
      <w:pPr>
        <w:spacing w:line="360" w:lineRule="auto"/>
        <w:jc w:val="center"/>
        <w:rPr>
          <w:rFonts w:asciiTheme="majorEastAsia" w:hAnsiTheme="majorEastAsia" w:eastAsiaTheme="majorEastAsia"/>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lang w:val="en-US" w:eastAsia="zh-CN"/>
        </w:rPr>
        <w:t>{{fgDeviceXh}}</w:t>
      </w:r>
      <w:r>
        <w:rPr>
          <w:rFonts w:hint="eastAsia" w:cs="Times New Roman" w:asciiTheme="majorEastAsia" w:hAnsiTheme="majorEastAsia" w:eastAsiaTheme="majorEastAsia"/>
          <w:sz w:val="24"/>
          <w:szCs w:val="24"/>
        </w:rPr>
        <w:t>风电机组的发电能力指标统计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通过发电能力指标分析，XXX风电场本季度发电能力最优的机组为</w:t>
      </w:r>
      <w:r>
        <w:rPr>
          <w:rFonts w:hint="eastAsia" w:cs="Times New Roman" w:asciiTheme="majorEastAsia" w:hAnsiTheme="majorEastAsia" w:eastAsiaTheme="majorEastAsia"/>
          <w:sz w:val="28"/>
          <w:szCs w:val="28"/>
          <w:lang w:val="en-US" w:eastAsia="zh-CN"/>
        </w:rPr>
        <w:t>{{fgTopDeviceName}}</w:t>
      </w:r>
      <w:r>
        <w:rPr>
          <w:rFonts w:hint="eastAsia" w:cs="Times New Roman" w:asciiTheme="majorEastAsia" w:hAnsiTheme="majorEastAsia" w:eastAsiaTheme="majorEastAsia"/>
          <w:sz w:val="28"/>
          <w:szCs w:val="28"/>
        </w:rPr>
        <w:t>，最差的的机组为</w:t>
      </w:r>
      <w:r>
        <w:rPr>
          <w:rFonts w:hint="eastAsia" w:cs="Times New Roman" w:asciiTheme="majorEastAsia" w:hAnsiTheme="majorEastAsia" w:eastAsiaTheme="majorEastAsia"/>
          <w:sz w:val="28"/>
          <w:szCs w:val="28"/>
          <w:lang w:val="en-US" w:eastAsia="zh-CN"/>
        </w:rPr>
        <w:t>{{fgBottomDeviceName}}</w:t>
      </w:r>
      <w:r>
        <w:rPr>
          <w:rFonts w:hint="eastAsia" w:cs="Times New Roman" w:asciiTheme="majorEastAsia" w:hAnsiTheme="majorEastAsia" w:eastAsiaTheme="majorEastAsia"/>
          <w:sz w:val="28"/>
          <w:szCs w:val="28"/>
        </w:rPr>
        <w:t>，各机组风电场发电能力指标Fg计算结果如下图所示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lang w:val="en-US" w:eastAsia="zh-CN"/>
        </w:rPr>
        <w:t xml:space="preserve"> </w:t>
      </w:r>
      <w:r>
        <w:rPr>
          <w:rFonts w:hint="eastAsia" w:cs="Times New Roman" w:asciiTheme="majorEastAsia" w:hAnsiTheme="majorEastAsia" w:eastAsiaTheme="majorEastAsia"/>
          <w:sz w:val="24"/>
          <w:szCs w:val="24"/>
        </w:rPr>
        <w:t>2.5MW机组发电能力指标Fg（正序）</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lang w:val="en-US" w:eastAsia="zh-CN"/>
              </w:rPr>
              <w:t>{{fgDeviceTable}}</w:t>
            </w:r>
            <w:r>
              <w:rPr>
                <w:rFonts w:hint="eastAsia" w:asciiTheme="majorEastAsia" w:hAnsiTheme="majorEastAsia" w:eastAsiaTheme="majorEastAsia" w:cstheme="minorEastAsia"/>
                <w:sz w:val="24"/>
                <w:szCs w:val="24"/>
              </w:rPr>
              <w:t>机组编号</w:t>
            </w:r>
          </w:p>
        </w:tc>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Fg</w:t>
            </w:r>
          </w:p>
        </w:tc>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hint="default" w:asciiTheme="majorEastAsia" w:hAnsiTheme="majorEastAsia" w:eastAsiaTheme="majorEastAsia" w:cstheme="minorEastAsia"/>
                <w:sz w:val="24"/>
                <w:szCs w:val="24"/>
                <w:lang w:val="en-US" w:eastAsia="zh-CN"/>
              </w:rPr>
            </w:pPr>
            <w:r>
              <w:rPr>
                <w:rFonts w:hint="eastAsia" w:asciiTheme="majorEastAsia" w:hAnsiTheme="majorEastAsia" w:eastAsiaTheme="majorEastAsia" w:cstheme="minorEastAsia"/>
                <w:sz w:val="24"/>
                <w:szCs w:val="24"/>
                <w:lang w:val="en-US" w:eastAsia="zh-CN"/>
              </w:rPr>
              <w:t>[bottomDeviceName]</w:t>
            </w:r>
          </w:p>
        </w:tc>
        <w:tc>
          <w:tcPr>
            <w:tcW w:w="2074" w:type="dxa"/>
            <w:vAlign w:val="center"/>
          </w:tcPr>
          <w:p>
            <w:pPr>
              <w:widowControl/>
              <w:jc w:val="center"/>
              <w:textAlignment w:val="center"/>
              <w:rPr>
                <w:rFonts w:hint="default" w:asciiTheme="majorEastAsia" w:hAnsiTheme="majorEastAsia" w:eastAsiaTheme="majorEastAsia" w:cstheme="minorEastAsia"/>
                <w:sz w:val="24"/>
                <w:szCs w:val="24"/>
                <w:lang w:val="en-US" w:eastAsia="zh-CN"/>
              </w:rPr>
            </w:pPr>
            <w:r>
              <w:rPr>
                <w:rFonts w:hint="eastAsia" w:asciiTheme="majorEastAsia" w:hAnsiTheme="majorEastAsia" w:eastAsiaTheme="majorEastAsia" w:cstheme="minorEastAsia"/>
                <w:sz w:val="24"/>
                <w:szCs w:val="24"/>
                <w:lang w:val="en-US" w:eastAsia="zh-CN"/>
              </w:rPr>
              <w:t>[topFg]</w:t>
            </w:r>
          </w:p>
        </w:tc>
        <w:tc>
          <w:tcPr>
            <w:tcW w:w="2074" w:type="dxa"/>
            <w:vAlign w:val="center"/>
          </w:tcPr>
          <w:p>
            <w:pPr>
              <w:widowControl/>
              <w:jc w:val="center"/>
              <w:textAlignment w:val="center"/>
              <w:rPr>
                <w:rFonts w:hint="default" w:asciiTheme="majorEastAsia" w:hAnsiTheme="majorEastAsia" w:eastAsiaTheme="majorEastAsia" w:cstheme="minorEastAsia"/>
                <w:sz w:val="24"/>
                <w:szCs w:val="24"/>
                <w:lang w:val="en-US" w:eastAsia="zh-CN"/>
              </w:rPr>
            </w:pPr>
            <w:r>
              <w:rPr>
                <w:rFonts w:hint="eastAsia" w:asciiTheme="majorEastAsia" w:hAnsiTheme="majorEastAsia" w:eastAsiaTheme="majorEastAsia" w:cstheme="minorEastAsia"/>
                <w:sz w:val="24"/>
                <w:szCs w:val="24"/>
                <w:lang w:val="en-US" w:eastAsia="zh-CN"/>
              </w:rPr>
              <w:t>[sortNo]</w:t>
            </w:r>
          </w:p>
        </w:tc>
      </w:tr>
    </w:tbl>
    <w:p/>
    <w:p>
      <w:pPr>
        <w:spacing w:line="360" w:lineRule="auto"/>
      </w:pPr>
      <w:r>
        <w:rPr>
          <w:rFonts w:hint="eastAsia" w:cs="Times New Roman" w:asciiTheme="majorEastAsia" w:hAnsiTheme="majorEastAsia" w:eastAsiaTheme="majorEastAsia"/>
          <w:sz w:val="28"/>
          <w:szCs w:val="28"/>
          <w:lang w:val="en-US" w:eastAsia="zh-CN"/>
        </w:rPr>
        <w:t>{{/StationFGAnalysisMix}}</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9" w:name="_Toc93583532"/>
      <w:r>
        <w:rPr>
          <w:rFonts w:ascii="Times New Roman" w:hAnsi="Times New Roman" w:eastAsia="宋体" w:cs="Times New Roman"/>
          <w:b/>
          <w:bCs/>
          <w:sz w:val="32"/>
          <w:szCs w:val="32"/>
        </w:rPr>
        <w:t xml:space="preserve">3.3 </w:t>
      </w:r>
      <w:r>
        <w:rPr>
          <w:rFonts w:hint="eastAsia" w:ascii="Times New Roman" w:hAnsi="Times New Roman" w:eastAsia="宋体" w:cs="Times New Roman"/>
          <w:b/>
          <w:bCs/>
          <w:sz w:val="32"/>
          <w:szCs w:val="32"/>
        </w:rPr>
        <w:t>偏航静态偏差分析及预警</w:t>
      </w:r>
      <w:bookmarkEnd w:id="19"/>
    </w:p>
    <w:p>
      <w:pPr>
        <w:spacing w:line="360" w:lineRule="auto"/>
        <w:rPr>
          <w:rFonts w:cs="Times New Roman" w:asciiTheme="majorEastAsia" w:hAnsiTheme="majorEastAsia" w:eastAsiaTheme="majorEastAsia"/>
          <w:sz w:val="28"/>
          <w:szCs w:val="28"/>
        </w:rPr>
      </w:pPr>
      <w:r>
        <w:rPr>
          <w:rFonts w:hint="eastAsia" w:asciiTheme="majorEastAsia" w:hAnsiTheme="majorEastAsia" w:eastAsiaTheme="majorEastAsia"/>
        </w:rPr>
        <w:t xml:space="preserve"> </w:t>
      </w:r>
      <w:r>
        <w:rPr>
          <w:rFonts w:asciiTheme="majorEastAsia" w:hAnsiTheme="majorEastAsia" w:eastAsiaTheme="majorEastAsia"/>
        </w:rPr>
        <w:t xml:space="preserve">    </w:t>
      </w:r>
      <w:r>
        <w:rPr>
          <w:rFonts w:hint="eastAsia" w:cs="Times New Roman" w:asciiTheme="majorEastAsia" w:hAnsiTheme="majorEastAsia" w:eastAsiaTheme="majorEastAsia"/>
          <w:sz w:val="28"/>
          <w:szCs w:val="28"/>
        </w:rPr>
        <w:t>偏航系统是实现风电机组风电机组快速精准有效对风的执行机构，偏航控制系统性能直接决定着风电机组的安全性和经济性。风向传感器位于下风向，其测量值受叶片尾流、传感器误差、安装等因素影响使偏航控制系统产生偏航静态偏差，使风向与机舱轴线会产生一个偏差角度（偏航误差），偏航误差的存在会引起机组输出有功功率的减小，导致风电机组发电性能的损失，且对机组的载荷特性产生不利影响。</w:t>
      </w:r>
    </w:p>
    <w:p>
      <w:pPr>
        <w:spacing w:line="360" w:lineRule="auto"/>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偏航静态偏差反映的是偏航误差分布位置，体现的是风向测量值和实际来流风向的分布偏置情况，如下图所示。</w:t>
      </w:r>
    </w:p>
    <w:p>
      <w:pPr>
        <w:adjustRightInd w:val="0"/>
        <w:snapToGrid w:val="0"/>
        <w:spacing w:line="276" w:lineRule="auto"/>
        <w:ind w:left="181" w:leftChars="86"/>
        <w:jc w:val="center"/>
        <w:rPr>
          <w:rFonts w:ascii="Times New Roman" w:hAnsi="Times New Roman"/>
        </w:rPr>
      </w:pPr>
    </w:p>
    <w:p>
      <w:pPr>
        <w:spacing w:line="360" w:lineRule="auto"/>
        <w:ind w:firstLine="420" w:firstLineChars="200"/>
        <w:rPr>
          <w:rFonts w:ascii="Times New Roman" w:hAnsi="Times New Roman" w:eastAsia="仿宋_GB2312" w:cs="Times New Roman"/>
          <w:sz w:val="28"/>
          <w:szCs w:val="28"/>
        </w:rPr>
      </w:pPr>
      <w:r>
        <w:rPr>
          <w:rFonts w:ascii="Times New Roman" w:hAnsi="Times New Roman" w:eastAsia="宋体" w:cs="Times New Roman"/>
        </w:rPr>
        <w:object>
          <v:shape id="_x0000_i1025" o:spt="75" type="#_x0000_t75" style="height:225pt;width:329.25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图3-</w:t>
      </w:r>
      <w:r>
        <w:rPr>
          <w:rFonts w:cs="Times New Roman" w:asciiTheme="majorEastAsia" w:hAnsiTheme="majorEastAsia" w:eastAsiaTheme="majorEastAsia"/>
          <w:sz w:val="28"/>
          <w:szCs w:val="28"/>
        </w:rPr>
        <w:t xml:space="preserve">X </w:t>
      </w:r>
      <w:r>
        <w:rPr>
          <w:rFonts w:hint="eastAsia" w:cs="Times New Roman" w:asciiTheme="majorEastAsia" w:hAnsiTheme="majorEastAsia" w:eastAsiaTheme="majorEastAsia"/>
          <w:sz w:val="28"/>
          <w:szCs w:val="28"/>
        </w:rPr>
        <w:t>偏航静态偏差示意图</w:t>
      </w:r>
    </w:p>
    <w:p>
      <w:pPr>
        <w:pStyle w:val="4"/>
        <w:numPr>
          <w:ilvl w:val="0"/>
          <w:numId w:val="0"/>
        </w:numPr>
        <w:ind w:left="720" w:hanging="720"/>
      </w:pPr>
      <w:bookmarkStart w:id="20" w:name="_Toc93583533"/>
      <w:r>
        <w:t>3.3.1</w:t>
      </w:r>
      <w:r>
        <w:rPr>
          <w:rFonts w:hint="eastAsia"/>
        </w:rPr>
        <w:t>偏航静态偏差分析</w:t>
      </w:r>
      <w:bookmarkEnd w:id="20"/>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风电场机组的静态偏差分布范围为</w:t>
      </w:r>
      <w:r>
        <w:rPr>
          <w:rFonts w:hint="eastAsia" w:cs="Times New Roman" w:asciiTheme="majorEastAsia" w:hAnsiTheme="majorEastAsia" w:eastAsiaTheme="majorEastAsia"/>
          <w:sz w:val="28"/>
          <w:szCs w:val="28"/>
          <w:lang w:val="en-US" w:eastAsia="zh-CN"/>
        </w:rPr>
        <w:t>{{staticDeviationDistributionRange}}</w:t>
      </w:r>
      <w:r>
        <w:rPr>
          <w:rFonts w:hint="eastAsia" w:cs="Times New Roman" w:asciiTheme="majorEastAsia" w:hAnsiTheme="majorEastAsia" w:eastAsiaTheme="majorEastAsia"/>
          <w:sz w:val="28"/>
          <w:szCs w:val="28"/>
        </w:rPr>
        <w:t>°（最大负偏差-最大正偏差），平均偏差值为</w:t>
      </w:r>
      <w:r>
        <w:rPr>
          <w:rFonts w:hint="eastAsia" w:cs="Times New Roman" w:asciiTheme="majorEastAsia" w:hAnsiTheme="majorEastAsia" w:eastAsiaTheme="majorEastAsia"/>
          <w:sz w:val="28"/>
          <w:szCs w:val="28"/>
          <w:lang w:val="en-US" w:eastAsia="zh-CN"/>
        </w:rPr>
        <w:t>{{avgDeviationValue}}</w:t>
      </w:r>
      <w:r>
        <w:rPr>
          <w:rFonts w:hint="eastAsia" w:cs="Times New Roman" w:asciiTheme="majorEastAsia" w:hAnsiTheme="majorEastAsia" w:eastAsiaTheme="majorEastAsia"/>
          <w:sz w:val="28"/>
          <w:szCs w:val="28"/>
        </w:rPr>
        <w:t>°，风电机组偏航静态偏差情况统计如图所示。</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{{@yawStaticDeviationStatistics}}</w:t>
      </w:r>
    </w:p>
    <w:p>
      <w:pPr>
        <w:spacing w:line="360" w:lineRule="auto"/>
        <w:jc w:val="center"/>
        <w:rPr>
          <w:rFonts w:asciiTheme="majorEastAsia" w:hAnsiTheme="majorEastAsia" w:eastAsiaTheme="majorEastAsia"/>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XXX风电场中风电机组偏航静态偏差情况统计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其中偏航静态偏差绝对值大于</w:t>
      </w:r>
      <w:r>
        <w:rPr>
          <w:rFonts w:cs="Times New Roman" w:asciiTheme="majorEastAsia" w:hAnsiTheme="majorEastAsia" w:eastAsiaTheme="majorEastAsia"/>
          <w:sz w:val="28"/>
          <w:szCs w:val="28"/>
        </w:rPr>
        <w:t>5</w:t>
      </w:r>
      <w:r>
        <w:rPr>
          <w:rFonts w:hint="eastAsia" w:cs="Times New Roman" w:asciiTheme="majorEastAsia" w:hAnsiTheme="majorEastAsia" w:eastAsiaTheme="majorEastAsia"/>
          <w:sz w:val="28"/>
          <w:szCs w:val="28"/>
        </w:rPr>
        <w:t>°认为对风电机组的发电性能会产生较大的影响。其中</w:t>
      </w:r>
      <w:r>
        <w:rPr>
          <w:rFonts w:hint="eastAsia" w:cs="Times New Roman" w:asciiTheme="majorEastAsia" w:hAnsiTheme="majorEastAsia" w:eastAsiaTheme="majorEastAsia"/>
          <w:sz w:val="28"/>
          <w:szCs w:val="28"/>
          <w:lang w:val="en-US" w:eastAsia="zh-CN"/>
        </w:rPr>
        <w:t>{{yawStaticDeviationDefectJzCnt}}</w:t>
      </w:r>
      <w:r>
        <w:rPr>
          <w:rFonts w:hint="eastAsia" w:cs="Times New Roman" w:asciiTheme="majorEastAsia" w:hAnsiTheme="majorEastAsia" w:eastAsiaTheme="majorEastAsia"/>
          <w:sz w:val="28"/>
          <w:szCs w:val="28"/>
        </w:rPr>
        <w:t>台机组存在偏航静态偏差缺陷，可能导致风电机组发电性能的损失，其中</w:t>
      </w:r>
      <w:r>
        <w:rPr>
          <w:rFonts w:hint="eastAsia" w:cs="Times New Roman" w:asciiTheme="majorEastAsia" w:hAnsiTheme="majorEastAsia" w:eastAsiaTheme="majorEastAsia"/>
          <w:sz w:val="28"/>
          <w:szCs w:val="28"/>
          <w:lang w:val="en-US" w:eastAsia="zh-CN"/>
        </w:rPr>
        <w:t>{{yawStaticDeviationDefectTopName}}</w:t>
      </w:r>
      <w:r>
        <w:rPr>
          <w:rFonts w:hint="eastAsia" w:cs="Times New Roman" w:asciiTheme="majorEastAsia" w:hAnsiTheme="majorEastAsia" w:eastAsiaTheme="majorEastAsia"/>
          <w:sz w:val="28"/>
          <w:szCs w:val="28"/>
        </w:rPr>
        <w:t>机组偏航静态偏差最大，为</w:t>
      </w:r>
      <w:r>
        <w:rPr>
          <w:rFonts w:hint="eastAsia" w:cs="Times New Roman" w:asciiTheme="majorEastAsia" w:hAnsiTheme="majorEastAsia" w:eastAsiaTheme="majorEastAsia"/>
          <w:sz w:val="28"/>
          <w:szCs w:val="28"/>
          <w:lang w:val="en-US" w:eastAsia="zh-CN"/>
        </w:rPr>
        <w:t>{{yawStaticDeviationDefect}}</w:t>
      </w:r>
      <w:r>
        <w:rPr>
          <w:rFonts w:hint="eastAsia" w:cs="Times New Roman" w:asciiTheme="majorEastAsia" w:hAnsiTheme="majorEastAsia" w:eastAsiaTheme="majorEastAsia"/>
          <w:sz w:val="28"/>
          <w:szCs w:val="28"/>
        </w:rPr>
        <w:t>°，详细情况如下图所示。</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{{@yawStaticDeviationStatistics}}</w:t>
      </w:r>
    </w:p>
    <w:p>
      <w:pPr>
        <w:spacing w:line="360" w:lineRule="auto"/>
        <w:ind w:firstLine="564"/>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XXX风电场中风电机组偏航缺陷情况</w:t>
      </w:r>
    </w:p>
    <w:p>
      <w:pPr>
        <w:pStyle w:val="4"/>
        <w:numPr>
          <w:ilvl w:val="0"/>
          <w:numId w:val="0"/>
        </w:numPr>
        <w:ind w:left="720" w:hanging="720"/>
      </w:pPr>
      <w:bookmarkStart w:id="21" w:name="_Toc93583534"/>
      <w:r>
        <w:t>3.3.2</w:t>
      </w:r>
      <w:r>
        <w:rPr>
          <w:rFonts w:hint="eastAsia"/>
        </w:rPr>
        <w:t>偏航评价</w:t>
      </w:r>
      <w:bookmarkEnd w:id="21"/>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为了评价风电机组的偏航性能，根据偏航静态偏差的大小，将风电机组的偏航性能定义为“偏航正常”、“偏航预警”、“偏航异常”三种状态。</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风电场各风电机组偏航静差角度及偏航评价如下表所示。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风电场各风电机组偏航角度及偏航评价</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2769"/>
        <w:gridCol w:w="2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{{fjYawEvaluation}}</w:t>
            </w:r>
            <w:r>
              <w:rPr>
                <w:rFonts w:hint="eastAsia" w:cs="Times New Roman" w:asciiTheme="majorEastAsia" w:hAnsiTheme="majorEastAsia" w:eastAsiaTheme="majorEastAsia"/>
                <w:sz w:val="24"/>
                <w:szCs w:val="24"/>
              </w:rPr>
              <w:t>机组编号</w:t>
            </w:r>
          </w:p>
        </w:tc>
        <w:tc>
          <w:tcPr>
            <w:tcW w:w="276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偏航角度</w:t>
            </w:r>
          </w:p>
        </w:tc>
        <w:tc>
          <w:tcPr>
            <w:tcW w:w="275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偏航评价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[jzbh]</w:t>
            </w:r>
          </w:p>
        </w:tc>
        <w:tc>
          <w:tcPr>
            <w:tcW w:w="2769" w:type="dxa"/>
            <w:vAlign w:val="center"/>
          </w:tcPr>
          <w:p>
            <w:pPr>
              <w:widowControl/>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[phjd]</w:t>
            </w:r>
          </w:p>
        </w:tc>
        <w:tc>
          <w:tcPr>
            <w:tcW w:w="2759" w:type="dxa"/>
            <w:vAlign w:val="center"/>
          </w:tcPr>
          <w:p>
            <w:pPr>
              <w:widowControl/>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[phpj]</w:t>
            </w:r>
          </w:p>
        </w:tc>
      </w:tr>
    </w:tbl>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22" w:name="_Toc93583535"/>
      <w:r>
        <w:rPr>
          <w:rFonts w:ascii="Times New Roman" w:hAnsi="Times New Roman" w:eastAsia="宋体" w:cs="Times New Roman"/>
          <w:b/>
          <w:bCs/>
          <w:sz w:val="32"/>
          <w:szCs w:val="32"/>
        </w:rPr>
        <w:t xml:space="preserve">3.4 </w:t>
      </w:r>
      <w:r>
        <w:rPr>
          <w:rFonts w:hint="eastAsia" w:ascii="Times New Roman" w:hAnsi="Times New Roman" w:eastAsia="宋体" w:cs="Times New Roman"/>
          <w:b/>
          <w:bCs/>
          <w:sz w:val="32"/>
          <w:szCs w:val="32"/>
        </w:rPr>
        <w:t>小结</w:t>
      </w:r>
      <w:bookmarkEnd w:id="22"/>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本章从发电性能一致性、发电能力指标、偏航静态偏差情况三部分对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风电场的整体情况及各风电机组进行了分析。由分析结果可得，在发电性能方面，编号</w:t>
      </w:r>
      <w:r>
        <w:rPr>
          <w:rFonts w:hint="eastAsia" w:cs="Times New Roman" w:asciiTheme="majorEastAsia" w:hAnsiTheme="majorEastAsia" w:eastAsiaTheme="majorEastAsia"/>
          <w:sz w:val="28"/>
          <w:szCs w:val="28"/>
          <w:lang w:val="en-US" w:eastAsia="zh-CN"/>
        </w:rPr>
        <w:t>{{pgSummaryTopDeviceName}}</w:t>
      </w:r>
      <w:r>
        <w:rPr>
          <w:rFonts w:hint="eastAsia" w:cs="Times New Roman" w:asciiTheme="majorEastAsia" w:hAnsiTheme="majorEastAsia" w:eastAsiaTheme="majorEastAsia"/>
          <w:sz w:val="28"/>
          <w:szCs w:val="28"/>
        </w:rPr>
        <w:t>的风电机组发电性能最佳，编号</w:t>
      </w:r>
      <w:r>
        <w:rPr>
          <w:rFonts w:hint="eastAsia" w:cs="Times New Roman" w:asciiTheme="majorEastAsia" w:hAnsiTheme="majorEastAsia" w:eastAsiaTheme="majorEastAsia"/>
          <w:sz w:val="28"/>
          <w:szCs w:val="28"/>
          <w:lang w:val="en-US" w:eastAsia="zh-CN"/>
        </w:rPr>
        <w:t>{{pgSummaryBottomDeviceName}}</w:t>
      </w:r>
      <w:r>
        <w:rPr>
          <w:rFonts w:hint="eastAsia" w:cs="Times New Roman" w:asciiTheme="majorEastAsia" w:hAnsiTheme="majorEastAsia" w:eastAsiaTheme="majorEastAsia"/>
          <w:sz w:val="28"/>
          <w:szCs w:val="28"/>
        </w:rPr>
        <w:t>的风电机组发电性能最差；在偏航性能方面，X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台机组处于偏航正常状态，占比X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台机组处于偏航预警状态，占比X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%。偏航静态偏差处于预警状态的机组应尽快开展进一步的分析，可通过优化偏航控制参数进行优化，以消除偏差，避免发电量的损失。</w:t>
      </w:r>
    </w:p>
    <w:p>
      <w:pPr>
        <w:keepNext/>
        <w:keepLines/>
        <w:tabs>
          <w:tab w:val="left" w:pos="5124"/>
        </w:tabs>
        <w:spacing w:before="240" w:after="120" w:line="360" w:lineRule="auto"/>
        <w:outlineLvl w:val="1"/>
        <w:rPr>
          <w:rFonts w:ascii="宋体" w:hAnsi="宋体" w:eastAsia="宋体" w:cs="Times New Roman"/>
          <w:b/>
          <w:bCs/>
          <w:sz w:val="32"/>
          <w:szCs w:val="32"/>
        </w:rPr>
      </w:pPr>
      <w:bookmarkStart w:id="23" w:name="_Toc93583536"/>
      <w:r>
        <w:rPr>
          <w:rFonts w:hint="eastAsia" w:ascii="宋体" w:hAnsi="宋体" w:eastAsia="宋体" w:cs="Times New Roman"/>
          <w:b/>
          <w:bCs/>
          <w:sz w:val="32"/>
          <w:szCs w:val="32"/>
        </w:rPr>
        <w:t>四、涉网性能评价及分析</w:t>
      </w:r>
      <w:bookmarkEnd w:id="23"/>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24" w:name="_Toc93583537"/>
      <w:r>
        <w:rPr>
          <w:rFonts w:ascii="Times New Roman" w:hAnsi="Times New Roman" w:eastAsia="宋体" w:cs="Times New Roman"/>
          <w:b/>
          <w:bCs/>
          <w:sz w:val="32"/>
          <w:szCs w:val="32"/>
        </w:rPr>
        <w:t>4.1 AGC性能评价</w:t>
      </w:r>
      <w:r>
        <w:rPr>
          <w:rFonts w:hint="eastAsia" w:ascii="Times New Roman" w:hAnsi="Times New Roman" w:eastAsia="宋体" w:cs="Times New Roman"/>
          <w:b/>
          <w:bCs/>
          <w:sz w:val="32"/>
          <w:szCs w:val="32"/>
        </w:rPr>
        <w:t>及分析</w:t>
      </w:r>
      <w:bookmarkEnd w:id="24"/>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5" w:name="_Toc93583538"/>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1</w:t>
      </w:r>
      <w:r>
        <w:rPr>
          <w:rFonts w:ascii="Times New Roman" w:hAnsi="Times New Roman" w:eastAsia="宋体" w:cs="Times New Roman"/>
          <w:b/>
          <w:bCs/>
          <w:sz w:val="32"/>
          <w:szCs w:val="32"/>
        </w:rPr>
        <w:t>.1</w:t>
      </w:r>
      <w:r>
        <w:rPr>
          <w:rFonts w:hint="eastAsia" w:ascii="Times New Roman" w:hAnsi="Times New Roman" w:eastAsia="宋体" w:cs="Times New Roman"/>
          <w:b/>
          <w:bCs/>
          <w:sz w:val="32"/>
          <w:szCs w:val="32"/>
        </w:rPr>
        <w:t>月度跟踪评价</w:t>
      </w:r>
      <w:bookmarkEnd w:id="25"/>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AGC性能</w:t>
      </w:r>
      <w:r>
        <w:rPr>
          <w:rFonts w:hint="eastAsia" w:ascii="Times New Roman" w:hAnsi="Times New Roman" w:eastAsia="宋体" w:cs="Times New Roman"/>
          <w:sz w:val="28"/>
          <w:szCs w:val="28"/>
        </w:rPr>
        <w:t>评价</w:t>
      </w:r>
      <w:r>
        <w:rPr>
          <w:rFonts w:ascii="Times New Roman" w:hAnsi="Times New Roman" w:eastAsia="宋体" w:cs="Times New Roman"/>
          <w:sz w:val="28"/>
          <w:szCs w:val="28"/>
        </w:rPr>
        <w:t>指标主要包括调节精度、控制精度、绝对平均偏差、最大正偏差和最大负偏差</w:t>
      </w:r>
      <w:r>
        <w:rPr>
          <w:rFonts w:hint="eastAsia" w:ascii="Times New Roman" w:hAnsi="Times New Roman" w:eastAsia="宋体" w:cs="Times New Roman"/>
          <w:sz w:val="28"/>
          <w:szCs w:val="28"/>
        </w:rPr>
        <w:t>，</w:t>
      </w:r>
      <w:r>
        <w:rPr>
          <w:rFonts w:ascii="Times New Roman" w:hAnsi="Times New Roman" w:eastAsia="宋体" w:cs="Times New Roman"/>
          <w:sz w:val="28"/>
          <w:szCs w:val="28"/>
        </w:rPr>
        <w:t>这些</w:t>
      </w:r>
      <w:r>
        <w:rPr>
          <w:rFonts w:hint="eastAsia" w:ascii="Times New Roman" w:hAnsi="Times New Roman" w:eastAsia="宋体" w:cs="Times New Roman"/>
          <w:sz w:val="28"/>
          <w:szCs w:val="28"/>
        </w:rPr>
        <w:t>指标均反映了风电场响应目标出力的准确程度。</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调节精度</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实际功率与AGC指令之差的绝对值</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控制精度</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调节精度与装机容量之比</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绝对平均偏差指实际功率与AGC指令差的绝对值的平均值</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最大正/负偏差为当天调节精度的最大正/负值。</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{{?stationRelatedNetAGCMonthEvaluateMix}}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{{relatedNetAGCYearMonth}}</w:t>
      </w:r>
      <w:r>
        <w:rPr>
          <w:rFonts w:hint="eastAsia" w:ascii="Times New Roman" w:hAnsi="Times New Roman" w:eastAsia="宋体" w:cs="Times New Roman"/>
          <w:sz w:val="28"/>
          <w:szCs w:val="28"/>
        </w:rPr>
        <w:t>每日</w:t>
      </w:r>
      <w:r>
        <w:rPr>
          <w:rFonts w:ascii="Times New Roman" w:hAnsi="Times New Roman" w:eastAsia="宋体" w:cs="Times New Roman"/>
          <w:sz w:val="28"/>
          <w:szCs w:val="28"/>
        </w:rPr>
        <w:t>AGC性能进行统计，得到图4</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+ 2}}</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{{@relatedNetAGCControlPrecisionPie}}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lang w:val="en-US" w:eastAsia="zh-CN"/>
        </w:rPr>
        <w:t>{{_index *2 + 1}}</w:t>
      </w:r>
      <w:r>
        <w:rPr>
          <w:rFonts w:ascii="Times New Roman" w:hAnsi="Times New Roman" w:eastAsia="宋体" w:cs="Times New Roman"/>
          <w:sz w:val="24"/>
          <w:szCs w:val="24"/>
        </w:rPr>
        <w:t xml:space="preserve">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{{relatedNetAGCYearMonth}}</w:t>
      </w:r>
      <w:r>
        <w:rPr>
          <w:rFonts w:ascii="Times New Roman" w:hAnsi="Times New Roman" w:eastAsia="宋体" w:cs="Times New Roman"/>
          <w:sz w:val="24"/>
          <w:szCs w:val="24"/>
        </w:rPr>
        <w:t>AGC调节精度</w:t>
      </w:r>
      <w:r>
        <w:rPr>
          <w:rFonts w:hint="eastAsia" w:ascii="Times New Roman" w:hAnsi="Times New Roman" w:eastAsia="宋体" w:cs="Times New Roman"/>
          <w:sz w:val="24"/>
          <w:szCs w:val="24"/>
        </w:rPr>
        <w:t>统计</w:t>
      </w:r>
      <w:r>
        <w:rPr>
          <w:rFonts w:ascii="Times New Roman" w:hAnsi="Times New Roman" w:eastAsia="宋体" w:cs="Times New Roman"/>
          <w:sz w:val="24"/>
          <w:szCs w:val="24"/>
        </w:rPr>
        <w:t>图</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{{@relatedNetAGCPerfAnalysisBarGroup}}</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lang w:val="en-US" w:eastAsia="zh-CN"/>
        </w:rPr>
        <w:t>{{_index *2 + 2}}</w:t>
      </w:r>
      <w:r>
        <w:rPr>
          <w:rFonts w:ascii="Times New Roman" w:hAnsi="Times New Roman" w:eastAsia="宋体" w:cs="Times New Roman"/>
          <w:sz w:val="24"/>
          <w:szCs w:val="24"/>
        </w:rPr>
        <w:t xml:space="preserve">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{{relatedNetAGCYearMonth}}</w:t>
      </w:r>
      <w:r>
        <w:rPr>
          <w:rFonts w:ascii="Times New Roman" w:hAnsi="Times New Roman" w:eastAsia="宋体" w:cs="Times New Roman"/>
          <w:sz w:val="24"/>
          <w:szCs w:val="24"/>
        </w:rPr>
        <w:t>AGC性能分析图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{{relatedNetAGCYearMonth}}</w:t>
      </w:r>
      <w:r>
        <w:rPr>
          <w:rFonts w:hint="eastAsia" w:ascii="Times New Roman" w:hAnsi="Times New Roman" w:eastAsia="宋体" w:cs="Times New Roman"/>
          <w:sz w:val="28"/>
          <w:szCs w:val="28"/>
        </w:rPr>
        <w:t>AGC平均调节精度为</w:t>
      </w:r>
      <w:r>
        <w:rPr>
          <w:rFonts w:hint="eastAsia" w:ascii="Times New Roman" w:hAnsi="Times New Roman" w:eastAsia="宋体" w:cs="Times New Roman"/>
          <w:sz w:val="28"/>
          <w:szCs w:val="28"/>
          <w:lang w:val="en-US" w:eastAsia="zh-CN"/>
        </w:rPr>
        <w:t>{{relatedNetAGCAvgControlPrecision}}</w:t>
      </w:r>
      <w:r>
        <w:rPr>
          <w:rFonts w:hint="eastAsia" w:ascii="Times New Roman" w:hAnsi="Times New Roman" w:eastAsia="宋体" w:cs="Times New Roman"/>
          <w:sz w:val="28"/>
          <w:szCs w:val="28"/>
        </w:rPr>
        <w:t>%，同比</w:t>
      </w:r>
      <w:r>
        <w:rPr>
          <w:rFonts w:hint="eastAsia" w:ascii="Times New Roman" w:hAnsi="Times New Roman" w:eastAsia="宋体" w:cs="Times New Roman"/>
          <w:sz w:val="28"/>
          <w:szCs w:val="28"/>
          <w:lang w:val="en-US" w:eastAsia="zh-CN"/>
        </w:rPr>
        <w:t>{{relatedNetAGCYearCompare}}{{relatedNetAGCYearCompareValue}}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{{relatedNetAGCMonthCompare}}{{relatedNetAGCMonthCompareValue}}</w:t>
      </w:r>
      <w:r>
        <w:rPr>
          <w:rFonts w:hint="eastAsia" w:ascii="Times New Roman" w:hAnsi="Times New Roman" w:eastAsia="宋体" w:cs="Times New Roman"/>
          <w:sz w:val="28"/>
          <w:szCs w:val="28"/>
        </w:rPr>
        <w:t>%。</w:t>
      </w:r>
      <w:r>
        <w:rPr>
          <w:rFonts w:ascii="Times New Roman" w:hAnsi="Times New Roman" w:eastAsia="宋体" w:cs="Times New Roman"/>
          <w:sz w:val="28"/>
          <w:szCs w:val="28"/>
        </w:rPr>
        <w:t>其中调节精度小于1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lang w:val="en-US" w:eastAsia="zh-CN"/>
        </w:rPr>
        <w:t>{{relatedNetAGCLastThan1}}</w:t>
      </w:r>
      <w:r>
        <w:rPr>
          <w:rFonts w:ascii="Times New Roman" w:hAnsi="Times New Roman" w:eastAsia="宋体" w:cs="Times New Roman"/>
          <w:sz w:val="28"/>
          <w:szCs w:val="28"/>
        </w:rPr>
        <w:t>%，调节精度在1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到3%之间的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lang w:val="en-US" w:eastAsia="zh-CN"/>
        </w:rPr>
        <w:t>{{relatedNetAGCBetween1And3}}</w:t>
      </w:r>
      <w:r>
        <w:rPr>
          <w:rFonts w:ascii="Times New Roman" w:hAnsi="Times New Roman" w:eastAsia="宋体" w:cs="Times New Roman"/>
          <w:sz w:val="28"/>
          <w:szCs w:val="28"/>
        </w:rPr>
        <w:t>%，调节精度在3%以上的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lang w:val="en-US" w:eastAsia="zh-CN"/>
        </w:rPr>
        <w:t>{{relatedNetAGCGreatThan3}}</w:t>
      </w:r>
      <w:r>
        <w:rPr>
          <w:rFonts w:ascii="Times New Roman" w:hAnsi="Times New Roman" w:eastAsia="宋体" w:cs="Times New Roman"/>
          <w:sz w:val="28"/>
          <w:szCs w:val="28"/>
        </w:rPr>
        <w:t>%。</w:t>
      </w:r>
    </w:p>
    <w:p>
      <w:pPr>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{{/stationRelatedNetAGCMonthEvaluateMix}}</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6" w:name="_Toc93583539"/>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1</w:t>
      </w:r>
      <w:r>
        <w:rPr>
          <w:rFonts w:ascii="Times New Roman" w:hAnsi="Times New Roman" w:eastAsia="宋体" w:cs="Times New Roman"/>
          <w:b/>
          <w:bCs/>
          <w:sz w:val="32"/>
          <w:szCs w:val="32"/>
        </w:rPr>
        <w:t>.2</w:t>
      </w:r>
      <w:r>
        <w:rPr>
          <w:rFonts w:hint="eastAsia" w:ascii="Times New Roman" w:hAnsi="Times New Roman" w:eastAsia="宋体" w:cs="Times New Roman"/>
          <w:b/>
          <w:bCs/>
          <w:sz w:val="32"/>
          <w:szCs w:val="32"/>
        </w:rPr>
        <w:t>典型日运行情况分析</w:t>
      </w:r>
      <w:bookmarkEnd w:id="26"/>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季度运行期间</w:t>
      </w:r>
      <w:r>
        <w:rPr>
          <w:rFonts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{{relatedNetAGCTopDay}}</w:t>
      </w:r>
      <w:r>
        <w:rPr>
          <w:rFonts w:ascii="Times New Roman" w:hAnsi="Times New Roman" w:eastAsia="宋体" w:cs="Times New Roman"/>
          <w:sz w:val="28"/>
          <w:szCs w:val="28"/>
        </w:rPr>
        <w:t>AGC控制精度最佳，达到</w:t>
      </w:r>
      <w:r>
        <w:rPr>
          <w:rFonts w:hint="eastAsia" w:ascii="Times New Roman" w:hAnsi="Times New Roman" w:eastAsia="宋体" w:cs="Times New Roman"/>
          <w:sz w:val="28"/>
          <w:szCs w:val="28"/>
          <w:lang w:val="en-US" w:eastAsia="zh-CN"/>
        </w:rPr>
        <w:t>{{relatedNetAGCTopDayControlPrecision}}</w:t>
      </w:r>
      <w:r>
        <w:rPr>
          <w:rFonts w:ascii="Times New Roman" w:hAnsi="Times New Roman" w:eastAsia="宋体" w:cs="Times New Roman"/>
          <w:sz w:val="28"/>
          <w:szCs w:val="28"/>
        </w:rPr>
        <w:t>%，当日的AGC控制曲线如图4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7所示</w:t>
      </w:r>
      <w:r>
        <w:rPr>
          <w:rFonts w:hint="eastAsia" w:ascii="Times New Roman" w:hAnsi="Times New Roman" w:eastAsia="宋体" w:cs="Times New Roman"/>
          <w:sz w:val="28"/>
          <w:szCs w:val="28"/>
        </w:rPr>
        <w:t>。</w:t>
      </w:r>
    </w:p>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{{@relatedNetAGCTopDayControlPrecisionLine}}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7 </w:t>
      </w:r>
      <w:r>
        <w:rPr>
          <w:rFonts w:hint="eastAsia" w:ascii="Times New Roman" w:hAnsi="Times New Roman" w:eastAsia="宋体" w:cs="Times New Roman"/>
          <w:sz w:val="24"/>
          <w:szCs w:val="24"/>
          <w:lang w:val="en-US" w:eastAsia="zh-CN"/>
        </w:rPr>
        <w:t>{{stationName}}</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{{relatedNetAGCTopDay}}</w:t>
      </w:r>
      <w:r>
        <w:rPr>
          <w:rFonts w:ascii="Times New Roman" w:hAnsi="Times New Roman" w:eastAsia="宋体" w:cs="Times New Roman"/>
          <w:sz w:val="24"/>
          <w:szCs w:val="24"/>
        </w:rPr>
        <w:t>AGC控制曲线图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度运行期间</w:t>
      </w:r>
      <w:r>
        <w:rPr>
          <w:rFonts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{{relatedNetAGCBottomDay}}</w:t>
      </w:r>
      <w:r>
        <w:rPr>
          <w:rFonts w:ascii="Times New Roman" w:hAnsi="Times New Roman" w:eastAsia="宋体" w:cs="Times New Roman"/>
          <w:sz w:val="28"/>
          <w:szCs w:val="28"/>
        </w:rPr>
        <w:t>AGC控制精度最差，达到</w:t>
      </w:r>
      <w:r>
        <w:rPr>
          <w:rFonts w:hint="eastAsia" w:ascii="Times New Roman" w:hAnsi="Times New Roman" w:eastAsia="宋体" w:cs="Times New Roman"/>
          <w:sz w:val="28"/>
          <w:szCs w:val="28"/>
          <w:lang w:val="en-US" w:eastAsia="zh-CN"/>
        </w:rPr>
        <w:t>{{relatedNetAGCBottomDayControlPrecision}}</w:t>
      </w:r>
      <w:r>
        <w:rPr>
          <w:rFonts w:ascii="Times New Roman" w:hAnsi="Times New Roman" w:eastAsia="宋体" w:cs="Times New Roman"/>
          <w:sz w:val="28"/>
          <w:szCs w:val="28"/>
        </w:rPr>
        <w:t>%，当日的AGC控制曲线如图</w:t>
      </w:r>
      <w:r>
        <w:rPr>
          <w:rFonts w:hint="eastAsia" w:ascii="Times New Roman" w:hAnsi="Times New Roman" w:eastAsia="宋体" w:cs="Times New Roman"/>
          <w:sz w:val="28"/>
          <w:szCs w:val="28"/>
        </w:rPr>
        <w:t>4-</w:t>
      </w:r>
      <w:r>
        <w:rPr>
          <w:rFonts w:ascii="Times New Roman" w:hAnsi="Times New Roman" w:eastAsia="宋体" w:cs="Times New Roman"/>
          <w:sz w:val="28"/>
          <w:szCs w:val="28"/>
        </w:rPr>
        <w:t>8所示。</w:t>
      </w:r>
    </w:p>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{{@relatedNetAGCBottomDayControlPrecisionLine}}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8 </w:t>
      </w:r>
      <w:r>
        <w:rPr>
          <w:rFonts w:hint="eastAsia" w:ascii="Times New Roman" w:hAnsi="Times New Roman" w:eastAsia="宋体" w:cs="Times New Roman"/>
          <w:sz w:val="24"/>
          <w:szCs w:val="24"/>
          <w:lang w:val="en-US" w:eastAsia="zh-CN"/>
        </w:rPr>
        <w:t>{{stationName}}</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{{relatedNetAGCBottomDay}}</w:t>
      </w:r>
      <w:r>
        <w:rPr>
          <w:rFonts w:ascii="Times New Roman" w:hAnsi="Times New Roman" w:eastAsia="宋体" w:cs="Times New Roman"/>
          <w:sz w:val="24"/>
          <w:szCs w:val="24"/>
        </w:rPr>
        <w:t>AGC控制曲线图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sz w:val="32"/>
          <w:szCs w:val="32"/>
        </w:rPr>
      </w:pPr>
      <w:bookmarkStart w:id="27" w:name="_Toc91506140"/>
      <w:bookmarkStart w:id="28" w:name="_Toc93583540"/>
      <w:r>
        <w:rPr>
          <w:rFonts w:ascii="Times New Roman" w:hAnsi="Times New Roman" w:eastAsia="宋体" w:cs="Times New Roman"/>
          <w:b/>
          <w:bCs/>
          <w:sz w:val="32"/>
          <w:szCs w:val="32"/>
        </w:rPr>
        <w:t>4.2 AVC性能评价</w:t>
      </w:r>
      <w:bookmarkEnd w:id="27"/>
      <w:r>
        <w:rPr>
          <w:rFonts w:hint="eastAsia" w:ascii="Times New Roman" w:hAnsi="Times New Roman" w:eastAsia="宋体" w:cs="Times New Roman"/>
          <w:b/>
          <w:bCs/>
          <w:sz w:val="32"/>
          <w:szCs w:val="32"/>
        </w:rPr>
        <w:t>及分析</w:t>
      </w:r>
      <w:bookmarkEnd w:id="28"/>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9" w:name="_Toc93583541"/>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.2.1</w:t>
      </w:r>
      <w:r>
        <w:rPr>
          <w:rFonts w:hint="eastAsia" w:ascii="Times New Roman" w:hAnsi="Times New Roman" w:eastAsia="宋体" w:cs="Times New Roman"/>
          <w:b/>
          <w:bCs/>
          <w:sz w:val="32"/>
          <w:szCs w:val="32"/>
        </w:rPr>
        <w:t>月度跟踪评价</w:t>
      </w:r>
      <w:bookmarkEnd w:id="29"/>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场站AVC性能指标主要包括控制偏差和</w:t>
      </w:r>
      <w:r>
        <w:rPr>
          <w:rFonts w:hint="eastAsia" w:ascii="Times New Roman" w:hAnsi="Times New Roman" w:eastAsia="宋体" w:cs="Times New Roman"/>
          <w:sz w:val="28"/>
          <w:szCs w:val="28"/>
        </w:rPr>
        <w:t>电压</w:t>
      </w:r>
      <w:r>
        <w:rPr>
          <w:rFonts w:ascii="Times New Roman" w:hAnsi="Times New Roman" w:eastAsia="宋体" w:cs="Times New Roman"/>
          <w:sz w:val="28"/>
          <w:szCs w:val="28"/>
        </w:rPr>
        <w:t>合格率</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在调压过程中，调度每</w:t>
      </w:r>
      <w:r>
        <w:rPr>
          <w:rFonts w:ascii="Times New Roman" w:hAnsi="Times New Roman" w:eastAsia="宋体" w:cs="Times New Roman"/>
          <w:sz w:val="28"/>
          <w:szCs w:val="28"/>
        </w:rPr>
        <w:t>5min下发一个指令值</w:t>
      </w:r>
      <w:r>
        <w:rPr>
          <w:rFonts w:hint="eastAsia" w:ascii="Times New Roman" w:hAnsi="Times New Roman" w:eastAsia="宋体" w:cs="Times New Roman"/>
          <w:sz w:val="28"/>
          <w:szCs w:val="28"/>
        </w:rPr>
        <w:t>，</w:t>
      </w:r>
      <w:r>
        <w:rPr>
          <w:rFonts w:ascii="Times New Roman" w:hAnsi="Times New Roman" w:eastAsia="宋体" w:cs="Times New Roman"/>
          <w:sz w:val="28"/>
          <w:szCs w:val="28"/>
        </w:rPr>
        <w:t>从2min30s开始每隔30s采集一次并网点实际电压。控制偏差</w:t>
      </w:r>
      <w:r>
        <w:rPr>
          <w:rFonts w:hint="eastAsia" w:ascii="Times New Roman" w:hAnsi="Times New Roman" w:eastAsia="宋体" w:cs="Times New Roman"/>
          <w:sz w:val="28"/>
          <w:szCs w:val="28"/>
        </w:rPr>
        <w:t>是指这</w:t>
      </w:r>
      <w:r>
        <w:rPr>
          <w:rFonts w:ascii="Times New Roman" w:hAnsi="Times New Roman" w:eastAsia="宋体" w:cs="Times New Roman"/>
          <w:sz w:val="28"/>
          <w:szCs w:val="28"/>
        </w:rPr>
        <w:t>5个实测电压平均值与AVC指令电压的差值，反映了AVC</w:t>
      </w:r>
      <w:r>
        <w:rPr>
          <w:rFonts w:hint="eastAsia" w:ascii="Times New Roman" w:hAnsi="Times New Roman" w:eastAsia="宋体" w:cs="Times New Roman"/>
          <w:sz w:val="28"/>
          <w:szCs w:val="28"/>
        </w:rPr>
        <w:t>电压调节的精确度。</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电压</w:t>
      </w:r>
      <w:r>
        <w:rPr>
          <w:rFonts w:ascii="Times New Roman" w:hAnsi="Times New Roman" w:eastAsia="宋体" w:cs="Times New Roman"/>
          <w:sz w:val="28"/>
          <w:szCs w:val="28"/>
        </w:rPr>
        <w:t>合格率指实测电压平均值与AVC指令电压差值的绝对值小于500V的个数与AVC指令电压个数的比，反映了一段时间内场站电压合格情况，是调度</w:t>
      </w:r>
      <w:r>
        <w:rPr>
          <w:rFonts w:hint="eastAsia" w:ascii="Times New Roman" w:hAnsi="Times New Roman" w:eastAsia="宋体" w:cs="Times New Roman"/>
          <w:sz w:val="28"/>
          <w:szCs w:val="28"/>
        </w:rPr>
        <w:t>对电压</w:t>
      </w:r>
      <w:r>
        <w:rPr>
          <w:rFonts w:ascii="Times New Roman" w:hAnsi="Times New Roman" w:eastAsia="宋体" w:cs="Times New Roman"/>
          <w:sz w:val="28"/>
          <w:szCs w:val="28"/>
        </w:rPr>
        <w:t>考核的一项重要指标</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ascii="Times New Roman" w:hAnsi="Times New Roman" w:eastAsia="宋体" w:cs="Times New Roman"/>
          <w:sz w:val="28"/>
          <w:szCs w:val="28"/>
        </w:rPr>
        <w:t>年</w:t>
      </w:r>
      <w:r>
        <w:rPr>
          <w:rFonts w:hint="eastAsia" w:ascii="Times New Roman" w:hAnsi="Times New Roman" w:eastAsia="宋体" w:cs="Times New Roman"/>
          <w:sz w:val="28"/>
          <w:szCs w:val="28"/>
          <w:lang w:val="en-US" w:eastAsia="zh-CN"/>
        </w:rPr>
        <w:t>第{{reportQuarter}}季度</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AVC性能指标</w:t>
      </w:r>
      <w:r>
        <w:rPr>
          <w:rFonts w:ascii="Times New Roman" w:hAnsi="Times New Roman" w:eastAsia="宋体" w:cs="Times New Roman"/>
          <w:sz w:val="28"/>
          <w:szCs w:val="28"/>
        </w:rPr>
        <w:t>进行统计，得到</w:t>
      </w:r>
      <w:r>
        <w:rPr>
          <w:rFonts w:hint="eastAsia" w:ascii="Times New Roman" w:hAnsi="Times New Roman" w:eastAsia="宋体" w:cs="Times New Roman"/>
          <w:sz w:val="28"/>
          <w:szCs w:val="28"/>
        </w:rPr>
        <w:t>表4-</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如下。</w:t>
      </w: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 xml:space="preserve">表 </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 xml:space="preserve">1 </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季度AVC性能指标统计表</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
        <w:gridCol w:w="2314"/>
        <w:gridCol w:w="1319"/>
        <w:gridCol w:w="1296"/>
        <w:gridCol w:w="936"/>
        <w:gridCol w:w="918"/>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restart"/>
            <w:vAlign w:val="center"/>
          </w:tcPr>
          <w:p>
            <w:pPr>
              <w:jc w:val="center"/>
              <w:rPr>
                <w:rFonts w:ascii="Calibri" w:hAnsi="Calibri"/>
                <w:sz w:val="28"/>
                <w:szCs w:val="28"/>
              </w:rPr>
            </w:pPr>
            <w:r>
              <w:rPr>
                <w:rFonts w:hint="eastAsia" w:ascii="Calibri" w:hAnsi="Calibri"/>
                <w:sz w:val="28"/>
                <w:szCs w:val="28"/>
              </w:rPr>
              <w:t>时间</w:t>
            </w:r>
          </w:p>
        </w:tc>
        <w:tc>
          <w:tcPr>
            <w:tcW w:w="3555" w:type="dxa"/>
            <w:gridSpan w:val="3"/>
            <w:vAlign w:val="center"/>
          </w:tcPr>
          <w:p>
            <w:pPr>
              <w:jc w:val="center"/>
              <w:rPr>
                <w:rFonts w:ascii="Calibri" w:hAnsi="Calibri"/>
                <w:sz w:val="28"/>
                <w:szCs w:val="28"/>
              </w:rPr>
            </w:pPr>
            <w:r>
              <w:rPr>
                <w:rFonts w:hint="eastAsia" w:ascii="Calibri" w:hAnsi="Calibri"/>
                <w:sz w:val="28"/>
                <w:szCs w:val="28"/>
              </w:rPr>
              <w:t>控制偏差</w:t>
            </w:r>
          </w:p>
        </w:tc>
        <w:tc>
          <w:tcPr>
            <w:tcW w:w="3556" w:type="dxa"/>
            <w:gridSpan w:val="3"/>
            <w:vAlign w:val="center"/>
          </w:tcPr>
          <w:p>
            <w:pPr>
              <w:jc w:val="center"/>
              <w:rPr>
                <w:rFonts w:ascii="Calibri" w:hAnsi="Calibri"/>
                <w:sz w:val="28"/>
                <w:szCs w:val="28"/>
              </w:rPr>
            </w:pPr>
            <w:r>
              <w:rPr>
                <w:rFonts w:hint="eastAsia" w:ascii="Calibri" w:hAnsi="Calibri"/>
                <w:sz w:val="28"/>
                <w:szCs w:val="28"/>
              </w:rPr>
              <w:t>合格率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continue"/>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r>
              <w:rPr>
                <w:rFonts w:hint="eastAsia" w:ascii="Calibri" w:hAnsi="Calibri"/>
                <w:sz w:val="28"/>
                <w:szCs w:val="28"/>
                <w:lang w:val="en-US" w:eastAsia="zh-CN"/>
              </w:rPr>
              <w:t>{{relatedNetPerfAVCMonthEvaluateTable}}</w:t>
            </w:r>
            <w:r>
              <w:rPr>
                <w:rFonts w:hint="eastAsia" w:ascii="Calibri" w:hAnsi="Calibri"/>
                <w:sz w:val="28"/>
                <w:szCs w:val="28"/>
              </w:rPr>
              <w:t>最大值</w:t>
            </w:r>
          </w:p>
        </w:tc>
        <w:tc>
          <w:tcPr>
            <w:tcW w:w="1185" w:type="dxa"/>
            <w:vAlign w:val="center"/>
          </w:tcPr>
          <w:p>
            <w:pPr>
              <w:jc w:val="center"/>
              <w:rPr>
                <w:rFonts w:ascii="Calibri" w:hAnsi="Calibri"/>
                <w:sz w:val="28"/>
                <w:szCs w:val="28"/>
              </w:rPr>
            </w:pPr>
            <w:r>
              <w:rPr>
                <w:rFonts w:hint="eastAsia" w:ascii="Calibri" w:hAnsi="Calibri"/>
                <w:sz w:val="28"/>
                <w:szCs w:val="28"/>
              </w:rPr>
              <w:t>最小值</w:t>
            </w:r>
          </w:p>
        </w:tc>
        <w:tc>
          <w:tcPr>
            <w:tcW w:w="1185" w:type="dxa"/>
            <w:vAlign w:val="center"/>
          </w:tcPr>
          <w:p>
            <w:pPr>
              <w:jc w:val="center"/>
              <w:rPr>
                <w:rFonts w:ascii="Calibri" w:hAnsi="Calibri"/>
                <w:sz w:val="28"/>
                <w:szCs w:val="28"/>
              </w:rPr>
            </w:pPr>
            <w:r>
              <w:rPr>
                <w:rFonts w:hint="eastAsia" w:ascii="Calibri" w:hAnsi="Calibri"/>
                <w:sz w:val="28"/>
                <w:szCs w:val="28"/>
              </w:rPr>
              <w:t>平均值</w:t>
            </w:r>
          </w:p>
        </w:tc>
        <w:tc>
          <w:tcPr>
            <w:tcW w:w="1185" w:type="dxa"/>
            <w:vAlign w:val="center"/>
          </w:tcPr>
          <w:p>
            <w:pPr>
              <w:jc w:val="center"/>
              <w:rPr>
                <w:rFonts w:ascii="Calibri" w:hAnsi="Calibri"/>
                <w:sz w:val="28"/>
                <w:szCs w:val="28"/>
              </w:rPr>
            </w:pPr>
            <w:r>
              <w:rPr>
                <w:rFonts w:hint="eastAsia" w:ascii="Calibri" w:hAnsi="Calibri"/>
                <w:sz w:val="28"/>
                <w:szCs w:val="28"/>
              </w:rPr>
              <w:t>最大值</w:t>
            </w:r>
          </w:p>
        </w:tc>
        <w:tc>
          <w:tcPr>
            <w:tcW w:w="1185" w:type="dxa"/>
            <w:vAlign w:val="center"/>
          </w:tcPr>
          <w:p>
            <w:pPr>
              <w:jc w:val="center"/>
              <w:rPr>
                <w:rFonts w:ascii="Calibri" w:hAnsi="Calibri"/>
                <w:sz w:val="28"/>
                <w:szCs w:val="28"/>
              </w:rPr>
            </w:pPr>
            <w:r>
              <w:rPr>
                <w:rFonts w:hint="eastAsia" w:ascii="Calibri" w:hAnsi="Calibri"/>
                <w:sz w:val="28"/>
                <w:szCs w:val="28"/>
              </w:rPr>
              <w:t>最小值</w:t>
            </w:r>
          </w:p>
        </w:tc>
        <w:tc>
          <w:tcPr>
            <w:tcW w:w="1186" w:type="dxa"/>
            <w:vAlign w:val="center"/>
          </w:tcPr>
          <w:p>
            <w:pPr>
              <w:jc w:val="center"/>
              <w:rPr>
                <w:rFonts w:ascii="Calibri" w:hAnsi="Calibri"/>
                <w:sz w:val="28"/>
                <w:szCs w:val="28"/>
              </w:rPr>
            </w:pPr>
            <w:r>
              <w:rPr>
                <w:rFonts w:hint="eastAsia" w:ascii="Calibri" w:hAnsi="Calibri"/>
                <w:sz w:val="28"/>
                <w:szCs w:val="2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default" w:eastAsiaTheme="minorEastAsia"/>
                <w:sz w:val="28"/>
                <w:szCs w:val="28"/>
                <w:lang w:val="en-US" w:eastAsia="zh-CN"/>
              </w:rPr>
            </w:pPr>
            <w:r>
              <w:rPr>
                <w:rFonts w:hint="eastAsia"/>
                <w:sz w:val="28"/>
                <w:szCs w:val="28"/>
                <w:lang w:val="en-US" w:eastAsia="zh-CN"/>
              </w:rPr>
              <w:t>[yearMonth]</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[maxControlDeviation]</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[minControlDeviation]</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[avgControlDeviation]</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[maxPassRate]</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[minPassRate]</w:t>
            </w:r>
          </w:p>
        </w:tc>
        <w:tc>
          <w:tcPr>
            <w:tcW w:w="1186"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[avgPassRate]</w:t>
            </w: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季度AVC日控制偏差和合格率进行统计结果如下</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{{?stationRelatedNetAVCMonthEvaluateMix}}</w:t>
      </w:r>
    </w:p>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{{@relatedNetAVCPerfAnalysisBarGroup}}</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图4-9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lang w:val="en-US" w:eastAsia="zh-CN"/>
        </w:rPr>
        <w:t>{{relatedNetAVCYearMonth}}</w:t>
      </w:r>
      <w:r>
        <w:rPr>
          <w:rFonts w:ascii="Times New Roman" w:hAnsi="Times New Roman" w:eastAsia="宋体" w:cs="Times New Roman"/>
          <w:sz w:val="24"/>
          <w:szCs w:val="24"/>
        </w:rPr>
        <w:t>AVC性能分析图</w:t>
      </w:r>
    </w:p>
    <w:p>
      <w:pPr>
        <w:ind w:firstLine="560" w:firstLineChars="200"/>
        <w:rPr>
          <w:rFonts w:hint="eastAsia"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{{relatedNetAVCYearMonth}}</w:t>
      </w:r>
      <w:r>
        <w:rPr>
          <w:rFonts w:hint="eastAsia" w:ascii="Times New Roman" w:hAnsi="Times New Roman" w:eastAsia="宋体" w:cs="Times New Roman"/>
          <w:sz w:val="28"/>
          <w:szCs w:val="28"/>
        </w:rPr>
        <w:t>电压合格天数为</w:t>
      </w:r>
      <w:r>
        <w:rPr>
          <w:rFonts w:hint="eastAsia" w:ascii="Times New Roman" w:hAnsi="Times New Roman" w:eastAsia="宋体" w:cs="Times New Roman"/>
          <w:sz w:val="28"/>
          <w:szCs w:val="28"/>
          <w:lang w:val="en-US" w:eastAsia="zh-CN"/>
        </w:rPr>
        <w:t>{{relatedNetAVCQualifiedDay}}</w:t>
      </w:r>
      <w:r>
        <w:rPr>
          <w:rFonts w:hint="eastAsia" w:ascii="Times New Roman" w:hAnsi="Times New Roman" w:eastAsia="宋体" w:cs="Times New Roman"/>
          <w:sz w:val="28"/>
          <w:szCs w:val="28"/>
        </w:rPr>
        <w:t>天，同比</w:t>
      </w:r>
      <w:r>
        <w:rPr>
          <w:rFonts w:hint="eastAsia" w:ascii="Times New Roman" w:hAnsi="Times New Roman" w:eastAsia="宋体" w:cs="Times New Roman"/>
          <w:sz w:val="28"/>
          <w:szCs w:val="28"/>
          <w:lang w:val="en-US" w:eastAsia="zh-CN"/>
        </w:rPr>
        <w:t>{{relatedNetAVCYearCompare}}{{relatedNetAVCYearCompareValue}}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{{relatedNetAVCMonthCompare}}{{relatedNetAVCMonthCompareValue}}</w:t>
      </w:r>
      <w:r>
        <w:rPr>
          <w:rFonts w:hint="eastAsia" w:ascii="Times New Roman" w:hAnsi="Times New Roman" w:eastAsia="宋体" w:cs="Times New Roman"/>
          <w:sz w:val="28"/>
          <w:szCs w:val="28"/>
        </w:rPr>
        <w:t>%；</w:t>
      </w:r>
    </w:p>
    <w:p>
      <w:pPr>
        <w:rPr>
          <w:rFonts w:hint="eastAsia"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{{/stationRelatedNetAVCMonthEvaluateMix}}</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风电场本季度</w:t>
      </w:r>
      <w:r>
        <w:rPr>
          <w:rFonts w:ascii="Times New Roman" w:hAnsi="Times New Roman" w:eastAsia="宋体" w:cs="Times New Roman"/>
          <w:sz w:val="28"/>
          <w:szCs w:val="28"/>
        </w:rPr>
        <w:t>不合格电压</w:t>
      </w:r>
      <w:r>
        <w:rPr>
          <w:rFonts w:hint="eastAsia" w:ascii="Times New Roman" w:hAnsi="Times New Roman" w:eastAsia="宋体" w:cs="Times New Roman"/>
          <w:sz w:val="28"/>
          <w:szCs w:val="28"/>
        </w:rPr>
        <w:t>调节</w:t>
      </w:r>
      <w:r>
        <w:rPr>
          <w:rFonts w:ascii="Times New Roman" w:hAnsi="Times New Roman" w:eastAsia="宋体" w:cs="Times New Roman"/>
          <w:sz w:val="28"/>
          <w:szCs w:val="28"/>
        </w:rPr>
        <w:t>点</w:t>
      </w:r>
      <w:r>
        <w:rPr>
          <w:rFonts w:hint="eastAsia" w:ascii="Times New Roman" w:hAnsi="Times New Roman" w:eastAsia="宋体" w:cs="Times New Roman"/>
          <w:sz w:val="28"/>
          <w:szCs w:val="28"/>
        </w:rPr>
        <w:t>进行分析</w:t>
      </w:r>
      <w:r>
        <w:rPr>
          <w:rFonts w:ascii="Times New Roman" w:hAnsi="Times New Roman" w:eastAsia="宋体" w:cs="Times New Roman"/>
          <w:sz w:val="28"/>
          <w:szCs w:val="28"/>
        </w:rPr>
        <w:t>，可得不合格原因统计如图4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12所示。调节不合格的原因中，未检测到电压越限占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%，调节不到位占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%，正在调节中占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p>
    <w:p>
      <w:pPr>
        <w:jc w:val="center"/>
        <w:rPr>
          <w:rFonts w:ascii="Times New Roman" w:hAnsi="Times New Roman" w:eastAsia="宋体" w:cs="Times New Roman"/>
        </w:rPr>
      </w:pPr>
      <w:r>
        <w:rPr>
          <w:rFonts w:ascii="Times New Roman" w:hAnsi="Times New Roman" w:eastAsia="宋体" w:cs="Times New Roman"/>
        </w:rPr>
        <w:drawing>
          <wp:inline distT="0" distB="0" distL="0" distR="0">
            <wp:extent cx="3788410" cy="35941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07637" cy="3612226"/>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12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w:t>
      </w:r>
      <w:r>
        <w:rPr>
          <w:rFonts w:hint="eastAsia" w:ascii="Times New Roman" w:hAnsi="Times New Roman" w:eastAsia="宋体" w:cs="Times New Roman"/>
          <w:sz w:val="24"/>
          <w:szCs w:val="24"/>
        </w:rPr>
        <w:t>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{{reportYear}}</w:t>
      </w:r>
      <w:r>
        <w:rPr>
          <w:rFonts w:ascii="Times New Roman" w:hAnsi="Times New Roman" w:eastAsia="宋体" w:cs="Times New Roman"/>
          <w:sz w:val="24"/>
          <w:szCs w:val="24"/>
        </w:rPr>
        <w:t>年</w:t>
      </w:r>
      <w:r>
        <w:rPr>
          <w:rFonts w:hint="eastAsia" w:ascii="Times New Roman" w:hAnsi="Times New Roman" w:eastAsia="宋体" w:cs="Times New Roman"/>
          <w:sz w:val="24"/>
          <w:szCs w:val="24"/>
          <w:lang w:val="en-US" w:eastAsia="zh-CN"/>
        </w:rPr>
        <w:t>第{{reportQuarter}}</w:t>
      </w:r>
      <w:r>
        <w:rPr>
          <w:rFonts w:ascii="Times New Roman" w:hAnsi="Times New Roman" w:eastAsia="宋体" w:cs="Times New Roman"/>
          <w:sz w:val="24"/>
          <w:szCs w:val="24"/>
        </w:rPr>
        <w:t>电压调节不合格原因统计图</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0" w:name="_Toc93583542"/>
      <w:bookmarkStart w:id="31" w:name="_Toc91506139"/>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.2.2</w:t>
      </w:r>
      <w:r>
        <w:rPr>
          <w:rFonts w:hint="eastAsia" w:ascii="Times New Roman" w:hAnsi="Times New Roman" w:eastAsia="宋体" w:cs="Times New Roman"/>
          <w:b/>
          <w:bCs/>
          <w:sz w:val="32"/>
          <w:szCs w:val="32"/>
        </w:rPr>
        <w:t>典型日运行情况分析</w:t>
      </w:r>
      <w:bookmarkEnd w:id="30"/>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鲁能迎峰岭风电场</w:t>
      </w:r>
      <w:r>
        <w:rPr>
          <w:rFonts w:hint="eastAsia" w:ascii="Times New Roman" w:hAnsi="Times New Roman" w:eastAsia="宋体" w:cs="Times New Roman"/>
          <w:sz w:val="28"/>
          <w:szCs w:val="28"/>
        </w:rPr>
        <w:t>风电场第</w:t>
      </w:r>
      <w:r>
        <w:rPr>
          <w:rFonts w:hint="eastAsia" w:ascii="Times New Roman" w:hAnsi="Times New Roman" w:eastAsia="宋体" w:cs="Times New Roman"/>
          <w:sz w:val="28"/>
          <w:szCs w:val="28"/>
          <w:lang w:val="en-US" w:eastAsia="zh-CN"/>
        </w:rPr>
        <w:t>一</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w:t>
      </w:r>
      <w:r>
        <w:rPr>
          <w:rFonts w:hint="eastAsia" w:ascii="Times New Roman" w:hAnsi="Times New Roman" w:eastAsia="宋体" w:cs="Times New Roman"/>
          <w:sz w:val="28"/>
          <w:szCs w:val="28"/>
          <w:lang w:val="en-US" w:eastAsia="zh-CN"/>
        </w:rPr>
        <w:t>{{relatedNetAVCTopDay}}</w:t>
      </w:r>
      <w:r>
        <w:rPr>
          <w:rFonts w:ascii="Times New Roman" w:hAnsi="Times New Roman" w:eastAsia="宋体" w:cs="Times New Roman"/>
          <w:sz w:val="28"/>
          <w:szCs w:val="28"/>
        </w:rPr>
        <w:t>合格率最</w:t>
      </w:r>
      <w:r>
        <w:rPr>
          <w:rFonts w:hint="eastAsia" w:ascii="Times New Roman" w:hAnsi="Times New Roman" w:eastAsia="宋体" w:cs="Times New Roman"/>
          <w:sz w:val="28"/>
          <w:szCs w:val="28"/>
        </w:rPr>
        <w:t>高</w:t>
      </w:r>
      <w:r>
        <w:rPr>
          <w:rFonts w:ascii="Times New Roman" w:hAnsi="Times New Roman" w:eastAsia="宋体" w:cs="Times New Roman"/>
          <w:sz w:val="28"/>
          <w:szCs w:val="28"/>
        </w:rPr>
        <w:t>，为</w:t>
      </w:r>
      <w:r>
        <w:rPr>
          <w:rFonts w:hint="eastAsia" w:ascii="Times New Roman" w:hAnsi="Times New Roman" w:eastAsia="宋体" w:cs="Times New Roman"/>
          <w:sz w:val="28"/>
          <w:szCs w:val="28"/>
          <w:lang w:val="en-US" w:eastAsia="zh-CN"/>
        </w:rPr>
        <w:t>{{relatedNetAVCTopDayPassRate}}</w:t>
      </w:r>
      <w:r>
        <w:rPr>
          <w:rFonts w:ascii="Times New Roman" w:hAnsi="Times New Roman" w:eastAsia="宋体" w:cs="Times New Roman"/>
          <w:sz w:val="28"/>
          <w:szCs w:val="28"/>
        </w:rPr>
        <w:t>%，当日子站AVC控制曲线如图所示。</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{{@relatedNetAVCTopDayPassRateLine}}</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图4-13 </w:t>
      </w:r>
      <w:r>
        <w:rPr>
          <w:rFonts w:hint="eastAsia" w:ascii="Times New Roman" w:hAnsi="Times New Roman" w:eastAsia="宋体" w:cs="Times New Roman"/>
          <w:sz w:val="24"/>
          <w:szCs w:val="24"/>
          <w:lang w:val="en-US" w:eastAsia="zh-CN"/>
        </w:rPr>
        <w:t>{{stationName}}</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{{relatedNetAVCTopDay}}</w:t>
      </w:r>
      <w:r>
        <w:rPr>
          <w:rFonts w:ascii="Times New Roman" w:hAnsi="Times New Roman" w:eastAsia="宋体" w:cs="Times New Roman"/>
          <w:sz w:val="24"/>
          <w:szCs w:val="24"/>
        </w:rPr>
        <w:t>日子站AVC控制曲线图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风电场第</w:t>
      </w:r>
      <w:r>
        <w:rPr>
          <w:rFonts w:hint="eastAsia" w:ascii="Times New Roman" w:hAnsi="Times New Roman" w:eastAsia="宋体" w:cs="Times New Roman"/>
          <w:sz w:val="28"/>
          <w:szCs w:val="28"/>
          <w:lang w:val="en-US" w:eastAsia="zh-CN"/>
        </w:rPr>
        <w:t>{{reportQuarter}}</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w:t>
      </w:r>
      <w:r>
        <w:rPr>
          <w:rFonts w:hint="eastAsia" w:ascii="Times New Roman" w:hAnsi="Times New Roman" w:eastAsia="宋体" w:cs="Times New Roman"/>
          <w:sz w:val="28"/>
          <w:szCs w:val="28"/>
          <w:lang w:val="en-US" w:eastAsia="zh-CN"/>
        </w:rPr>
        <w:t>{{relatedNetAVCBottomDay}}</w:t>
      </w:r>
      <w:r>
        <w:rPr>
          <w:rFonts w:ascii="Times New Roman" w:hAnsi="Times New Roman" w:eastAsia="宋体" w:cs="Times New Roman"/>
          <w:sz w:val="28"/>
          <w:szCs w:val="28"/>
        </w:rPr>
        <w:t>合格率最</w:t>
      </w:r>
      <w:r>
        <w:rPr>
          <w:rFonts w:hint="eastAsia" w:ascii="Times New Roman" w:hAnsi="Times New Roman" w:eastAsia="宋体" w:cs="Times New Roman"/>
          <w:sz w:val="28"/>
          <w:szCs w:val="28"/>
        </w:rPr>
        <w:t>低</w:t>
      </w:r>
      <w:r>
        <w:rPr>
          <w:rFonts w:ascii="Times New Roman" w:hAnsi="Times New Roman" w:eastAsia="宋体" w:cs="Times New Roman"/>
          <w:sz w:val="28"/>
          <w:szCs w:val="28"/>
        </w:rPr>
        <w:t>，为</w:t>
      </w:r>
      <w:r>
        <w:rPr>
          <w:rFonts w:hint="eastAsia" w:ascii="Times New Roman" w:hAnsi="Times New Roman" w:eastAsia="宋体" w:cs="Times New Roman"/>
          <w:sz w:val="28"/>
          <w:szCs w:val="28"/>
          <w:lang w:val="en-US" w:eastAsia="zh-CN"/>
        </w:rPr>
        <w:t>{{relatedNetAVCBottomDayPassRate}}</w:t>
      </w:r>
      <w:r>
        <w:rPr>
          <w:rFonts w:ascii="Times New Roman" w:hAnsi="Times New Roman" w:eastAsia="宋体" w:cs="Times New Roman"/>
          <w:sz w:val="28"/>
          <w:szCs w:val="28"/>
        </w:rPr>
        <w:t>%，当日子站AVC控制曲线如图所示。</w:t>
      </w:r>
    </w:p>
    <w:p>
      <w:pPr>
        <w:rPr>
          <w:rFonts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{{@relatedNetAVCBottomDayPassRateLine}}</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图4-14 </w:t>
      </w:r>
      <w:r>
        <w:rPr>
          <w:rFonts w:hint="eastAsia" w:ascii="Times New Roman" w:hAnsi="Times New Roman" w:eastAsia="宋体" w:cs="Times New Roman"/>
          <w:sz w:val="24"/>
          <w:szCs w:val="24"/>
          <w:lang w:val="en-US" w:eastAsia="zh-CN"/>
        </w:rPr>
        <w:t>{{stationName}}</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{{relatedNetAVCBottomDay}}</w:t>
      </w:r>
      <w:r>
        <w:rPr>
          <w:rFonts w:ascii="Times New Roman" w:hAnsi="Times New Roman" w:eastAsia="宋体" w:cs="Times New Roman"/>
          <w:sz w:val="24"/>
          <w:szCs w:val="24"/>
        </w:rPr>
        <w:t>子站AVC控制曲线图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2" w:name="_Toc93583543"/>
      <w:r>
        <w:rPr>
          <w:rFonts w:ascii="Times New Roman" w:hAnsi="Times New Roman" w:eastAsia="宋体" w:cs="Times New Roman"/>
          <w:b/>
          <w:bCs/>
          <w:sz w:val="32"/>
          <w:szCs w:val="32"/>
        </w:rPr>
        <w:t>4.3 SVG性能评价</w:t>
      </w:r>
      <w:r>
        <w:rPr>
          <w:rFonts w:hint="eastAsia" w:ascii="Times New Roman" w:hAnsi="Times New Roman" w:eastAsia="宋体" w:cs="Times New Roman"/>
          <w:b/>
          <w:bCs/>
          <w:sz w:val="32"/>
          <w:szCs w:val="32"/>
        </w:rPr>
        <w:t>及分析</w:t>
      </w:r>
      <w:bookmarkEnd w:id="32"/>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3" w:name="_Toc93583544"/>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.3.1</w:t>
      </w:r>
      <w:r>
        <w:rPr>
          <w:rFonts w:hint="eastAsia" w:ascii="Times New Roman" w:hAnsi="Times New Roman" w:eastAsia="宋体" w:cs="Times New Roman"/>
          <w:b/>
          <w:bCs/>
          <w:sz w:val="32"/>
          <w:szCs w:val="32"/>
        </w:rPr>
        <w:t>月度跟踪评价</w:t>
      </w:r>
      <w:bookmarkEnd w:id="33"/>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场站无功补偿装置的性能是影响场站无功补偿能力重要因素。</w:t>
      </w:r>
      <w:r>
        <w:rPr>
          <w:rFonts w:hint="eastAsia" w:ascii="Times New Roman" w:hAnsi="Times New Roman" w:eastAsia="宋体" w:cs="Times New Roman"/>
          <w:sz w:val="28"/>
          <w:szCs w:val="28"/>
        </w:rPr>
        <w:t>SVG的</w:t>
      </w:r>
      <w:r>
        <w:rPr>
          <w:rFonts w:ascii="Times New Roman" w:hAnsi="Times New Roman" w:eastAsia="宋体" w:cs="Times New Roman"/>
          <w:sz w:val="28"/>
          <w:szCs w:val="28"/>
        </w:rPr>
        <w:t>控制偏差</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无功实际值与无功指令值之差</w:t>
      </w:r>
      <w:r>
        <w:rPr>
          <w:rFonts w:hint="eastAsia" w:ascii="Times New Roman" w:hAnsi="Times New Roman" w:eastAsia="宋体" w:cs="Times New Roman"/>
          <w:sz w:val="28"/>
          <w:szCs w:val="28"/>
        </w:rPr>
        <w:t>，是反映无功补偿装置调节精确度的重要指标之一。</w:t>
      </w:r>
      <w:r>
        <w:rPr>
          <w:rFonts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ascii="Times New Roman" w:hAnsi="Times New Roman" w:eastAsia="宋体" w:cs="Times New Roman"/>
          <w:sz w:val="28"/>
          <w:szCs w:val="28"/>
        </w:rPr>
        <w:t>年</w:t>
      </w:r>
      <w:r>
        <w:rPr>
          <w:rFonts w:hint="eastAsia" w:ascii="Times New Roman" w:hAnsi="Times New Roman" w:eastAsia="宋体" w:cs="Times New Roman"/>
          <w:sz w:val="28"/>
          <w:szCs w:val="28"/>
          <w:lang w:val="en-US" w:eastAsia="zh-CN"/>
        </w:rPr>
        <w:t>第{{reportQuarter}}季度</w:t>
      </w:r>
      <w:r>
        <w:rPr>
          <w:rFonts w:ascii="Times New Roman" w:hAnsi="Times New Roman" w:eastAsia="宋体" w:cs="Times New Roman"/>
          <w:sz w:val="28"/>
          <w:szCs w:val="28"/>
        </w:rPr>
        <w:t>的SVG控制偏差进行统计，得到</w:t>
      </w:r>
      <w:r>
        <w:rPr>
          <w:rFonts w:hint="eastAsia" w:ascii="Times New Roman" w:hAnsi="Times New Roman" w:eastAsia="宋体" w:cs="Times New Roman"/>
          <w:sz w:val="28"/>
          <w:szCs w:val="28"/>
        </w:rPr>
        <w:t>表4-</w:t>
      </w:r>
      <w:r>
        <w:rPr>
          <w:rFonts w:ascii="Times New Roman" w:hAnsi="Times New Roman" w:eastAsia="宋体" w:cs="Times New Roman"/>
          <w:sz w:val="28"/>
          <w:szCs w:val="28"/>
        </w:rPr>
        <w:t>3。</w:t>
      </w: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表4-</w:t>
      </w:r>
      <w:r>
        <w:rPr>
          <w:rFonts w:ascii="Times New Roman" w:hAnsi="Times New Roman" w:eastAsia="宋体" w:cs="Times New Roman"/>
          <w:sz w:val="28"/>
          <w:szCs w:val="28"/>
        </w:rPr>
        <w:t xml:space="preserve">3 </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季度SVG每日控制偏差情况统计表</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3"/>
        <w:gridCol w:w="1791"/>
        <w:gridCol w:w="1765"/>
        <w:gridCol w:w="1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ascii="Calibri" w:hAnsi="Calibri"/>
                <w:sz w:val="28"/>
                <w:szCs w:val="28"/>
              </w:rPr>
            </w:pPr>
            <w:r>
              <w:rPr>
                <w:rFonts w:hint="eastAsia" w:ascii="Calibri" w:hAnsi="Calibri"/>
                <w:sz w:val="28"/>
                <w:szCs w:val="28"/>
                <w:lang w:val="en-US" w:eastAsia="zh-CN"/>
              </w:rPr>
              <w:t>{{relatedNetPerfSVGMonthEvaluateTable}}</w:t>
            </w:r>
            <w:r>
              <w:rPr>
                <w:rFonts w:hint="eastAsia" w:ascii="Calibri" w:hAnsi="Calibri"/>
                <w:sz w:val="28"/>
                <w:szCs w:val="28"/>
              </w:rPr>
              <w:t>时间</w:t>
            </w:r>
          </w:p>
        </w:tc>
        <w:tc>
          <w:tcPr>
            <w:tcW w:w="2074" w:type="dxa"/>
          </w:tcPr>
          <w:p>
            <w:pPr>
              <w:jc w:val="center"/>
              <w:rPr>
                <w:rFonts w:ascii="Calibri" w:hAnsi="Calibri"/>
                <w:sz w:val="28"/>
                <w:szCs w:val="28"/>
              </w:rPr>
            </w:pPr>
            <w:r>
              <w:rPr>
                <w:rFonts w:hint="eastAsia" w:ascii="Calibri" w:hAnsi="Calibri"/>
                <w:sz w:val="28"/>
                <w:szCs w:val="28"/>
              </w:rPr>
              <w:t>最大值</w:t>
            </w:r>
          </w:p>
        </w:tc>
        <w:tc>
          <w:tcPr>
            <w:tcW w:w="2074" w:type="dxa"/>
          </w:tcPr>
          <w:p>
            <w:pPr>
              <w:jc w:val="center"/>
              <w:rPr>
                <w:rFonts w:ascii="Calibri" w:hAnsi="Calibri"/>
                <w:sz w:val="28"/>
                <w:szCs w:val="28"/>
              </w:rPr>
            </w:pPr>
            <w:r>
              <w:rPr>
                <w:rFonts w:hint="eastAsia" w:ascii="Calibri" w:hAnsi="Calibri"/>
                <w:sz w:val="28"/>
                <w:szCs w:val="28"/>
              </w:rPr>
              <w:t>最小值</w:t>
            </w:r>
          </w:p>
        </w:tc>
        <w:tc>
          <w:tcPr>
            <w:tcW w:w="2074" w:type="dxa"/>
          </w:tcPr>
          <w:p>
            <w:pPr>
              <w:jc w:val="center"/>
              <w:rPr>
                <w:rFonts w:ascii="Calibri" w:hAnsi="Calibri"/>
                <w:sz w:val="28"/>
                <w:szCs w:val="28"/>
              </w:rPr>
            </w:pPr>
            <w:r>
              <w:rPr>
                <w:rFonts w:hint="eastAsia" w:ascii="Calibri" w:hAnsi="Calibri"/>
                <w:sz w:val="28"/>
                <w:szCs w:val="2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sz w:val="28"/>
                <w:szCs w:val="28"/>
                <w:lang w:val="en-US" w:eastAsia="zh-CN"/>
              </w:rPr>
            </w:pPr>
            <w:r>
              <w:rPr>
                <w:rFonts w:hint="eastAsia"/>
                <w:sz w:val="28"/>
                <w:szCs w:val="28"/>
                <w:lang w:val="en-US" w:eastAsia="zh-CN"/>
              </w:rPr>
              <w:t>[yearMonth]</w:t>
            </w:r>
          </w:p>
        </w:tc>
        <w:tc>
          <w:tcPr>
            <w:tcW w:w="2074" w:type="dxa"/>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[maxControlPrecision]</w:t>
            </w:r>
          </w:p>
        </w:tc>
        <w:tc>
          <w:tcPr>
            <w:tcW w:w="2074" w:type="dxa"/>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[minControlPrecision]</w:t>
            </w:r>
          </w:p>
        </w:tc>
        <w:tc>
          <w:tcPr>
            <w:tcW w:w="2074" w:type="dxa"/>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[avgControlPrecision]</w:t>
            </w: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{{reportYear}}第{{reportQuarter}}季度</w:t>
      </w:r>
      <w:r>
        <w:rPr>
          <w:rFonts w:hint="eastAsia" w:ascii="Times New Roman" w:hAnsi="Times New Roman" w:eastAsia="宋体" w:cs="Times New Roman"/>
          <w:sz w:val="28"/>
          <w:szCs w:val="28"/>
        </w:rPr>
        <w:t>SVG日控制偏差进行统计，</w:t>
      </w:r>
      <w:r>
        <w:rPr>
          <w:rFonts w:ascii="Times New Roman" w:hAnsi="Times New Roman" w:eastAsia="宋体" w:cs="Times New Roman"/>
          <w:sz w:val="28"/>
          <w:szCs w:val="28"/>
        </w:rPr>
        <w:t>得到</w:t>
      </w:r>
      <w:r>
        <w:rPr>
          <w:rFonts w:hint="eastAsia" w:ascii="Times New Roman" w:hAnsi="Times New Roman" w:eastAsia="宋体" w:cs="Times New Roman"/>
          <w:sz w:val="28"/>
          <w:szCs w:val="28"/>
        </w:rPr>
        <w:t>结果如下</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{{?stationRelatedNetSVGMonthEvaluateMix}}</w:t>
      </w:r>
    </w:p>
    <w:p>
      <w:pPr>
        <w:ind w:firstLine="420" w:firstLineChars="20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{{@relatedNetSVGAvgControlPrecisionLine}}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15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w:t>
      </w:r>
      <w:r>
        <w:rPr>
          <w:rFonts w:hint="eastAsia" w:ascii="Times New Roman" w:hAnsi="Times New Roman" w:eastAsia="宋体" w:cs="Times New Roman"/>
          <w:sz w:val="24"/>
          <w:szCs w:val="24"/>
        </w:rPr>
        <w:t>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{{relatedNetSVGYearMonth}}</w:t>
      </w:r>
      <w:r>
        <w:rPr>
          <w:rFonts w:ascii="Times New Roman" w:hAnsi="Times New Roman" w:eastAsia="宋体" w:cs="Times New Roman"/>
          <w:sz w:val="24"/>
          <w:szCs w:val="24"/>
        </w:rPr>
        <w:t>SVG控制性能分析图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{{relatedNetSVGYearMonth}}</w:t>
      </w:r>
      <w:r>
        <w:rPr>
          <w:rFonts w:hint="eastAsia" w:ascii="Times New Roman" w:hAnsi="Times New Roman" w:eastAsia="宋体" w:cs="Times New Roman"/>
          <w:sz w:val="28"/>
          <w:szCs w:val="28"/>
        </w:rPr>
        <w:t>SVG控制偏差平均值为</w:t>
      </w:r>
      <w:r>
        <w:rPr>
          <w:rFonts w:hint="eastAsia" w:ascii="Times New Roman" w:hAnsi="Times New Roman" w:eastAsia="宋体" w:cs="Times New Roman"/>
          <w:sz w:val="28"/>
          <w:szCs w:val="28"/>
          <w:lang w:val="en-US" w:eastAsia="zh-CN"/>
        </w:rPr>
        <w:t>{{relatedNetSVGAvgControlPrecision}}</w:t>
      </w:r>
      <w:r>
        <w:rPr>
          <w:rFonts w:hint="eastAsia" w:ascii="Times New Roman" w:hAnsi="Times New Roman" w:eastAsia="宋体" w:cs="Times New Roman"/>
          <w:sz w:val="28"/>
          <w:szCs w:val="28"/>
        </w:rPr>
        <w:t>%，同比</w:t>
      </w:r>
      <w:r>
        <w:rPr>
          <w:rFonts w:hint="eastAsia" w:ascii="Times New Roman" w:hAnsi="Times New Roman" w:eastAsia="宋体" w:cs="Times New Roman"/>
          <w:sz w:val="28"/>
          <w:szCs w:val="28"/>
          <w:lang w:val="en-US" w:eastAsia="zh-CN"/>
        </w:rPr>
        <w:t>{{relatedNetSVGYearCompare}}{{relatedNetSVGYearCompareValue}}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{{relatedNetSVGMonthCompare}}{{relatedNetSVGMonthCompareValue}}</w:t>
      </w:r>
      <w:r>
        <w:rPr>
          <w:rFonts w:hint="eastAsia" w:ascii="Times New Roman" w:hAnsi="Times New Roman" w:eastAsia="宋体" w:cs="Times New Roman"/>
          <w:sz w:val="28"/>
          <w:szCs w:val="28"/>
        </w:rPr>
        <w:t>%。</w:t>
      </w:r>
    </w:p>
    <w:p>
      <w:pPr>
        <w:rPr>
          <w:rFonts w:ascii="Times New Roman" w:hAnsi="Times New Roman" w:eastAsia="宋体" w:cs="Times New Roman"/>
          <w:sz w:val="24"/>
          <w:szCs w:val="24"/>
        </w:rPr>
      </w:pPr>
      <w:r>
        <w:rPr>
          <w:rFonts w:hint="eastAsia" w:ascii="Times New Roman" w:hAnsi="Times New Roman" w:eastAsia="宋体" w:cs="Times New Roman"/>
          <w:sz w:val="28"/>
          <w:szCs w:val="28"/>
          <w:lang w:val="en-US" w:eastAsia="zh-CN"/>
        </w:rPr>
        <w:t>{{/stationRelatedNetSVGMonthEvaluateMix}}</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4" w:name="_Toc93583545"/>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.3.2</w:t>
      </w:r>
      <w:r>
        <w:rPr>
          <w:rFonts w:hint="eastAsia" w:ascii="Times New Roman" w:hAnsi="Times New Roman" w:eastAsia="宋体" w:cs="Times New Roman"/>
          <w:b/>
          <w:bCs/>
          <w:sz w:val="32"/>
          <w:szCs w:val="32"/>
        </w:rPr>
        <w:t>典型日运行情况分析</w:t>
      </w:r>
      <w:bookmarkEnd w:id="34"/>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风电场第</w:t>
      </w:r>
      <w:r>
        <w:rPr>
          <w:rFonts w:hint="eastAsia" w:ascii="Times New Roman" w:hAnsi="Times New Roman" w:eastAsia="宋体" w:cs="Times New Roman"/>
          <w:sz w:val="28"/>
          <w:szCs w:val="28"/>
          <w:lang w:val="en-US" w:eastAsia="zh-CN"/>
        </w:rPr>
        <w:t>{{reportQuarter}}</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日控制偏差最大，达到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%，当日SVG无功功率指令值、无功功率实际值如下图所示。</w:t>
      </w:r>
    </w:p>
    <w:p>
      <w:pPr>
        <w:rPr>
          <w:rFonts w:ascii="Times New Roman" w:hAnsi="Times New Roman" w:eastAsia="宋体" w:cs="Times New Roman"/>
          <w:sz w:val="28"/>
          <w:szCs w:val="28"/>
        </w:rPr>
      </w:pPr>
      <w:r>
        <w:rPr>
          <w:rFonts w:ascii="Times New Roman" w:hAnsi="Times New Roman" w:eastAsia="宋体" w:cs="Times New Roman"/>
          <w:sz w:val="28"/>
          <w:szCs w:val="28"/>
        </w:rPr>
        <w:drawing>
          <wp:inline distT="0" distB="0" distL="0" distR="0">
            <wp:extent cx="5274310" cy="1576705"/>
            <wp:effectExtent l="0" t="0" r="2540" b="4445"/>
            <wp:docPr id="1959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57670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18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将SVG无功以10%额定容量为间隔划分区间，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X</w:t>
      </w:r>
      <w:r>
        <w:rPr>
          <w:rFonts w:ascii="Times New Roman" w:hAnsi="Times New Roman" w:eastAsia="宋体" w:cs="Times New Roman"/>
          <w:sz w:val="28"/>
          <w:szCs w:val="28"/>
        </w:rPr>
        <w:t>电场</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日SVG控制偏差感性/容性区间分析结果如表4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4和表4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5所示。控制偏差平均</w:t>
      </w:r>
      <w:r>
        <w:rPr>
          <w:rFonts w:hint="eastAsia" w:ascii="Times New Roman" w:hAnsi="Times New Roman" w:eastAsia="宋体" w:cs="Times New Roman"/>
          <w:sz w:val="28"/>
          <w:szCs w:val="28"/>
        </w:rPr>
        <w:t>值的</w:t>
      </w:r>
      <w:r>
        <w:rPr>
          <w:rFonts w:ascii="Times New Roman" w:hAnsi="Times New Roman" w:eastAsia="宋体" w:cs="Times New Roman"/>
          <w:sz w:val="28"/>
          <w:szCs w:val="28"/>
        </w:rPr>
        <w:t>最大值出现在</w:t>
      </w:r>
      <w:r>
        <w:rPr>
          <w:rFonts w:hint="eastAsia" w:ascii="Times New Roman" w:hAnsi="Times New Roman" w:eastAsia="宋体" w:cs="Times New Roman"/>
          <w:sz w:val="28"/>
          <w:szCs w:val="28"/>
        </w:rPr>
        <w:t>感/</w:t>
      </w:r>
      <w:r>
        <w:rPr>
          <w:rFonts w:ascii="Times New Roman" w:hAnsi="Times New Roman" w:eastAsia="宋体" w:cs="Times New Roman"/>
          <w:sz w:val="28"/>
          <w:szCs w:val="28"/>
        </w:rPr>
        <w:t>容性</w:t>
      </w:r>
      <w:r>
        <w:rPr>
          <w:rFonts w:hint="eastAsia" w:ascii="Times New Roman" w:hAnsi="Times New Roman" w:eastAsia="宋体" w:cs="Times New Roman"/>
          <w:sz w:val="28"/>
          <w:szCs w:val="28"/>
        </w:rPr>
        <w:t>X</w:t>
      </w:r>
      <w:r>
        <w:rPr>
          <w:rFonts w:ascii="Times New Roman" w:hAnsi="Times New Roman" w:eastAsia="宋体" w:cs="Times New Roman"/>
          <w:sz w:val="28"/>
          <w:szCs w:val="28"/>
        </w:rPr>
        <w:t>0%-</w:t>
      </w:r>
      <w:r>
        <w:rPr>
          <w:rFonts w:hint="eastAsia" w:ascii="Times New Roman" w:hAnsi="Times New Roman" w:eastAsia="宋体" w:cs="Times New Roman"/>
          <w:sz w:val="28"/>
          <w:szCs w:val="28"/>
        </w:rPr>
        <w:t>X</w:t>
      </w:r>
      <w:r>
        <w:rPr>
          <w:rFonts w:ascii="Times New Roman" w:hAnsi="Times New Roman" w:eastAsia="宋体" w:cs="Times New Roman"/>
          <w:sz w:val="28"/>
          <w:szCs w:val="28"/>
        </w:rPr>
        <w:t>0%区间内，达到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4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日SVG控制偏差感性区间分析结果</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074" w:type="dxa"/>
          </w:tcPr>
          <w:p>
            <w:pPr>
              <w:spacing w:line="360" w:lineRule="auto"/>
              <w:jc w:val="center"/>
              <w:rPr>
                <w:rFonts w:ascii="Calibri" w:hAnsi="Calibri"/>
                <w:sz w:val="24"/>
                <w:szCs w:val="24"/>
              </w:rPr>
            </w:pPr>
            <w:r>
              <w:rPr>
                <w:rFonts w:ascii="Calibri" w:hAnsi="Calibri"/>
                <w:sz w:val="24"/>
                <w:szCs w:val="24"/>
              </w:rPr>
              <w:t>感性无功区间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2074"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bl>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5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日SVG控制偏差</w:t>
      </w:r>
      <w:r>
        <w:rPr>
          <w:rFonts w:hint="eastAsia" w:ascii="Times New Roman" w:hAnsi="Times New Roman" w:eastAsia="宋体" w:cs="Times New Roman"/>
          <w:sz w:val="24"/>
          <w:szCs w:val="24"/>
        </w:rPr>
        <w:t>容</w:t>
      </w:r>
      <w:r>
        <w:rPr>
          <w:rFonts w:ascii="Times New Roman" w:hAnsi="Times New Roman" w:eastAsia="宋体" w:cs="Times New Roman"/>
          <w:sz w:val="24"/>
          <w:szCs w:val="24"/>
        </w:rPr>
        <w:t>性区间分析结果</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074" w:type="dxa"/>
          </w:tcPr>
          <w:p>
            <w:pPr>
              <w:spacing w:line="360" w:lineRule="auto"/>
              <w:jc w:val="center"/>
              <w:rPr>
                <w:rFonts w:ascii="Calibri" w:hAnsi="Calibri"/>
                <w:sz w:val="24"/>
                <w:szCs w:val="24"/>
              </w:rPr>
            </w:pPr>
            <w:r>
              <w:rPr>
                <w:rFonts w:ascii="Calibri" w:hAnsi="Calibri"/>
                <w:sz w:val="24"/>
                <w:szCs w:val="24"/>
              </w:rPr>
              <w:t>容性无功区间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2074"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日控制偏差最小，为</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%，当日SVG无功功率指令值、无功功率实际值如下图所示。</w:t>
      </w: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4150" cy="1728470"/>
            <wp:effectExtent l="0" t="0" r="1270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4150" cy="1728470"/>
                    </a:xfrm>
                    <a:prstGeom prst="rect">
                      <a:avLst/>
                    </a:prstGeom>
                    <a:noFill/>
                    <a:ln>
                      <a:noFill/>
                    </a:ln>
                  </pic:spPr>
                </pic:pic>
              </a:graphicData>
            </a:graphic>
          </wp:inline>
        </w:drawing>
      </w:r>
    </w:p>
    <w:p>
      <w:pPr>
        <w:rPr>
          <w:rFonts w:ascii="Times New Roman" w:hAnsi="Times New Roman" w:eastAsia="宋体" w:cs="Times New Roman"/>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图4-18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风电场XX年X月X日SVG控制曲线图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将SVG无功以10%额定容量为间隔划分区间</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X风电场XX年X月X日SVG控制偏差感性/容性区间分析结果如表4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6和表4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7所示。控制偏差的平均最大值出现在</w:t>
      </w:r>
      <w:r>
        <w:rPr>
          <w:rFonts w:hint="eastAsia" w:ascii="Times New Roman" w:hAnsi="Times New Roman" w:eastAsia="宋体" w:cs="Times New Roman"/>
          <w:sz w:val="28"/>
          <w:szCs w:val="28"/>
        </w:rPr>
        <w:t>感/</w:t>
      </w:r>
      <w:r>
        <w:rPr>
          <w:rFonts w:ascii="Times New Roman" w:hAnsi="Times New Roman" w:eastAsia="宋体" w:cs="Times New Roman"/>
          <w:sz w:val="28"/>
          <w:szCs w:val="28"/>
        </w:rPr>
        <w:t>容性X0%-X0%区间内，达到X%。</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6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XX风电场X年X月X日SVG控制偏差感性区间分析结果</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jc w:val="center"/>
        </w:trPr>
        <w:tc>
          <w:tcPr>
            <w:tcW w:w="2074" w:type="dxa"/>
          </w:tcPr>
          <w:p>
            <w:pPr>
              <w:spacing w:line="360" w:lineRule="auto"/>
              <w:jc w:val="center"/>
              <w:rPr>
                <w:rFonts w:ascii="Calibri" w:hAnsi="Calibri"/>
                <w:sz w:val="24"/>
                <w:szCs w:val="24"/>
              </w:rPr>
            </w:pPr>
            <w:r>
              <w:rPr>
                <w:rFonts w:ascii="Calibri" w:hAnsi="Calibri"/>
                <w:sz w:val="24"/>
                <w:szCs w:val="24"/>
              </w:rPr>
              <w:t>感性无功区间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1711"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bl>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7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XX风电场XX年X月X日SVG控制偏差容性区间分析结果</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jc w:val="center"/>
        </w:trPr>
        <w:tc>
          <w:tcPr>
            <w:tcW w:w="2074" w:type="dxa"/>
          </w:tcPr>
          <w:p>
            <w:pPr>
              <w:spacing w:line="360" w:lineRule="auto"/>
              <w:jc w:val="center"/>
              <w:rPr>
                <w:rFonts w:ascii="Calibri" w:hAnsi="Calibri"/>
                <w:sz w:val="24"/>
                <w:szCs w:val="24"/>
              </w:rPr>
            </w:pPr>
            <w:r>
              <w:rPr>
                <w:rFonts w:ascii="Calibri" w:hAnsi="Calibri"/>
                <w:sz w:val="24"/>
                <w:szCs w:val="24"/>
              </w:rPr>
              <w:t>容性无功区间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1711"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bookmarkEnd w:id="31"/>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5" w:name="_Toc93583546"/>
      <w:r>
        <w:rPr>
          <w:rFonts w:ascii="Times New Roman" w:hAnsi="Times New Roman" w:eastAsia="宋体" w:cs="Times New Roman"/>
          <w:b/>
          <w:bCs/>
          <w:sz w:val="32"/>
          <w:szCs w:val="32"/>
        </w:rPr>
        <w:t xml:space="preserve">4.4 </w:t>
      </w:r>
      <w:r>
        <w:rPr>
          <w:rFonts w:hint="eastAsia" w:ascii="Times New Roman" w:hAnsi="Times New Roman" w:eastAsia="宋体" w:cs="Times New Roman"/>
          <w:b/>
          <w:bCs/>
          <w:sz w:val="32"/>
          <w:szCs w:val="32"/>
        </w:rPr>
        <w:t>小结</w:t>
      </w:r>
      <w:bookmarkEnd w:id="35"/>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本章从AGC、AVC和SVG三方面对场站涉网性能进行了评价和分析。由分析结果可知，</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风电场本季度AGC控制性能</w:t>
      </w:r>
      <w:r>
        <w:rPr>
          <w:rFonts w:hint="eastAsia" w:ascii="Times New Roman" w:hAnsi="Times New Roman" w:eastAsia="宋体" w:cs="Times New Roman"/>
          <w:sz w:val="28"/>
          <w:szCs w:val="28"/>
          <w:lang w:val="en-US" w:eastAsia="zh-CN"/>
        </w:rPr>
        <w:t>{{relatedNetPerfSummaryAGCTop}}</w:t>
      </w:r>
      <w:r>
        <w:rPr>
          <w:rFonts w:hint="eastAsia" w:ascii="Times New Roman" w:hAnsi="Times New Roman" w:eastAsia="宋体" w:cs="Times New Roman"/>
          <w:sz w:val="28"/>
          <w:szCs w:val="28"/>
        </w:rPr>
        <w:t>月最佳，</w:t>
      </w:r>
      <w:r>
        <w:rPr>
          <w:rFonts w:hint="eastAsia" w:ascii="Times New Roman" w:hAnsi="Times New Roman" w:eastAsia="宋体" w:cs="Times New Roman"/>
          <w:sz w:val="28"/>
          <w:szCs w:val="28"/>
          <w:lang w:val="en-US" w:eastAsia="zh-CN"/>
        </w:rPr>
        <w:t>{{relatedNetPerfSummaryAGCBottom}}</w:t>
      </w:r>
      <w:r>
        <w:rPr>
          <w:rFonts w:hint="eastAsia" w:ascii="Times New Roman" w:hAnsi="Times New Roman" w:eastAsia="宋体" w:cs="Times New Roman"/>
          <w:sz w:val="28"/>
          <w:szCs w:val="28"/>
        </w:rPr>
        <w:t>月最差。AVC控制偏差</w:t>
      </w:r>
      <w:r>
        <w:rPr>
          <w:rFonts w:hint="eastAsia" w:ascii="Times New Roman" w:hAnsi="Times New Roman" w:eastAsia="宋体" w:cs="Times New Roman"/>
          <w:sz w:val="28"/>
          <w:szCs w:val="28"/>
          <w:lang w:val="en-US" w:eastAsia="zh-CN"/>
        </w:rPr>
        <w:t>{{relatedNetPerfSummaryAVCControlBottom}}</w:t>
      </w:r>
      <w:r>
        <w:rPr>
          <w:rFonts w:hint="eastAsia" w:ascii="Times New Roman" w:hAnsi="Times New Roman" w:eastAsia="宋体" w:cs="Times New Roman"/>
          <w:sz w:val="28"/>
          <w:szCs w:val="28"/>
        </w:rPr>
        <w:t>月最小，</w:t>
      </w:r>
      <w:r>
        <w:rPr>
          <w:rFonts w:hint="eastAsia" w:ascii="Times New Roman" w:hAnsi="Times New Roman" w:eastAsia="宋体" w:cs="Times New Roman"/>
          <w:sz w:val="28"/>
          <w:szCs w:val="28"/>
          <w:lang w:val="en-US" w:eastAsia="zh-CN"/>
        </w:rPr>
        <w:t>{{relatedNetPerfSummaryAVCControlTop}}</w:t>
      </w:r>
      <w:r>
        <w:rPr>
          <w:rFonts w:hint="eastAsia" w:ascii="Times New Roman" w:hAnsi="Times New Roman" w:eastAsia="宋体" w:cs="Times New Roman"/>
          <w:sz w:val="28"/>
          <w:szCs w:val="28"/>
        </w:rPr>
        <w:t>月最大，电压合格率</w:t>
      </w:r>
      <w:r>
        <w:rPr>
          <w:rFonts w:hint="eastAsia" w:ascii="Times New Roman" w:hAnsi="Times New Roman" w:eastAsia="宋体" w:cs="Times New Roman"/>
          <w:sz w:val="28"/>
          <w:szCs w:val="28"/>
          <w:lang w:val="en-US" w:eastAsia="zh-CN"/>
        </w:rPr>
        <w:t>{{relatedNetPerfSummaryAVCRateTop}}</w:t>
      </w:r>
      <w:r>
        <w:rPr>
          <w:rFonts w:hint="eastAsia" w:ascii="Times New Roman" w:hAnsi="Times New Roman" w:eastAsia="宋体" w:cs="Times New Roman"/>
          <w:sz w:val="28"/>
          <w:szCs w:val="28"/>
        </w:rPr>
        <w:t>月最高，</w:t>
      </w:r>
      <w:r>
        <w:rPr>
          <w:rFonts w:hint="eastAsia" w:ascii="Times New Roman" w:hAnsi="Times New Roman" w:eastAsia="宋体" w:cs="Times New Roman"/>
          <w:sz w:val="28"/>
          <w:szCs w:val="28"/>
          <w:lang w:val="en-US" w:eastAsia="zh-CN"/>
        </w:rPr>
        <w:t>{{relatedNetPerfSummaryAVCRateBottom}}</w:t>
      </w:r>
      <w:r>
        <w:rPr>
          <w:rFonts w:hint="eastAsia" w:ascii="Times New Roman" w:hAnsi="Times New Roman" w:eastAsia="宋体" w:cs="Times New Roman"/>
          <w:sz w:val="28"/>
          <w:szCs w:val="28"/>
        </w:rPr>
        <w:t>月最低，电压调节不合格原因主要是</w:t>
      </w:r>
      <w:r>
        <w:rPr>
          <w:rFonts w:hint="eastAsia" w:ascii="Times New Roman" w:hAnsi="Times New Roman" w:eastAsia="宋体" w:cs="Times New Roman"/>
          <w:sz w:val="28"/>
          <w:szCs w:val="28"/>
          <w:lang w:val="en-US" w:eastAsia="zh-CN"/>
        </w:rPr>
        <w:t>{{relatedNetPerfSummaryAVCUnpass}}</w:t>
      </w:r>
      <w:r>
        <w:rPr>
          <w:rFonts w:hint="eastAsia" w:ascii="Times New Roman" w:hAnsi="Times New Roman" w:eastAsia="宋体" w:cs="Times New Roman"/>
          <w:sz w:val="28"/>
          <w:szCs w:val="28"/>
        </w:rPr>
        <w:t>。SVG控制性能</w:t>
      </w:r>
      <w:r>
        <w:rPr>
          <w:rFonts w:hint="eastAsia" w:ascii="Times New Roman" w:hAnsi="Times New Roman" w:eastAsia="宋体" w:cs="Times New Roman"/>
          <w:sz w:val="28"/>
          <w:szCs w:val="28"/>
          <w:lang w:val="en-US" w:eastAsia="zh-CN"/>
        </w:rPr>
        <w:t>{{relatedNetPerfSummarySVGTop}}</w:t>
      </w:r>
      <w:r>
        <w:rPr>
          <w:rFonts w:hint="eastAsia" w:ascii="Times New Roman" w:hAnsi="Times New Roman" w:eastAsia="宋体" w:cs="Times New Roman"/>
          <w:sz w:val="28"/>
          <w:szCs w:val="28"/>
        </w:rPr>
        <w:t>月最佳，</w:t>
      </w:r>
      <w:r>
        <w:rPr>
          <w:rFonts w:hint="eastAsia" w:ascii="Times New Roman" w:hAnsi="Times New Roman" w:eastAsia="宋体" w:cs="Times New Roman"/>
          <w:sz w:val="28"/>
          <w:szCs w:val="28"/>
          <w:lang w:val="en-US" w:eastAsia="zh-CN"/>
        </w:rPr>
        <w:t>{{relatedNetPerfSummarySVGBottom</w:t>
      </w:r>
      <w:bookmarkStart w:id="48" w:name="_GoBack"/>
      <w:bookmarkEnd w:id="48"/>
      <w:r>
        <w:rPr>
          <w:rFonts w:hint="eastAsia" w:ascii="Times New Roman" w:hAnsi="Times New Roman" w:eastAsia="宋体" w:cs="Times New Roman"/>
          <w:sz w:val="28"/>
          <w:szCs w:val="28"/>
          <w:lang w:val="en-US" w:eastAsia="zh-CN"/>
        </w:rPr>
        <w:t>}}</w:t>
      </w:r>
      <w:r>
        <w:rPr>
          <w:rFonts w:hint="eastAsia" w:ascii="Times New Roman" w:hAnsi="Times New Roman" w:eastAsia="宋体" w:cs="Times New Roman"/>
          <w:sz w:val="28"/>
          <w:szCs w:val="28"/>
        </w:rPr>
        <w:t>月最差。</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36" w:name="_Toc93481872"/>
      <w:bookmarkStart w:id="37" w:name="_Toc93583556"/>
      <w:r>
        <w:rPr>
          <w:rFonts w:hint="eastAsia" w:cs="Times New Roman" w:asciiTheme="majorEastAsia" w:hAnsiTheme="majorEastAsia" w:eastAsiaTheme="majorEastAsia"/>
          <w:b/>
          <w:bCs/>
          <w:sz w:val="32"/>
          <w:szCs w:val="32"/>
        </w:rPr>
        <w:t>五、功率预测性能评价及</w:t>
      </w:r>
      <w:bookmarkEnd w:id="36"/>
      <w:r>
        <w:rPr>
          <w:rFonts w:hint="eastAsia" w:cs="Times New Roman" w:asciiTheme="majorEastAsia" w:hAnsiTheme="majorEastAsia" w:eastAsiaTheme="majorEastAsia"/>
          <w:b/>
          <w:bCs/>
          <w:sz w:val="32"/>
          <w:szCs w:val="32"/>
        </w:rPr>
        <w:t>优化</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8" w:name="_Toc93481873"/>
      <w:bookmarkStart w:id="39" w:name="_Toc73967718"/>
      <w:r>
        <w:rPr>
          <w:rFonts w:ascii="Times New Roman" w:hAnsi="Times New Roman" w:eastAsia="宋体" w:cs="Times New Roman"/>
          <w:b/>
          <w:bCs/>
          <w:sz w:val="32"/>
          <w:szCs w:val="32"/>
        </w:rPr>
        <w:t xml:space="preserve">5.1 </w:t>
      </w:r>
      <w:r>
        <w:rPr>
          <w:rFonts w:hint="eastAsia" w:ascii="Times New Roman" w:hAnsi="Times New Roman" w:eastAsia="宋体" w:cs="Times New Roman"/>
          <w:b/>
          <w:bCs/>
          <w:sz w:val="32"/>
          <w:szCs w:val="32"/>
        </w:rPr>
        <w:t>风功率预测精度跟踪评价</w:t>
      </w:r>
      <w:bookmarkEnd w:id="38"/>
    </w:p>
    <w:bookmarkEnd w:id="39"/>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针对风电场整场的功率预测结果开展误差分析。所采用的短期功率预测误差评价指标与调度考核采用的误差评价指标相一致，</w:t>
      </w:r>
      <w:r>
        <w:rPr>
          <w:rFonts w:hint="eastAsia" w:cs="Times New Roman" w:asciiTheme="majorEastAsia" w:hAnsiTheme="majorEastAsia" w:eastAsiaTheme="majorEastAsia"/>
          <w:sz w:val="28"/>
          <w:szCs w:val="24"/>
        </w:rPr>
        <w:t>详情请参考两个细则考核要求。</w:t>
      </w:r>
      <w:r>
        <w:rPr>
          <w:rFonts w:cs="Times New Roman" w:asciiTheme="majorEastAsia" w:hAnsiTheme="majorEastAsia" w:eastAsiaTheme="majorEastAsia"/>
          <w:sz w:val="28"/>
          <w:szCs w:val="24"/>
        </w:rPr>
        <w:t xml:space="preserve"> </w:t>
      </w:r>
    </w:p>
    <w:p>
      <w:pPr>
        <w:pStyle w:val="4"/>
        <w:numPr>
          <w:ilvl w:val="0"/>
          <w:numId w:val="0"/>
        </w:numPr>
        <w:ind w:left="720" w:hanging="720"/>
      </w:pPr>
      <w:bookmarkStart w:id="40" w:name="_Toc93481874"/>
      <w:r>
        <w:t>5.1.1</w:t>
      </w:r>
      <w:r>
        <w:rPr>
          <w:rFonts w:hint="eastAsia"/>
        </w:rPr>
        <w:t>功率预测月度跟踪评价</w:t>
      </w:r>
      <w:bookmarkEnd w:id="40"/>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每日功率预测结果</w:t>
      </w:r>
      <w:r>
        <w:rPr>
          <w:rFonts w:ascii="Times New Roman" w:hAnsi="Times New Roman" w:eastAsia="宋体" w:cs="Times New Roman"/>
          <w:sz w:val="28"/>
          <w:szCs w:val="28"/>
        </w:rPr>
        <w:t>进行统计，得到图5</w:t>
      </w:r>
      <w:r>
        <w:rPr>
          <w:rFonts w:hint="eastAsia" w:ascii="Times New Roman" w:hAnsi="Times New Roman" w:eastAsia="宋体" w:cs="Times New Roman"/>
          <w:sz w:val="28"/>
          <w:szCs w:val="28"/>
        </w:rPr>
        <w:t>-</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5</w:t>
      </w:r>
      <w:r>
        <w:rPr>
          <w:rFonts w:hint="eastAsia" w:ascii="Times New Roman" w:hAnsi="Times New Roman" w:eastAsia="宋体" w:cs="Times New Roman"/>
          <w:sz w:val="28"/>
          <w:szCs w:val="28"/>
        </w:rPr>
        <w:t>-</w:t>
      </w:r>
      <w:r>
        <w:rPr>
          <w:rFonts w:ascii="Times New Roman" w:hAnsi="Times New Roman" w:eastAsia="宋体" w:cs="Times New Roman"/>
          <w:sz w:val="28"/>
          <w:szCs w:val="28"/>
        </w:rPr>
        <w:t>2。</w:t>
      </w:r>
    </w:p>
    <w:p>
      <w:pPr>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498762" cy="2551181"/>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图5-1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功率预测精度统计</w:t>
      </w:r>
      <w:r>
        <w:rPr>
          <w:rFonts w:ascii="Times New Roman" w:hAnsi="Times New Roman" w:eastAsia="宋体" w:cs="Times New Roman"/>
          <w:sz w:val="24"/>
          <w:szCs w:val="24"/>
        </w:rPr>
        <w:t>图</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5260975" cy="122491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图5-2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w:t>
      </w:r>
      <w:r>
        <w:rPr>
          <w:rFonts w:ascii="Times New Roman" w:hAnsi="Times New Roman" w:eastAsia="宋体" w:cs="Times New Roman"/>
          <w:sz w:val="24"/>
          <w:szCs w:val="24"/>
        </w:rPr>
        <w:t>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XX年X月功率预测精度平均为X%，同比增长/下降X%，环比增长/下降X%，在冀北电网排名为XX，在XXX（地市）电网排名为XX。预测精度最高为XX%，预测精度最低为XX%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每日功率预测结果</w:t>
      </w:r>
      <w:r>
        <w:rPr>
          <w:rFonts w:ascii="Times New Roman" w:hAnsi="Times New Roman" w:eastAsia="宋体" w:cs="Times New Roman"/>
          <w:sz w:val="28"/>
          <w:szCs w:val="28"/>
        </w:rPr>
        <w:t>进行统计，得到图5</w:t>
      </w:r>
      <w:r>
        <w:rPr>
          <w:rFonts w:hint="eastAsia" w:ascii="Times New Roman" w:hAnsi="Times New Roman" w:eastAsia="宋体" w:cs="Times New Roman"/>
          <w:sz w:val="28"/>
          <w:szCs w:val="28"/>
        </w:rPr>
        <w:t>-</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5</w:t>
      </w:r>
      <w:r>
        <w:rPr>
          <w:rFonts w:hint="eastAsia" w:ascii="Times New Roman" w:hAnsi="Times New Roman" w:eastAsia="宋体" w:cs="Times New Roman"/>
          <w:sz w:val="28"/>
          <w:szCs w:val="28"/>
        </w:rPr>
        <w:t>-</w:t>
      </w:r>
      <w:r>
        <w:rPr>
          <w:rFonts w:ascii="Times New Roman" w:hAnsi="Times New Roman" w:eastAsia="宋体" w:cs="Times New Roman"/>
          <w:sz w:val="28"/>
          <w:szCs w:val="28"/>
        </w:rPr>
        <w:t>2。</w:t>
      </w:r>
    </w:p>
    <w:p>
      <w:pPr>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3498762" cy="2551181"/>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图5-1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功率预测精度统计</w:t>
      </w:r>
      <w:r>
        <w:rPr>
          <w:rFonts w:ascii="Times New Roman" w:hAnsi="Times New Roman" w:eastAsia="宋体" w:cs="Times New Roman"/>
          <w:sz w:val="24"/>
          <w:szCs w:val="24"/>
        </w:rPr>
        <w:t>图</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2"/>
                    <a:stretch>
                      <a:fillRect/>
                    </a:stretch>
                  </pic:blipFill>
                  <pic:spPr>
                    <a:xfrm>
                      <a:off x="0" y="0"/>
                      <a:ext cx="5260975" cy="122491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图5-2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w:t>
      </w:r>
      <w:r>
        <w:rPr>
          <w:rFonts w:ascii="Times New Roman" w:hAnsi="Times New Roman" w:eastAsia="宋体" w:cs="Times New Roman"/>
          <w:sz w:val="24"/>
          <w:szCs w:val="24"/>
        </w:rPr>
        <w:t>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XX年X月功率预测精度平均为X%，同比增长/下降X%，环比增长/下降X%，在冀北地区排名为XX，在XXX区域排名为XX。预测精度最高为XX%，预测精度最低为XX%。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每日功率预测结果</w:t>
      </w:r>
      <w:r>
        <w:rPr>
          <w:rFonts w:ascii="Times New Roman" w:hAnsi="Times New Roman" w:eastAsia="宋体" w:cs="Times New Roman"/>
          <w:sz w:val="28"/>
          <w:szCs w:val="28"/>
        </w:rPr>
        <w:t>进行统计，得到图5</w:t>
      </w:r>
      <w:r>
        <w:rPr>
          <w:rFonts w:hint="eastAsia" w:ascii="Times New Roman" w:hAnsi="Times New Roman" w:eastAsia="宋体" w:cs="Times New Roman"/>
          <w:sz w:val="28"/>
          <w:szCs w:val="28"/>
        </w:rPr>
        <w:t>-</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5</w:t>
      </w:r>
      <w:r>
        <w:rPr>
          <w:rFonts w:hint="eastAsia" w:ascii="Times New Roman" w:hAnsi="Times New Roman" w:eastAsia="宋体" w:cs="Times New Roman"/>
          <w:sz w:val="28"/>
          <w:szCs w:val="28"/>
        </w:rPr>
        <w:t>-</w:t>
      </w:r>
      <w:r>
        <w:rPr>
          <w:rFonts w:ascii="Times New Roman" w:hAnsi="Times New Roman" w:eastAsia="宋体" w:cs="Times New Roman"/>
          <w:sz w:val="28"/>
          <w:szCs w:val="28"/>
        </w:rPr>
        <w:t>2。</w:t>
      </w:r>
    </w:p>
    <w:p>
      <w:pPr>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1"/>
                    <a:stretch>
                      <a:fillRect/>
                    </a:stretch>
                  </pic:blipFill>
                  <pic:spPr>
                    <a:xfrm>
                      <a:off x="0" y="0"/>
                      <a:ext cx="3498762" cy="2551181"/>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图5-1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功率预测精度统计</w:t>
      </w:r>
      <w:r>
        <w:rPr>
          <w:rFonts w:ascii="Times New Roman" w:hAnsi="Times New Roman" w:eastAsia="宋体" w:cs="Times New Roman"/>
          <w:sz w:val="24"/>
          <w:szCs w:val="24"/>
        </w:rPr>
        <w:t>图</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2"/>
                    <a:stretch>
                      <a:fillRect/>
                    </a:stretch>
                  </pic:blipFill>
                  <pic:spPr>
                    <a:xfrm>
                      <a:off x="0" y="0"/>
                      <a:ext cx="5260975" cy="122491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图5-2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w:t>
      </w:r>
      <w:r>
        <w:rPr>
          <w:rFonts w:ascii="Times New Roman" w:hAnsi="Times New Roman" w:eastAsia="宋体" w:cs="Times New Roman"/>
          <w:sz w:val="24"/>
          <w:szCs w:val="24"/>
        </w:rPr>
        <w:t>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XX年X月功率预测精度平均为X%，同比增长/下降X%，环比增长/下降X%，在冀北地区排名为XX，在XXX区域排名为XX。预测精度最高为XX%，预测精度最低为XX%</w:t>
      </w:r>
    </w:p>
    <w:p>
      <w:pPr>
        <w:pStyle w:val="4"/>
        <w:numPr>
          <w:ilvl w:val="0"/>
          <w:numId w:val="0"/>
        </w:numPr>
        <w:ind w:left="720" w:hanging="720"/>
      </w:pPr>
      <w:bookmarkStart w:id="41" w:name="_Toc93481875"/>
      <w:r>
        <w:t xml:space="preserve">5.1.2 </w:t>
      </w:r>
      <w:r>
        <w:rPr>
          <w:rFonts w:hint="eastAsia"/>
        </w:rPr>
        <w:t>典型日综合分析</w:t>
      </w:r>
      <w:bookmarkEnd w:id="41"/>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w:t>
      </w:r>
      <w:r>
        <w:rPr>
          <w:rFonts w:hint="eastAsia" w:ascii="Times New Roman" w:hAnsi="Times New Roman" w:eastAsia="宋体" w:cs="Times New Roman"/>
          <w:sz w:val="28"/>
          <w:szCs w:val="28"/>
        </w:rPr>
        <w:t>预测精度</w:t>
      </w:r>
      <w:r>
        <w:rPr>
          <w:rFonts w:ascii="Times New Roman" w:hAnsi="Times New Roman" w:eastAsia="宋体" w:cs="Times New Roman"/>
          <w:sz w:val="28"/>
          <w:szCs w:val="28"/>
        </w:rPr>
        <w:t>最</w:t>
      </w:r>
      <w:r>
        <w:rPr>
          <w:rFonts w:hint="eastAsia" w:ascii="Times New Roman" w:hAnsi="Times New Roman" w:eastAsia="宋体" w:cs="Times New Roman"/>
          <w:sz w:val="28"/>
          <w:szCs w:val="28"/>
        </w:rPr>
        <w:t>低</w:t>
      </w:r>
      <w:r>
        <w:rPr>
          <w:rFonts w:ascii="Times New Roman" w:hAnsi="Times New Roman" w:eastAsia="宋体" w:cs="Times New Roman"/>
          <w:sz w:val="28"/>
          <w:szCs w:val="28"/>
        </w:rPr>
        <w:t>，</w:t>
      </w:r>
      <w:r>
        <w:rPr>
          <w:rFonts w:hint="eastAsia" w:ascii="Times New Roman" w:hAnsi="Times New Roman" w:eastAsia="宋体" w:cs="Times New Roman"/>
          <w:sz w:val="28"/>
          <w:szCs w:val="28"/>
        </w:rPr>
        <w:t>为X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ascii="Times New Roman" w:hAnsi="Times New Roman" w:eastAsia="宋体" w:cs="Times New Roman"/>
          <w:sz w:val="28"/>
          <w:szCs w:val="28"/>
        </w:rPr>
        <w:t>当日</w:t>
      </w:r>
      <w:r>
        <w:rPr>
          <w:rFonts w:hint="eastAsia" w:ascii="Times New Roman" w:hAnsi="Times New Roman" w:eastAsia="宋体" w:cs="Times New Roman"/>
          <w:sz w:val="28"/>
          <w:szCs w:val="28"/>
        </w:rPr>
        <w:t>预测值与实际值的对比分析如下图</w:t>
      </w:r>
      <w:r>
        <w:rPr>
          <w:rFonts w:ascii="Times New Roman" w:hAnsi="Times New Roman" w:eastAsia="宋体" w:cs="Times New Roman"/>
          <w:sz w:val="28"/>
          <w:szCs w:val="28"/>
        </w:rPr>
        <w:t>。</w:t>
      </w:r>
    </w:p>
    <w:p>
      <w:pPr>
        <w:rPr>
          <w:rFonts w:ascii="Times New Roman" w:hAnsi="Times New Roman" w:eastAsia="宋体" w:cs="Times New Roman"/>
          <w:sz w:val="28"/>
          <w:szCs w:val="28"/>
        </w:rPr>
      </w:pPr>
      <w:r>
        <w:rPr>
          <w:rFonts w:ascii="Times New Roman" w:hAnsi="Times New Roman" w:eastAsia="宋体" w:cs="Times New Roman"/>
          <w:sz w:val="28"/>
          <w:szCs w:val="28"/>
        </w:rPr>
        <w:drawing>
          <wp:inline distT="0" distB="0" distL="0" distR="0">
            <wp:extent cx="5274310" cy="1576705"/>
            <wp:effectExtent l="0" t="0" r="2540" b="444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576705"/>
                    </a:xfrm>
                    <a:prstGeom prst="rect">
                      <a:avLst/>
                    </a:prstGeom>
                    <a:noFill/>
                    <a:ln>
                      <a:noFill/>
                    </a:ln>
                  </pic:spPr>
                </pic:pic>
              </a:graphicData>
            </a:graphic>
          </wp:inline>
        </w:drawing>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图5</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3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w:t>
      </w:r>
      <w:r>
        <w:rPr>
          <w:rFonts w:hint="eastAsia" w:ascii="Times New Roman" w:hAnsi="Times New Roman" w:eastAsia="宋体" w:cs="Times New Roman"/>
          <w:sz w:val="24"/>
          <w:szCs w:val="24"/>
        </w:rPr>
        <w:t>功率预测精度分析</w:t>
      </w:r>
    </w:p>
    <w:p>
      <w:pPr>
        <w:spacing w:line="360" w:lineRule="auto"/>
        <w:ind w:firstLine="560" w:firstLineChars="200"/>
        <w:rPr>
          <w:rFonts w:cs="Times New Roman" w:asciiTheme="majorEastAsia" w:hAnsiTheme="majorEastAsia" w:eastAsiaTheme="majorEastAsia"/>
          <w:sz w:val="28"/>
          <w:szCs w:val="24"/>
        </w:rPr>
      </w:pPr>
      <w:commentRangeStart w:id="0"/>
      <w:r>
        <w:rPr>
          <w:rFonts w:hint="eastAsia" w:cs="Times New Roman" w:asciiTheme="majorEastAsia" w:hAnsiTheme="majorEastAsia" w:eastAsiaTheme="majorEastAsia"/>
          <w:sz w:val="28"/>
          <w:szCs w:val="24"/>
        </w:rPr>
        <w:t>X</w:t>
      </w:r>
      <w:r>
        <w:rPr>
          <w:rFonts w:cs="Times New Roman" w:asciiTheme="majorEastAsia" w:hAnsiTheme="majorEastAsia" w:eastAsiaTheme="majorEastAsia"/>
          <w:sz w:val="28"/>
          <w:szCs w:val="24"/>
        </w:rPr>
        <w:t>XX风电场</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功率预测调度实际考核电量如表</w:t>
      </w:r>
      <w:r>
        <w:rPr>
          <w:rFonts w:hint="eastAsia" w:cs="Times New Roman" w:asciiTheme="majorEastAsia" w:hAnsiTheme="majorEastAsia" w:eastAsiaTheme="majorEastAsia"/>
          <w:sz w:val="28"/>
          <w:szCs w:val="24"/>
        </w:rPr>
        <w:t>5-1所示（未考虑免考等情况），其中</w:t>
      </w:r>
      <w:r>
        <w:rPr>
          <w:rFonts w:cs="Times New Roman" w:asciiTheme="majorEastAsia" w:hAnsiTheme="majorEastAsia" w:eastAsiaTheme="majorEastAsia"/>
          <w:sz w:val="28"/>
          <w:szCs w:val="24"/>
        </w:rPr>
        <w:t>X</w:t>
      </w:r>
      <w:r>
        <w:rPr>
          <w:rFonts w:hint="eastAsia" w:cs="Times New Roman" w:asciiTheme="majorEastAsia" w:hAnsiTheme="majorEastAsia" w:eastAsiaTheme="majorEastAsia"/>
          <w:sz w:val="28"/>
          <w:szCs w:val="24"/>
        </w:rPr>
        <w:t>月考核电量最高，为</w:t>
      </w:r>
      <w:r>
        <w:rPr>
          <w:rFonts w:cs="Times New Roman" w:asciiTheme="majorEastAsia" w:hAnsiTheme="majorEastAsia" w:eastAsiaTheme="majorEastAsia"/>
          <w:sz w:val="28"/>
          <w:szCs w:val="24"/>
        </w:rPr>
        <w:t>XXMW</w:t>
      </w:r>
      <w:r>
        <w:rPr>
          <w:rFonts w:hint="eastAsia" w:cs="Times New Roman" w:asciiTheme="majorEastAsia" w:hAnsiTheme="majorEastAsia" w:eastAsiaTheme="majorEastAsia"/>
          <w:sz w:val="28"/>
          <w:szCs w:val="24"/>
        </w:rPr>
        <w:t>；</w:t>
      </w:r>
      <w:r>
        <w:rPr>
          <w:rFonts w:cs="Times New Roman" w:asciiTheme="majorEastAsia" w:hAnsiTheme="majorEastAsia" w:eastAsiaTheme="majorEastAsia"/>
          <w:sz w:val="28"/>
          <w:szCs w:val="24"/>
        </w:rPr>
        <w:t>X月考核电量最低</w:t>
      </w:r>
      <w:r>
        <w:rPr>
          <w:rFonts w:hint="eastAsia" w:cs="Times New Roman" w:asciiTheme="majorEastAsia" w:hAnsiTheme="majorEastAsia" w:eastAsiaTheme="majorEastAsia"/>
          <w:sz w:val="28"/>
          <w:szCs w:val="24"/>
        </w:rPr>
        <w:t>，</w:t>
      </w:r>
      <w:r>
        <w:rPr>
          <w:rFonts w:cs="Times New Roman" w:asciiTheme="majorEastAsia" w:hAnsiTheme="majorEastAsia" w:eastAsiaTheme="majorEastAsia"/>
          <w:sz w:val="28"/>
          <w:szCs w:val="24"/>
        </w:rPr>
        <w:t>为XXMW</w:t>
      </w:r>
      <w:r>
        <w:rPr>
          <w:rFonts w:hint="eastAsia" w:cs="Times New Roman" w:asciiTheme="majorEastAsia" w:hAnsiTheme="majorEastAsia" w:eastAsiaTheme="majorEastAsia"/>
          <w:sz w:val="28"/>
          <w:szCs w:val="24"/>
        </w:rPr>
        <w:t>。</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w:t>
      </w: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Times New Roman" w:hAnsi="Times New Roman" w:eastAsia="宋体" w:cs="Times New Roman"/>
          <w:sz w:val="24"/>
          <w:szCs w:val="24"/>
        </w:rPr>
        <w:t>1</w:t>
      </w:r>
      <w:r>
        <w:rPr>
          <w:rFonts w:hint="eastAsia" w:ascii="Times New Roman" w:hAnsi="Times New Roman" w:eastAsia="宋体" w:cs="Times New Roman"/>
          <w:sz w:val="24"/>
          <w:szCs w:val="24"/>
        </w:rPr>
        <w:t xml:space="preserve"> 月度</w:t>
      </w:r>
      <w:r>
        <w:rPr>
          <w:rFonts w:ascii="Times New Roman" w:hAnsi="Times New Roman" w:eastAsia="宋体" w:cs="Times New Roman"/>
          <w:sz w:val="24"/>
          <w:szCs w:val="24"/>
        </w:rPr>
        <w:t>考核电量统计</w:t>
      </w:r>
    </w:p>
    <w:tbl>
      <w:tblPr>
        <w:tblStyle w:val="3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0"/>
        <w:gridCol w:w="1370"/>
        <w:gridCol w:w="1371"/>
        <w:gridCol w:w="1370"/>
        <w:gridCol w:w="1370"/>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jc w:val="center"/>
        </w:trPr>
        <w:tc>
          <w:tcPr>
            <w:tcW w:w="1370" w:type="dxa"/>
            <w:shd w:val="clear" w:color="auto" w:fill="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月份</w:t>
            </w: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1" w:type="dxa"/>
            <w:shd w:val="clear" w:color="auto" w:fill="auto"/>
            <w:vAlign w:val="center"/>
          </w:tcPr>
          <w:p>
            <w:pPr>
              <w:widowControl/>
              <w:jc w:val="center"/>
              <w:rPr>
                <w:rFonts w:ascii="Times New Roman" w:hAnsi="Times New Roman" w:eastAsia="宋体" w:cs="Times New Roman"/>
                <w:sz w:val="24"/>
                <w:szCs w:val="24"/>
              </w:rPr>
            </w:pP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1" w:type="dxa"/>
            <w:shd w:val="clear" w:color="auto" w:fill="auto"/>
            <w:vAlign w:val="center"/>
          </w:tcPr>
          <w:p>
            <w:pPr>
              <w:widowControl/>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jc w:val="center"/>
        </w:trPr>
        <w:tc>
          <w:tcPr>
            <w:tcW w:w="1370" w:type="dxa"/>
            <w:shd w:val="clear" w:color="auto" w:fill="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调度实际考核电量（</w:t>
            </w:r>
            <w:r>
              <w:rPr>
                <w:rFonts w:ascii="Times New Roman" w:hAnsi="Times New Roman" w:eastAsia="宋体" w:cs="Times New Roman"/>
                <w:sz w:val="24"/>
                <w:szCs w:val="24"/>
              </w:rPr>
              <w:t>MW</w:t>
            </w:r>
            <w:r>
              <w:rPr>
                <w:rFonts w:hint="eastAsia" w:ascii="Times New Roman" w:hAnsi="Times New Roman" w:eastAsia="宋体" w:cs="Times New Roman"/>
                <w:sz w:val="24"/>
                <w:szCs w:val="24"/>
              </w:rPr>
              <w:t>）</w:t>
            </w: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1" w:type="dxa"/>
            <w:shd w:val="clear" w:color="auto" w:fill="auto"/>
            <w:vAlign w:val="center"/>
          </w:tcPr>
          <w:p>
            <w:pPr>
              <w:widowControl/>
              <w:jc w:val="center"/>
              <w:rPr>
                <w:rFonts w:ascii="Times New Roman" w:hAnsi="Times New Roman" w:eastAsia="宋体" w:cs="Times New Roman"/>
                <w:sz w:val="24"/>
                <w:szCs w:val="24"/>
              </w:rPr>
            </w:pP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1" w:type="dxa"/>
            <w:shd w:val="clear" w:color="auto" w:fill="auto"/>
            <w:vAlign w:val="center"/>
          </w:tcPr>
          <w:p>
            <w:pPr>
              <w:widowControl/>
              <w:jc w:val="center"/>
              <w:rPr>
                <w:rFonts w:ascii="Times New Roman" w:hAnsi="Times New Roman" w:eastAsia="宋体" w:cs="Times New Roman"/>
                <w:sz w:val="24"/>
                <w:szCs w:val="24"/>
              </w:rPr>
            </w:pPr>
          </w:p>
        </w:tc>
      </w:tr>
      <w:commentRangeEnd w:id="0"/>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r>
        <w:rPr>
          <w:rStyle w:val="47"/>
        </w:rPr>
        <w:commentReference w:id="0"/>
      </w:r>
      <w:bookmarkStart w:id="42" w:name="_Toc93481876"/>
      <w:r>
        <w:rPr>
          <w:rFonts w:ascii="Times New Roman" w:hAnsi="Times New Roman" w:eastAsia="宋体" w:cs="Times New Roman"/>
          <w:b/>
          <w:bCs/>
          <w:sz w:val="32"/>
          <w:szCs w:val="32"/>
        </w:rPr>
        <w:t xml:space="preserve">5.2 </w:t>
      </w:r>
      <w:r>
        <w:rPr>
          <w:rFonts w:hint="eastAsia" w:ascii="Times New Roman" w:hAnsi="Times New Roman" w:eastAsia="宋体" w:cs="Times New Roman"/>
          <w:b/>
          <w:bCs/>
          <w:sz w:val="32"/>
          <w:szCs w:val="32"/>
        </w:rPr>
        <w:t>风功率预测优化及对比分析</w:t>
      </w:r>
      <w:bookmarkEnd w:id="42"/>
    </w:p>
    <w:p>
      <w:pPr>
        <w:pStyle w:val="4"/>
        <w:numPr>
          <w:ilvl w:val="0"/>
          <w:numId w:val="0"/>
        </w:numPr>
        <w:ind w:left="720" w:hanging="720"/>
      </w:pPr>
      <w:bookmarkStart w:id="43" w:name="_Toc93481877"/>
      <w:r>
        <w:t>5.2.1</w:t>
      </w:r>
      <w:r>
        <w:rPr>
          <w:rFonts w:hint="eastAsia"/>
        </w:rPr>
        <w:t>预测精度提升方案</w:t>
      </w:r>
      <w:bookmarkEnd w:id="43"/>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针对场站上报功率预测结果，依托平台气象数据等场站及单机信息数据开展预测功率结果修正优化工作。</w:t>
      </w:r>
      <w:r>
        <w:rPr>
          <w:rFonts w:hint="eastAsia" w:cs="Times New Roman" w:asciiTheme="majorEastAsia" w:hAnsiTheme="majorEastAsia" w:eastAsiaTheme="majorEastAsia"/>
          <w:sz w:val="28"/>
          <w:szCs w:val="24"/>
        </w:rPr>
        <w:t>支撑多</w:t>
      </w:r>
      <w:r>
        <w:rPr>
          <w:rFonts w:cs="Times New Roman" w:asciiTheme="majorEastAsia" w:hAnsiTheme="majorEastAsia" w:eastAsiaTheme="majorEastAsia"/>
          <w:sz w:val="28"/>
          <w:szCs w:val="24"/>
        </w:rPr>
        <w:t>NWP数据源接入、兼容多个厂家的功率预测模型，通过不同数据源-模型组合的功率预测过程建模及结果计算，实现由场站功率预测总体误差到“数据源误差+模型误差”的解耦评价，挖掘场站功率预测短板环节；针对功率预测误差引入环节，制定“数据源级-模型级-预测结果级”的个性化修正模型，对各场站上报结果修正优化，提升各场站乃至全冀北的功率预测准确度。</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针对XXX风电场XX年</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考核电量、每日的功率预测准确率以及逐15min的预测与实测结果，分别进行计算与分析，详细结果如下</w:t>
      </w:r>
      <w:r>
        <w:rPr>
          <w:rFonts w:hint="eastAsia" w:cs="Times New Roman" w:asciiTheme="majorEastAsia" w:hAnsiTheme="majorEastAsia" w:eastAsiaTheme="majorEastAsia"/>
          <w:sz w:val="28"/>
          <w:szCs w:val="24"/>
        </w:rPr>
        <w:t>。</w:t>
      </w:r>
    </w:p>
    <w:p>
      <w:pPr>
        <w:pStyle w:val="4"/>
        <w:numPr>
          <w:ilvl w:val="0"/>
          <w:numId w:val="0"/>
        </w:numPr>
        <w:ind w:left="720" w:hanging="720"/>
      </w:pPr>
      <w:bookmarkStart w:id="44" w:name="_Toc93481878"/>
      <w:r>
        <w:t>5.2.2</w:t>
      </w:r>
      <w:r>
        <w:rPr>
          <w:rFonts w:hint="eastAsia"/>
        </w:rPr>
        <w:t>优化前后月度功率预测考核电量</w:t>
      </w:r>
      <w:bookmarkEnd w:id="44"/>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对</w:t>
      </w:r>
      <w:r>
        <w:rPr>
          <w:rFonts w:hint="eastAsia" w:cs="Times New Roman" w:asciiTheme="majorEastAsia" w:hAnsiTheme="majorEastAsia" w:eastAsiaTheme="majorEastAsia"/>
          <w:sz w:val="28"/>
          <w:szCs w:val="24"/>
        </w:rPr>
        <w:t>X</w:t>
      </w:r>
      <w:r>
        <w:rPr>
          <w:rFonts w:cs="Times New Roman" w:asciiTheme="majorEastAsia" w:hAnsiTheme="majorEastAsia" w:eastAsiaTheme="majorEastAsia"/>
          <w:sz w:val="28"/>
          <w:szCs w:val="24"/>
        </w:rPr>
        <w:t>XX风电场开展功率预测优化工作前后的月度考核电量进行计算</w:t>
      </w:r>
      <w:r>
        <w:rPr>
          <w:rFonts w:hint="eastAsia" w:cs="Times New Roman" w:asciiTheme="majorEastAsia" w:hAnsiTheme="majorEastAsia" w:eastAsiaTheme="majorEastAsia"/>
          <w:sz w:val="28"/>
          <w:szCs w:val="24"/>
        </w:rPr>
        <w:t>（未考虑免考等情况）</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的修正前后月度考核电量变化如图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4所示</w:t>
      </w:r>
      <w:r>
        <w:rPr>
          <w:rFonts w:hint="eastAsia" w:cs="Times New Roman" w:asciiTheme="majorEastAsia" w:hAnsiTheme="majorEastAsia" w:eastAsiaTheme="majorEastAsia"/>
          <w:sz w:val="28"/>
          <w:szCs w:val="24"/>
        </w:rPr>
        <w:t>，估算经</w:t>
      </w:r>
      <w:r>
        <w:rPr>
          <w:rFonts w:cs="Times New Roman" w:asciiTheme="majorEastAsia" w:hAnsiTheme="majorEastAsia" w:eastAsiaTheme="majorEastAsia"/>
          <w:sz w:val="28"/>
          <w:szCs w:val="24"/>
        </w:rPr>
        <w:t>模型优化后对于考核电量的降低</w:t>
      </w:r>
      <w:r>
        <w:rPr>
          <w:rFonts w:hint="eastAsia" w:cs="Times New Roman" w:asciiTheme="majorEastAsia" w:hAnsiTheme="majorEastAsia" w:eastAsiaTheme="majorEastAsia"/>
          <w:sz w:val="28"/>
          <w:szCs w:val="24"/>
        </w:rPr>
        <w:t>情况统计</w:t>
      </w:r>
      <w:r>
        <w:rPr>
          <w:rFonts w:cs="Times New Roman" w:asciiTheme="majorEastAsia" w:hAnsiTheme="majorEastAsia" w:eastAsiaTheme="majorEastAsia"/>
          <w:sz w:val="28"/>
          <w:szCs w:val="24"/>
        </w:rPr>
        <w:t>如表</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5</w:t>
      </w:r>
      <w:r>
        <w:rPr>
          <w:rFonts w:hint="eastAsia" w:cs="Times New Roman" w:asciiTheme="majorEastAsia" w:hAnsiTheme="majorEastAsia" w:eastAsiaTheme="majorEastAsia"/>
          <w:sz w:val="28"/>
          <w:szCs w:val="24"/>
        </w:rPr>
        <w:t>所示</w:t>
      </w:r>
      <w:r>
        <w:rPr>
          <w:rFonts w:cs="Times New Roman" w:asciiTheme="majorEastAsia" w:hAnsiTheme="majorEastAsia" w:eastAsiaTheme="majorEastAsia"/>
          <w:sz w:val="28"/>
          <w:szCs w:val="24"/>
        </w:rPr>
        <w:t>。</w:t>
      </w:r>
    </w:p>
    <w:p>
      <w:pPr>
        <w:spacing w:line="360" w:lineRule="auto"/>
        <w:jc w:val="center"/>
        <w:rPr>
          <w:rFonts w:ascii="Times New Roman" w:hAnsi="Times New Roman" w:eastAsia="仿宋" w:cs="Times New Roman"/>
          <w:sz w:val="24"/>
          <w:szCs w:val="24"/>
        </w:rPr>
      </w:pPr>
      <w:r>
        <w:rPr>
          <w:rFonts w:ascii="Times New Roman" w:hAnsi="Times New Roman" w:eastAsia="仿宋" w:cs="Times New Roman"/>
          <w:sz w:val="24"/>
          <w:szCs w:val="24"/>
          <w:highlight w:val="yellow"/>
        </w:rPr>
        <w:drawing>
          <wp:inline distT="0" distB="0" distL="0" distR="0">
            <wp:extent cx="3956050" cy="2159635"/>
            <wp:effectExtent l="0" t="0" r="6350" b="0"/>
            <wp:docPr id="33" name="图片 33" descr="C:\Users\qy\Notebook\冀北工作算例\数据平台算例\202009-平台WPF准确率验证\Output Figures\new-修正前后不同月份的考核电量-鲁能迎峰岭风电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qy\Notebook\冀北工作算例\数据平台算例\202009-平台WPF准确率验证\Output Figures\new-修正前后不同月份的考核电量-鲁能迎峰岭风电场.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956586" cy="2160000"/>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rPr>
        <w:t>5-</w:t>
      </w:r>
      <w:r>
        <w:rPr>
          <w:rFonts w:ascii="Times New Roman" w:hAnsi="Times New Roman" w:eastAsia="宋体" w:cs="Times New Roman"/>
          <w:sz w:val="24"/>
          <w:szCs w:val="24"/>
        </w:rPr>
        <w:t>4 优化前后考核电量对比图（逐月）</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表5-</w:t>
      </w:r>
      <w:r>
        <w:rPr>
          <w:rFonts w:ascii="Times New Roman" w:hAnsi="Times New Roman" w:eastAsia="宋体" w:cs="Times New Roman"/>
          <w:sz w:val="24"/>
          <w:szCs w:val="24"/>
        </w:rPr>
        <w:t>2</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优化后</w:t>
      </w:r>
      <w:r>
        <w:rPr>
          <w:rFonts w:hint="eastAsia" w:ascii="Times New Roman" w:hAnsi="Times New Roman" w:eastAsia="宋体" w:cs="Times New Roman"/>
          <w:sz w:val="24"/>
          <w:szCs w:val="24"/>
        </w:rPr>
        <w:t>月度</w:t>
      </w:r>
      <w:r>
        <w:rPr>
          <w:rFonts w:ascii="Times New Roman" w:hAnsi="Times New Roman" w:eastAsia="宋体" w:cs="Times New Roman"/>
          <w:sz w:val="24"/>
          <w:szCs w:val="24"/>
        </w:rPr>
        <w:t>考核电量</w:t>
      </w:r>
      <w:r>
        <w:rPr>
          <w:rFonts w:hint="eastAsia" w:ascii="Times New Roman" w:hAnsi="Times New Roman" w:eastAsia="宋体" w:cs="Times New Roman"/>
          <w:sz w:val="24"/>
          <w:szCs w:val="24"/>
        </w:rPr>
        <w:t>降低</w:t>
      </w:r>
      <w:r>
        <w:rPr>
          <w:rFonts w:ascii="Times New Roman" w:hAnsi="Times New Roman" w:eastAsia="宋体" w:cs="Times New Roman"/>
          <w:sz w:val="24"/>
          <w:szCs w:val="24"/>
        </w:rPr>
        <w:t>情况统计</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月份</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优化前实际</w:t>
            </w:r>
            <w:r>
              <w:rPr>
                <w:rFonts w:ascii="Times New Roman" w:hAnsi="Times New Roman" w:eastAsia="宋体" w:cs="Times New Roman"/>
                <w:sz w:val="24"/>
                <w:szCs w:val="24"/>
              </w:rPr>
              <w:t>考核电量</w:t>
            </w:r>
            <w:r>
              <w:rPr>
                <w:rFonts w:hint="eastAsia" w:ascii="Times New Roman" w:hAnsi="Times New Roman" w:eastAsia="宋体" w:cs="Times New Roman"/>
                <w:sz w:val="24"/>
                <w:szCs w:val="24"/>
              </w:rPr>
              <w:t>（MW）</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优化</w:t>
            </w:r>
            <w:r>
              <w:rPr>
                <w:rFonts w:ascii="Times New Roman" w:hAnsi="Times New Roman" w:eastAsia="宋体" w:cs="Times New Roman"/>
                <w:sz w:val="24"/>
                <w:szCs w:val="24"/>
              </w:rPr>
              <w:t>后估算考核电量</w:t>
            </w:r>
            <w:r>
              <w:rPr>
                <w:rFonts w:hint="eastAsia" w:ascii="Times New Roman" w:hAnsi="Times New Roman" w:eastAsia="宋体" w:cs="Times New Roman"/>
                <w:sz w:val="24"/>
                <w:szCs w:val="24"/>
              </w:rPr>
              <w:t>（MW）</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考核金额</w:t>
            </w:r>
            <w:r>
              <w:rPr>
                <w:rFonts w:ascii="Times New Roman" w:hAnsi="Times New Roman" w:eastAsia="宋体" w:cs="Times New Roman"/>
                <w:sz w:val="24"/>
                <w:szCs w:val="24"/>
              </w:rPr>
              <w:t>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bl>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w:t>
      </w:r>
      <w:r>
        <w:rPr>
          <w:rFonts w:hint="eastAsia" w:cs="Times New Roman" w:asciiTheme="majorEastAsia" w:hAnsiTheme="majorEastAsia" w:eastAsiaTheme="majorEastAsia"/>
          <w:sz w:val="28"/>
          <w:szCs w:val="24"/>
        </w:rPr>
        <w:t>和</w:t>
      </w:r>
      <w:r>
        <w:rPr>
          <w:rFonts w:cs="Times New Roman" w:asciiTheme="majorEastAsia" w:hAnsiTheme="majorEastAsia" w:eastAsiaTheme="majorEastAsia"/>
          <w:sz w:val="28"/>
          <w:szCs w:val="24"/>
        </w:rPr>
        <w:t>表</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4显示，通过功率预测专项优化，预计能够显著降低</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考核电量，降低值分别为XXMW、XXMW、XXMW；X月份的考核电量基本维持不变；X月份的考核略有增加，增加值为XX MW。综合来看，通过场站功率预测上报结果优化，预计能将</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共计X个月份的考核电量平均每月降低了XX MW，</w:t>
      </w:r>
      <w:r>
        <w:rPr>
          <w:rFonts w:hint="eastAsia" w:cs="Times New Roman" w:asciiTheme="majorEastAsia" w:hAnsiTheme="majorEastAsia" w:eastAsiaTheme="majorEastAsia"/>
          <w:sz w:val="28"/>
          <w:szCs w:val="24"/>
        </w:rPr>
        <w:t>将月度</w:t>
      </w:r>
      <w:r>
        <w:rPr>
          <w:rFonts w:cs="Times New Roman" w:asciiTheme="majorEastAsia" w:hAnsiTheme="majorEastAsia" w:eastAsiaTheme="majorEastAsia"/>
          <w:sz w:val="28"/>
          <w:szCs w:val="24"/>
        </w:rPr>
        <w:t>考核金额平均降低XX%，X</w:t>
      </w:r>
      <w:r>
        <w:rPr>
          <w:rFonts w:hint="eastAsia" w:cs="Times New Roman" w:asciiTheme="majorEastAsia" w:hAnsiTheme="majorEastAsia" w:eastAsiaTheme="majorEastAsia"/>
          <w:sz w:val="28"/>
          <w:szCs w:val="24"/>
        </w:rPr>
        <w:t>月</w:t>
      </w:r>
      <w:r>
        <w:rPr>
          <w:rFonts w:cs="Times New Roman" w:asciiTheme="majorEastAsia" w:hAnsiTheme="majorEastAsia" w:eastAsiaTheme="majorEastAsia"/>
          <w:sz w:val="28"/>
          <w:szCs w:val="24"/>
        </w:rPr>
        <w:t>的考核金额降低百分比最高，可达XX %。</w:t>
      </w:r>
    </w:p>
    <w:p>
      <w:pPr>
        <w:pStyle w:val="4"/>
        <w:numPr>
          <w:ilvl w:val="0"/>
          <w:numId w:val="0"/>
        </w:numPr>
        <w:ind w:left="720" w:hanging="720"/>
      </w:pPr>
      <w:bookmarkStart w:id="45" w:name="_Toc93481879"/>
      <w:r>
        <w:t>5.2.3</w:t>
      </w:r>
      <w:r>
        <w:rPr>
          <w:rFonts w:hint="eastAsia"/>
        </w:rPr>
        <w:t>优化前后日前功率预测准确率</w:t>
      </w:r>
      <w:bookmarkEnd w:id="45"/>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对</w:t>
      </w:r>
      <w:r>
        <w:rPr>
          <w:rFonts w:hint="eastAsia" w:cs="Times New Roman" w:asciiTheme="majorEastAsia" w:hAnsiTheme="majorEastAsia" w:eastAsiaTheme="majorEastAsia"/>
          <w:sz w:val="28"/>
          <w:szCs w:val="24"/>
        </w:rPr>
        <w:t>X</w:t>
      </w:r>
      <w:r>
        <w:rPr>
          <w:rFonts w:cs="Times New Roman" w:asciiTheme="majorEastAsia" w:hAnsiTheme="majorEastAsia" w:eastAsiaTheme="majorEastAsia"/>
          <w:sz w:val="28"/>
          <w:szCs w:val="24"/>
        </w:rPr>
        <w:t>XX风电场开展功率预测优化工作前后的日前预测准确率进行计算，</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的修正前后逐日预测准确率变化如图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6所示。</w:t>
      </w:r>
    </w:p>
    <w:p>
      <w:pPr>
        <w:spacing w:line="360" w:lineRule="auto"/>
        <w:jc w:val="center"/>
        <w:rPr>
          <w:rFonts w:ascii="Times New Roman" w:hAnsi="Times New Roman" w:eastAsia="仿宋" w:cs="Times New Roman"/>
          <w:sz w:val="24"/>
          <w:szCs w:val="24"/>
        </w:rPr>
      </w:pPr>
      <w:r>
        <w:rPr>
          <w:rFonts w:ascii="Times New Roman" w:hAnsi="Times New Roman" w:eastAsia="仿宋" w:cs="Times New Roman"/>
          <w:sz w:val="24"/>
          <w:szCs w:val="24"/>
        </w:rPr>
        <w:drawing>
          <wp:inline distT="0" distB="0" distL="0" distR="0">
            <wp:extent cx="5039995" cy="1864360"/>
            <wp:effectExtent l="0" t="0" r="8255" b="2540"/>
            <wp:docPr id="34" name="图片 34" descr="C:\Users\qy\Notebook\冀北工作算例\数据平台算例\202009-平台WPF准确率验证\Output Figures\new-修正前后功率预测准确率-鲁能迎峰岭风电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qy\Notebook\冀北工作算例\数据平台算例\202009-平台WPF准确率验证\Output Figures\new-修正前后功率预测准确率-鲁能迎峰岭风电场.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040000" cy="1864442"/>
                    </a:xfrm>
                    <a:prstGeom prst="rect">
                      <a:avLst/>
                    </a:prstGeom>
                    <a:noFill/>
                    <a:ln>
                      <a:noFill/>
                    </a:ln>
                  </pic:spPr>
                </pic:pic>
              </a:graphicData>
            </a:graphic>
          </wp:inline>
        </w:drawing>
      </w:r>
    </w:p>
    <w:p>
      <w:pPr>
        <w:spacing w:line="360" w:lineRule="auto"/>
        <w:jc w:val="center"/>
        <w:rPr>
          <w:rFonts w:ascii="Times New Roman" w:hAnsi="Times New Roman" w:eastAsia="仿宋" w:cs="Times New Roman"/>
          <w:sz w:val="24"/>
          <w:szCs w:val="24"/>
        </w:rPr>
      </w:pPr>
      <w:r>
        <w:rPr>
          <w:rFonts w:ascii="Times New Roman" w:hAnsi="Times New Roman" w:eastAsia="仿宋" w:cs="Times New Roman"/>
          <w:sz w:val="24"/>
          <w:szCs w:val="24"/>
        </w:rPr>
        <w:t>图</w:t>
      </w:r>
      <w:r>
        <w:rPr>
          <w:rFonts w:hint="eastAsia" w:ascii="Times New Roman" w:hAnsi="Times New Roman" w:eastAsia="仿宋" w:cs="Times New Roman"/>
          <w:sz w:val="24"/>
          <w:szCs w:val="24"/>
        </w:rPr>
        <w:t>5-</w:t>
      </w:r>
      <w:r>
        <w:rPr>
          <w:rFonts w:ascii="Times New Roman" w:hAnsi="Times New Roman" w:eastAsia="仿宋" w:cs="Times New Roman"/>
          <w:sz w:val="24"/>
          <w:szCs w:val="24"/>
        </w:rPr>
        <w:t>6 优化前后预测功率准确率对比图（逐日）</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6显示，通过功率预测专项优化，</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功率预测准确率获得提升的天数分别为XX天、XX天、XX天、XX天、XX天，平均每月获得功率预测准确率提升的天数约为XX天，功率预测精度提升效果显著。</w:t>
      </w:r>
    </w:p>
    <w:p>
      <w:pPr>
        <w:keepNext/>
        <w:keepLines/>
        <w:tabs>
          <w:tab w:val="left" w:pos="576"/>
          <w:tab w:val="left" w:pos="1247"/>
          <w:tab w:val="left" w:pos="1834"/>
        </w:tabs>
        <w:spacing w:before="260" w:after="260" w:line="416" w:lineRule="auto"/>
        <w:ind w:left="576" w:hanging="576"/>
        <w:outlineLvl w:val="1"/>
        <w:rPr>
          <w:rFonts w:ascii="Times New Roman" w:hAnsi="Times New Roman" w:eastAsia="宋体" w:cs="Times New Roman"/>
          <w:b/>
          <w:bCs/>
          <w:sz w:val="32"/>
          <w:szCs w:val="32"/>
        </w:rPr>
      </w:pPr>
      <w:bookmarkStart w:id="46" w:name="_Toc93481880"/>
      <w:r>
        <w:rPr>
          <w:rFonts w:ascii="Times New Roman" w:hAnsi="Times New Roman" w:eastAsia="宋体" w:cs="Times New Roman"/>
          <w:b/>
          <w:bCs/>
          <w:sz w:val="32"/>
          <w:szCs w:val="32"/>
        </w:rPr>
        <w:t xml:space="preserve">5.3 </w:t>
      </w:r>
      <w:r>
        <w:rPr>
          <w:rFonts w:hint="eastAsia" w:ascii="Times New Roman" w:hAnsi="Times New Roman" w:eastAsia="宋体" w:cs="Times New Roman"/>
          <w:b/>
          <w:bCs/>
          <w:sz w:val="32"/>
          <w:szCs w:val="32"/>
        </w:rPr>
        <w:t>小结</w:t>
      </w:r>
      <w:bookmarkEnd w:id="46"/>
      <w:r>
        <w:rPr>
          <w:rFonts w:ascii="Times New Roman" w:hAnsi="Times New Roman" w:eastAsia="宋体" w:cs="Times New Roman"/>
          <w:b/>
          <w:bCs/>
          <w:sz w:val="32"/>
          <w:szCs w:val="32"/>
        </w:rPr>
        <w:tab/>
      </w:r>
      <w:r>
        <w:rPr>
          <w:rFonts w:ascii="Times New Roman" w:hAnsi="Times New Roman" w:eastAsia="宋体" w:cs="Times New Roman"/>
          <w:b/>
          <w:bCs/>
          <w:sz w:val="32"/>
          <w:szCs w:val="32"/>
        </w:rPr>
        <w:tab/>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本章从风功率预测精度跟踪评价、风功率预测优化两方面进行了分析。通过对XX风电场本季度的风功率预测精度评价可知，风功率预测精度X月最佳，X月最差，其中X月X日风功率预测精度最高，达到X</w:t>
      </w:r>
      <w:r>
        <w:rPr>
          <w:rFonts w:ascii="Times New Roman" w:hAnsi="Times New Roman" w:eastAsia="宋体" w:cs="Times New Roman"/>
          <w:sz w:val="28"/>
          <w:szCs w:val="28"/>
        </w:rPr>
        <w:t>%</w:t>
      </w:r>
      <w:r>
        <w:rPr>
          <w:rFonts w:hint="eastAsia" w:ascii="Times New Roman" w:hAnsi="Times New Roman" w:eastAsia="宋体" w:cs="Times New Roman"/>
          <w:sz w:val="28"/>
          <w:szCs w:val="28"/>
        </w:rPr>
        <w:t>；X月X日风功率预测精度最低，为X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通过风电场功率预测专项优化</w:t>
      </w:r>
      <w:r>
        <w:rPr>
          <w:rFonts w:hint="eastAsia" w:cs="Times New Roman" w:asciiTheme="majorEastAsia" w:hAnsiTheme="majorEastAsia" w:eastAsiaTheme="majorEastAsia"/>
          <w:sz w:val="28"/>
          <w:szCs w:val="24"/>
        </w:rPr>
        <w:t>，可以</w:t>
      </w:r>
      <w:r>
        <w:rPr>
          <w:rFonts w:cs="Times New Roman" w:asciiTheme="majorEastAsia" w:hAnsiTheme="majorEastAsia" w:eastAsiaTheme="majorEastAsia"/>
          <w:sz w:val="28"/>
          <w:szCs w:val="24"/>
        </w:rPr>
        <w:t>提升场站上报预测功率的准确率，降低风电场因功率预测造成的考核</w:t>
      </w:r>
      <w:r>
        <w:rPr>
          <w:rFonts w:hint="eastAsia" w:cs="Times New Roman" w:asciiTheme="majorEastAsia" w:hAnsiTheme="majorEastAsia" w:eastAsiaTheme="majorEastAsia"/>
          <w:sz w:val="28"/>
          <w:szCs w:val="24"/>
        </w:rPr>
        <w:t>电量</w:t>
      </w:r>
      <w:r>
        <w:rPr>
          <w:rFonts w:cs="Times New Roman" w:asciiTheme="majorEastAsia" w:hAnsiTheme="majorEastAsia" w:eastAsiaTheme="majorEastAsia"/>
          <w:sz w:val="28"/>
          <w:szCs w:val="24"/>
        </w:rPr>
        <w:t>，预估</w:t>
      </w:r>
      <w:r>
        <w:rPr>
          <w:rFonts w:hint="eastAsia" w:ascii="Times New Roman" w:hAnsi="Times New Roman" w:eastAsia="宋体" w:cs="Times New Roman"/>
          <w:sz w:val="28"/>
          <w:szCs w:val="28"/>
        </w:rPr>
        <w:t>风功率预测精度平均值可由XX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提升到XX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cs="Times New Roman" w:asciiTheme="majorEastAsia" w:hAnsiTheme="majorEastAsia" w:eastAsiaTheme="majorEastAsia"/>
          <w:sz w:val="28"/>
          <w:szCs w:val="24"/>
        </w:rPr>
        <w:t>月度</w:t>
      </w:r>
      <w:r>
        <w:rPr>
          <w:rFonts w:cs="Times New Roman" w:asciiTheme="majorEastAsia" w:hAnsiTheme="majorEastAsia" w:eastAsiaTheme="majorEastAsia"/>
          <w:sz w:val="28"/>
          <w:szCs w:val="24"/>
        </w:rPr>
        <w:t>考核金额平均可降低XX%，</w:t>
      </w:r>
      <w:r>
        <w:rPr>
          <w:rFonts w:hint="eastAsia" w:cs="Times New Roman" w:asciiTheme="majorEastAsia" w:hAnsiTheme="majorEastAsia" w:eastAsiaTheme="majorEastAsia"/>
          <w:sz w:val="28"/>
          <w:szCs w:val="24"/>
        </w:rPr>
        <w:t>其中</w:t>
      </w:r>
      <w:r>
        <w:rPr>
          <w:rFonts w:cs="Times New Roman" w:asciiTheme="majorEastAsia" w:hAnsiTheme="majorEastAsia" w:eastAsiaTheme="majorEastAsia"/>
          <w:sz w:val="28"/>
          <w:szCs w:val="24"/>
        </w:rPr>
        <w:t>X</w:t>
      </w:r>
      <w:r>
        <w:rPr>
          <w:rFonts w:hint="eastAsia" w:cs="Times New Roman" w:asciiTheme="majorEastAsia" w:hAnsiTheme="majorEastAsia" w:eastAsiaTheme="majorEastAsia"/>
          <w:sz w:val="28"/>
          <w:szCs w:val="24"/>
        </w:rPr>
        <w:t>月</w:t>
      </w:r>
      <w:r>
        <w:rPr>
          <w:rFonts w:cs="Times New Roman" w:asciiTheme="majorEastAsia" w:hAnsiTheme="majorEastAsia" w:eastAsiaTheme="majorEastAsia"/>
          <w:sz w:val="28"/>
          <w:szCs w:val="24"/>
        </w:rPr>
        <w:t>的考核金额降低百分比最高，可达XX %。</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r>
        <w:rPr>
          <w:rFonts w:hint="eastAsia" w:cs="Times New Roman" w:asciiTheme="majorEastAsia" w:hAnsiTheme="majorEastAsia" w:eastAsiaTheme="majorEastAsia"/>
          <w:b/>
          <w:bCs/>
          <w:sz w:val="32"/>
          <w:szCs w:val="32"/>
        </w:rPr>
        <w:t>六、结论</w:t>
      </w:r>
      <w:bookmarkEnd w:id="37"/>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报告从X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 xml:space="preserve">风电场运行情况、风电机组发电性能评价及缺陷预警、涉网性能评价及分析、功率预测性能评价及优化四大部分进行了分析和优化。 </w:t>
      </w:r>
      <w:r>
        <w:rPr>
          <w:rFonts w:cs="Times New Roman" w:asciiTheme="majorEastAsia" w:hAnsiTheme="majorEastAsia" w:eastAsiaTheme="majorEastAsia"/>
          <w:sz w:val="28"/>
          <w:szCs w:val="28"/>
        </w:rPr>
        <w:t xml:space="preserve"> </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经分析可得，在运行情况中，X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风电场本季度总发电量为X</w:t>
      </w:r>
      <w:r>
        <w:rPr>
          <w:rFonts w:cs="Times New Roman" w:asciiTheme="majorEastAsia" w:hAnsiTheme="majorEastAsia" w:eastAsiaTheme="majorEastAsia"/>
          <w:sz w:val="28"/>
          <w:szCs w:val="28"/>
        </w:rPr>
        <w:t>XMW</w:t>
      </w:r>
      <w:r>
        <w:rPr>
          <w:rFonts w:hint="eastAsia" w:cs="Times New Roman" w:asciiTheme="majorEastAsia" w:hAnsiTheme="majorEastAsia" w:eastAsiaTheme="majorEastAsia"/>
          <w:sz w:val="28"/>
          <w:szCs w:val="28"/>
        </w:rPr>
        <w:t>，利用小时数为X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h，正常发电的运行小时数占比为X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%，XXX风电场本季度共计发生风电机组故障XX次，其中XX故障次数最多，X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故障时长最长；本季度场站损失电量共X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M</w:t>
      </w:r>
      <w:r>
        <w:rPr>
          <w:rFonts w:cs="Times New Roman" w:asciiTheme="majorEastAsia" w:hAnsiTheme="majorEastAsia" w:eastAsiaTheme="majorEastAsia"/>
          <w:sz w:val="28"/>
          <w:szCs w:val="28"/>
        </w:rPr>
        <w:t>W</w:t>
      </w:r>
      <w:r>
        <w:rPr>
          <w:rFonts w:hint="eastAsia" w:cs="Times New Roman" w:asciiTheme="majorEastAsia" w:hAnsiTheme="majorEastAsia" w:eastAsiaTheme="majorEastAsia"/>
          <w:sz w:val="28"/>
          <w:szCs w:val="28"/>
        </w:rPr>
        <w:t>，其中由X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原因导致的损失电量最多。</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在发电性能评价方面，X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风电场中风电机组性能评价为“优”的占比X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%，评价为差的占比X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%；在缺陷预警方面，机组的静态偏差分布范围为XX°（最大负偏差-最大正偏差），平均偏差值为XX°，其中有X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%的机组处于偏航正常状态。</w:t>
      </w:r>
    </w:p>
    <w:p>
      <w:pPr>
        <w:spacing w:line="36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在涉网性能评价方面，XX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风电场本季度AGC控制性能X月最佳，X月最差。AVC控制偏差X月最小，X月最大，电压合格率X月最高，X月最低，电压调节不合格原因主要是XX。SVG控制性能X月最佳，X月最差。</w:t>
      </w:r>
    </w:p>
    <w:p>
      <w:pPr>
        <w:spacing w:line="36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在功率预测性能评价及优化方面，X</w:t>
      </w:r>
      <w:r>
        <w:rPr>
          <w:rFonts w:ascii="Times New Roman" w:hAnsi="Times New Roman" w:eastAsia="宋体" w:cs="Times New Roman"/>
          <w:sz w:val="28"/>
          <w:szCs w:val="28"/>
        </w:rPr>
        <w:t>XX</w:t>
      </w:r>
      <w:r>
        <w:rPr>
          <w:rFonts w:hint="eastAsia" w:ascii="Times New Roman" w:hAnsi="Times New Roman" w:eastAsia="宋体" w:cs="Times New Roman"/>
          <w:sz w:val="28"/>
          <w:szCs w:val="28"/>
        </w:rPr>
        <w:t>风电场风功率预测精度本季度内X月最佳，X月最差，其中X月X日风功率预测精度最高，达到X%，X月X日风功率预测精度最低，为X%；</w:t>
      </w:r>
      <w:r>
        <w:rPr>
          <w:rFonts w:hint="eastAsia" w:cs="Times New Roman" w:asciiTheme="majorEastAsia" w:hAnsiTheme="majorEastAsia" w:eastAsiaTheme="majorEastAsia"/>
          <w:sz w:val="28"/>
          <w:szCs w:val="24"/>
        </w:rPr>
        <w:t>经</w:t>
      </w:r>
      <w:r>
        <w:rPr>
          <w:rFonts w:cs="Times New Roman" w:asciiTheme="majorEastAsia" w:hAnsiTheme="majorEastAsia" w:eastAsiaTheme="majorEastAsia"/>
          <w:sz w:val="28"/>
          <w:szCs w:val="24"/>
        </w:rPr>
        <w:t>风电场功率预测专项优化</w:t>
      </w:r>
      <w:r>
        <w:rPr>
          <w:rFonts w:hint="eastAsia" w:cs="Times New Roman" w:asciiTheme="majorEastAsia" w:hAnsiTheme="majorEastAsia" w:eastAsiaTheme="majorEastAsia"/>
          <w:sz w:val="28"/>
          <w:szCs w:val="24"/>
        </w:rPr>
        <w:t>后，</w:t>
      </w:r>
      <w:r>
        <w:rPr>
          <w:rFonts w:hint="eastAsia" w:ascii="Times New Roman" w:hAnsi="Times New Roman" w:eastAsia="宋体" w:cs="Times New Roman"/>
          <w:sz w:val="28"/>
          <w:szCs w:val="28"/>
        </w:rPr>
        <w:t>风功率预测精度平均值可由XX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提升到XX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cs="Times New Roman" w:asciiTheme="majorEastAsia" w:hAnsiTheme="majorEastAsia" w:eastAsiaTheme="majorEastAsia"/>
          <w:sz w:val="28"/>
          <w:szCs w:val="24"/>
        </w:rPr>
        <w:t>月度</w:t>
      </w:r>
      <w:r>
        <w:rPr>
          <w:rFonts w:cs="Times New Roman" w:asciiTheme="majorEastAsia" w:hAnsiTheme="majorEastAsia" w:eastAsiaTheme="majorEastAsia"/>
          <w:sz w:val="28"/>
          <w:szCs w:val="24"/>
        </w:rPr>
        <w:t>考核金额平均降低XX%</w:t>
      </w:r>
      <w:r>
        <w:rPr>
          <w:rFonts w:hint="eastAsia" w:cs="Times New Roman" w:asciiTheme="majorEastAsia" w:hAnsiTheme="majorEastAsia" w:eastAsiaTheme="majorEastAsia"/>
          <w:sz w:val="28"/>
          <w:szCs w:val="24"/>
        </w:rPr>
        <w:t>。</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同时，报告在附件中针对各台风电机组进行单机运行特性的分析和评价。依托海量的数据资源、丰富的专家知识、多元的智能算法开展X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风电场全方位、多角度、多层级的统计分析，精准定位风电场缺陷，指导风电场精益运维，有力支撑风电场增功提效，提升风电机组发电性能和风电场发电效益。</w:t>
      </w:r>
    </w:p>
    <w:p>
      <w:pPr>
        <w:widowControl/>
        <w:jc w:val="left"/>
        <w:rPr>
          <w:rFonts w:cs="Times New Roman" w:asciiTheme="majorEastAsia" w:hAnsiTheme="majorEastAsia" w:eastAsiaTheme="majorEastAsia"/>
          <w:b/>
          <w:bCs/>
          <w:sz w:val="32"/>
          <w:szCs w:val="32"/>
        </w:rPr>
      </w:pPr>
      <w:r>
        <w:rPr>
          <w:rFonts w:cs="Times New Roman" w:asciiTheme="majorEastAsia" w:hAnsiTheme="majorEastAsia" w:eastAsiaTheme="majorEastAsia"/>
          <w:b/>
          <w:bCs/>
          <w:sz w:val="32"/>
          <w:szCs w:val="32"/>
        </w:rPr>
        <w:br w:type="page"/>
      </w:r>
    </w:p>
    <w:p>
      <w:pPr>
        <w:keepNext/>
        <w:keepLines/>
        <w:tabs>
          <w:tab w:val="left" w:pos="5124"/>
        </w:tabs>
        <w:spacing w:before="240" w:after="120" w:line="360" w:lineRule="auto"/>
        <w:jc w:val="center"/>
        <w:outlineLvl w:val="1"/>
        <w:rPr>
          <w:rFonts w:cs="Times New Roman" w:asciiTheme="majorEastAsia" w:hAnsiTheme="majorEastAsia" w:eastAsiaTheme="majorEastAsia"/>
          <w:b/>
          <w:bCs/>
          <w:sz w:val="32"/>
          <w:szCs w:val="32"/>
        </w:rPr>
      </w:pPr>
      <w:bookmarkStart w:id="47" w:name="_Toc93583557"/>
      <w:r>
        <w:rPr>
          <w:rFonts w:hint="eastAsia" w:cs="Times New Roman" w:asciiTheme="majorEastAsia" w:hAnsiTheme="majorEastAsia" w:eastAsiaTheme="majorEastAsia"/>
          <w:b/>
          <w:bCs/>
          <w:sz w:val="32"/>
          <w:szCs w:val="32"/>
        </w:rPr>
        <w:t>附件 风电机组单机运行特性分析</w:t>
      </w:r>
      <w:bookmarkEnd w:id="47"/>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 xml:space="preserve"> </w:t>
      </w:r>
      <w:r>
        <w:rPr>
          <w:rFonts w:cs="Times New Roman" w:asciiTheme="majorEastAsia" w:hAnsiTheme="majorEastAsia" w:eastAsiaTheme="majorEastAsia"/>
          <w:sz w:val="28"/>
          <w:szCs w:val="28"/>
        </w:rPr>
        <w:t xml:space="preserve">   </w:t>
      </w:r>
      <w:r>
        <w:rPr>
          <w:rFonts w:hint="eastAsia" w:cs="Times New Roman" w:asciiTheme="majorEastAsia" w:hAnsiTheme="majorEastAsia" w:eastAsiaTheme="majorEastAsia"/>
          <w:sz w:val="28"/>
          <w:szCs w:val="28"/>
        </w:rPr>
        <w:t>为了全方位深入评价单机的运行特性，附件部分对X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风电场各风电机组的运行情况和发电性能进行统计分析，并对机组的综合特性进行评价。</w:t>
      </w:r>
    </w:p>
    <w:p>
      <w:pPr>
        <w:spacing w:line="360" w:lineRule="auto"/>
        <w:rPr>
          <w:rFonts w:cs="Times New Roman" w:asciiTheme="majorEastAsia" w:hAnsiTheme="majorEastAsia" w:eastAsiaTheme="majorEastAsia"/>
          <w:b/>
          <w:bCs/>
          <w:sz w:val="28"/>
          <w:szCs w:val="28"/>
        </w:rPr>
      </w:pPr>
      <w:r>
        <w:rPr>
          <w:rFonts w:hint="eastAsia" w:cs="Times New Roman" w:asciiTheme="majorEastAsia" w:hAnsiTheme="majorEastAsia" w:eastAsiaTheme="majorEastAsia"/>
          <w:b/>
          <w:bCs/>
          <w:sz w:val="28"/>
          <w:szCs w:val="28"/>
        </w:rPr>
        <w:t>1.</w:t>
      </w:r>
      <w:r>
        <w:rPr>
          <w:rFonts w:cs="Times New Roman" w:asciiTheme="majorEastAsia" w:hAnsiTheme="majorEastAsia" w:eastAsiaTheme="majorEastAsia"/>
          <w:b/>
          <w:bCs/>
          <w:sz w:val="28"/>
          <w:szCs w:val="28"/>
        </w:rPr>
        <w:t>XX</w:t>
      </w:r>
      <w:r>
        <w:rPr>
          <w:rFonts w:hint="eastAsia" w:cs="Times New Roman" w:asciiTheme="majorEastAsia" w:hAnsiTheme="majorEastAsia" w:eastAsiaTheme="majorEastAsia"/>
          <w:b/>
          <w:bCs/>
          <w:sz w:val="28"/>
          <w:szCs w:val="28"/>
        </w:rPr>
        <w:t>编号机组运行特性分析</w:t>
      </w:r>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（1）机组综合评价</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通过对机组的运行情况、故障性能、发电性能等多个方面的综合分析，对机组进行整体评价， 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风电机组综合得分为XX，整体评价为：X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（优/良/中/差），详细分析如下图所示。</w:t>
      </w:r>
    </w:p>
    <w:p>
      <w:pPr>
        <w:spacing w:line="360" w:lineRule="auto"/>
        <w:ind w:firstLine="564"/>
        <w:jc w:val="center"/>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drawing>
          <wp:inline distT="0" distB="0" distL="0" distR="0">
            <wp:extent cx="3324860" cy="2633980"/>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30654" cy="2638400"/>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1 XX</w:t>
      </w:r>
      <w:r>
        <w:rPr>
          <w:rFonts w:hint="eastAsia" w:cs="Times New Roman" w:asciiTheme="majorEastAsia" w:hAnsiTheme="majorEastAsia" w:eastAsiaTheme="majorEastAsia"/>
          <w:sz w:val="24"/>
          <w:szCs w:val="24"/>
        </w:rPr>
        <w:t>机组综合性能雷达图</w:t>
      </w:r>
    </w:p>
    <w:p>
      <w:pPr>
        <w:spacing w:line="360" w:lineRule="auto"/>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 xml:space="preserve"> </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8"/>
          <w:szCs w:val="28"/>
        </w:rPr>
        <w:t>其中X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风电机组在该型号风电机组中发电能力排名为第X名，一致性排名为第X名，发电时长排名为第X名，发电量排名为第X名，可靠性排名为第X名。</w:t>
      </w:r>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w:t>
      </w:r>
      <w:r>
        <w:rPr>
          <w:rFonts w:cs="Times New Roman" w:asciiTheme="majorEastAsia" w:hAnsiTheme="majorEastAsia" w:eastAsiaTheme="majorEastAsia"/>
          <w:sz w:val="28"/>
          <w:szCs w:val="28"/>
        </w:rPr>
        <w:t>2）</w:t>
      </w:r>
      <w:r>
        <w:rPr>
          <w:rFonts w:hint="eastAsia" w:cs="Times New Roman" w:asciiTheme="majorEastAsia" w:hAnsiTheme="majorEastAsia" w:eastAsiaTheme="majorEastAsia"/>
          <w:sz w:val="28"/>
          <w:szCs w:val="28"/>
        </w:rPr>
        <w:t>运行情况分析</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a</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运行小时数</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风电机组运行小时数分析结果如下图所示，其中正常发电小时数占比为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%，站内陪停时间占比</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%，电网限功率运行小时数占比为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%，机组故障停机小时数占比为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%，待机时长占比为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%，机组例行维护时长为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%，其他时间占比共计</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w:t>
      </w:r>
    </w:p>
    <w:p>
      <w:pPr>
        <w:spacing w:line="360" w:lineRule="auto"/>
        <w:jc w:val="center"/>
        <w:rPr>
          <w:rFonts w:cs="Times New Roman" w:asciiTheme="majorEastAsia" w:hAnsiTheme="majorEastAsia" w:eastAsiaTheme="majorEastAsia"/>
          <w:sz w:val="28"/>
          <w:szCs w:val="28"/>
        </w:rPr>
      </w:pPr>
      <w:r>
        <w:drawing>
          <wp:inline distT="0" distB="0" distL="114300" distR="114300">
            <wp:extent cx="4953000" cy="3114675"/>
            <wp:effectExtent l="0" t="0" r="0" b="9525"/>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pic:cNvPicPr>
                      <a:picLocks noChangeAspect="1"/>
                    </pic:cNvPicPr>
                  </pic:nvPicPr>
                  <pic:blipFill>
                    <a:blip r:embed="rId16"/>
                    <a:stretch>
                      <a:fillRect/>
                    </a:stretch>
                  </pic:blipFill>
                  <pic:spPr>
                    <a:xfrm>
                      <a:off x="0" y="0"/>
                      <a:ext cx="4953000" cy="3114675"/>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X</w:t>
      </w:r>
      <w:r>
        <w:rPr>
          <w:rFonts w:cs="Times New Roman" w:asciiTheme="majorEastAsia" w:hAnsiTheme="majorEastAsia" w:eastAsiaTheme="majorEastAsia"/>
          <w:sz w:val="24"/>
          <w:szCs w:val="24"/>
        </w:rPr>
        <w:t>XX</w:t>
      </w:r>
      <w:r>
        <w:rPr>
          <w:rFonts w:hint="eastAsia" w:cs="Times New Roman" w:asciiTheme="majorEastAsia" w:hAnsiTheme="majorEastAsia" w:eastAsiaTheme="majorEastAsia"/>
          <w:sz w:val="24"/>
          <w:szCs w:val="24"/>
        </w:rPr>
        <w:t>风电机组运行小时数分析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风电机组本季度各月损失运行时间、并网发电时间、待机时间的统计如下图所示。</w:t>
      </w:r>
    </w:p>
    <w:p>
      <w:pPr>
        <w:spacing w:line="360" w:lineRule="auto"/>
        <w:jc w:val="center"/>
        <w:rPr>
          <w:rFonts w:cs="Times New Roman" w:asciiTheme="majorEastAsia" w:hAnsiTheme="majorEastAsia" w:eastAsiaTheme="majorEastAsia"/>
          <w:sz w:val="28"/>
          <w:szCs w:val="28"/>
        </w:rPr>
      </w:pPr>
      <w:r>
        <w:drawing>
          <wp:inline distT="0" distB="0" distL="114300" distR="114300">
            <wp:extent cx="5270500" cy="1682115"/>
            <wp:effectExtent l="0" t="0" r="6350" b="13335"/>
            <wp:docPr id="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pic:cNvPicPr>
                      <a:picLocks noChangeAspect="1"/>
                    </pic:cNvPicPr>
                  </pic:nvPicPr>
                  <pic:blipFill>
                    <a:blip r:embed="rId17"/>
                    <a:stretch>
                      <a:fillRect/>
                    </a:stretch>
                  </pic:blipFill>
                  <pic:spPr>
                    <a:xfrm>
                      <a:off x="0" y="0"/>
                      <a:ext cx="5270500" cy="1682115"/>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2-4 </w:t>
      </w:r>
      <w:r>
        <w:rPr>
          <w:rFonts w:hint="eastAsia" w:cs="Times New Roman" w:asciiTheme="majorEastAsia" w:hAnsiTheme="majorEastAsia" w:eastAsiaTheme="majorEastAsia"/>
          <w:sz w:val="24"/>
          <w:szCs w:val="24"/>
        </w:rPr>
        <w:t>XXX风电机组运行小时数月度分析</w:t>
      </w:r>
    </w:p>
    <w:p>
      <w:pPr>
        <w:spacing w:line="360" w:lineRule="auto"/>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XX机组</w:t>
      </w:r>
      <w:r>
        <w:rPr>
          <w:rFonts w:hint="eastAsia" w:cs="Times New Roman" w:asciiTheme="majorEastAsia" w:hAnsiTheme="majorEastAsia" w:eastAsiaTheme="majorEastAsia"/>
          <w:sz w:val="28"/>
          <w:szCs w:val="28"/>
        </w:rPr>
        <w:t>正常运行时间占总时间的比重为</w:t>
      </w:r>
      <w:r>
        <w:rPr>
          <w:rFonts w:cs="Times New Roman" w:asciiTheme="majorEastAsia" w:hAnsiTheme="majorEastAsia" w:eastAsiaTheme="majorEastAsia"/>
          <w:sz w:val="28"/>
          <w:szCs w:val="28"/>
        </w:rPr>
        <w:t>XX%，停运时间占比为XX%。对各种原因导致的</w:t>
      </w:r>
      <w:r>
        <w:rPr>
          <w:rFonts w:hint="eastAsia" w:cs="Times New Roman" w:asciiTheme="majorEastAsia" w:hAnsiTheme="majorEastAsia" w:eastAsiaTheme="majorEastAsia"/>
          <w:sz w:val="28"/>
          <w:szCs w:val="28"/>
        </w:rPr>
        <w:t>机组停运时间进行分析，所得结果如下图所示。其中XX原因导致XX机组停运的时间最长，占总停机时间为XX%。</w:t>
      </w:r>
    </w:p>
    <w:p>
      <w:pPr>
        <w:spacing w:line="360" w:lineRule="auto"/>
        <w:jc w:val="center"/>
        <w:rPr>
          <w:rFonts w:cs="Times New Roman" w:asciiTheme="majorEastAsia" w:hAnsiTheme="majorEastAsia" w:eastAsiaTheme="majorEastAsia"/>
          <w:sz w:val="24"/>
          <w:szCs w:val="24"/>
        </w:rPr>
      </w:pP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5 XX</w:t>
      </w:r>
      <w:r>
        <w:rPr>
          <w:rFonts w:hint="eastAsia" w:cs="Times New Roman" w:asciiTheme="majorEastAsia" w:hAnsiTheme="majorEastAsia" w:eastAsiaTheme="majorEastAsia"/>
          <w:sz w:val="24"/>
          <w:szCs w:val="24"/>
        </w:rPr>
        <w:t>机组停运小时数统计</w:t>
      </w:r>
    </w:p>
    <w:p>
      <w:pPr>
        <w:spacing w:line="360" w:lineRule="auto"/>
        <w:jc w:val="center"/>
        <w:rPr>
          <w:rFonts w:cs="Times New Roman" w:asciiTheme="majorEastAsia" w:hAnsiTheme="majorEastAsia" w:eastAsiaTheme="majorEastAsia"/>
          <w:sz w:val="24"/>
          <w:szCs w:val="24"/>
        </w:rPr>
      </w:pPr>
    </w:p>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b</w:t>
      </w:r>
      <w:r>
        <w:rPr>
          <w:rFonts w:hint="eastAsia" w:cs="Times New Roman" w:asciiTheme="majorEastAsia" w:hAnsiTheme="majorEastAsia" w:eastAsiaTheme="majorEastAsia"/>
          <w:sz w:val="28"/>
          <w:szCs w:val="28"/>
        </w:rPr>
        <w:t>.故障情况</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XXX风电机组本季度共计发生故障</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次，其中X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部件故障次数最多为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部件故障时长最长为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小时，可结合巡检或定期检修计划对该类部件进行检查，确定导致该部件故障频发的原因，并及时解决。XX风电机组按部件进行故障情况分析结果如下图所示（注：图中“其他”指未知故障）。</w:t>
      </w:r>
    </w:p>
    <w:p>
      <w:pPr>
        <w:spacing w:line="360" w:lineRule="auto"/>
        <w:ind w:firstLine="420" w:firstLineChars="200"/>
        <w:jc w:val="center"/>
        <w:rPr>
          <w:rFonts w:cs="Times New Roman" w:asciiTheme="majorEastAsia" w:hAnsiTheme="majorEastAsia" w:eastAsiaTheme="majorEastAsia"/>
          <w:sz w:val="28"/>
          <w:szCs w:val="28"/>
        </w:rPr>
      </w:pPr>
      <w:r>
        <w:drawing>
          <wp:inline distT="0" distB="0" distL="114300" distR="114300">
            <wp:extent cx="5269865" cy="2288540"/>
            <wp:effectExtent l="0" t="0" r="6985" b="16510"/>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18"/>
                    <a:stretch>
                      <a:fillRect/>
                    </a:stretch>
                  </pic:blipFill>
                  <pic:spPr>
                    <a:xfrm>
                      <a:off x="0" y="0"/>
                      <a:ext cx="5269865" cy="2288540"/>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风电机组故障次数统计</w:t>
      </w:r>
    </w:p>
    <w:p>
      <w:pPr>
        <w:spacing w:line="360" w:lineRule="auto"/>
        <w:ind w:firstLine="420" w:firstLineChars="200"/>
        <w:jc w:val="center"/>
        <w:rPr>
          <w:rFonts w:cs="Times New Roman" w:asciiTheme="majorEastAsia" w:hAnsiTheme="majorEastAsia" w:eastAsiaTheme="majorEastAsia"/>
          <w:sz w:val="28"/>
          <w:szCs w:val="28"/>
        </w:rPr>
      </w:pPr>
      <w:r>
        <w:drawing>
          <wp:inline distT="0" distB="0" distL="114300" distR="114300">
            <wp:extent cx="5267960" cy="2248535"/>
            <wp:effectExtent l="0" t="0" r="8890" b="18415"/>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19"/>
                    <a:stretch>
                      <a:fillRect/>
                    </a:stretch>
                  </pic:blipFill>
                  <pic:spPr>
                    <a:xfrm>
                      <a:off x="0" y="0"/>
                      <a:ext cx="5267960" cy="2248535"/>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风电场故障时长统计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进一步按照故障代码对XX风电机组故障情况进行详细分析，得出本季度故障代码发生次数TOP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和累计时长TOP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如表2-</w:t>
      </w:r>
      <w:r>
        <w:rPr>
          <w:rFonts w:cs="Times New Roman" w:asciiTheme="majorEastAsia" w:hAnsiTheme="majorEastAsia" w:eastAsiaTheme="majorEastAsia"/>
          <w:sz w:val="28"/>
          <w:szCs w:val="28"/>
        </w:rPr>
        <w:t>3</w:t>
      </w:r>
      <w:r>
        <w:rPr>
          <w:rFonts w:hint="eastAsia" w:cs="Times New Roman" w:asciiTheme="majorEastAsia" w:hAnsiTheme="majorEastAsia" w:eastAsiaTheme="majorEastAsia"/>
          <w:sz w:val="28"/>
          <w:szCs w:val="28"/>
        </w:rPr>
        <w:t>所示，可结合日常巡检结果，建议在下一维护周期内对通过专项技改、或综合分析等手段对该类的故障进行处理，提升机组的可利用率。其中发生故障次数最多的故障代码为“XX”，发生次数为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次；故障时长最长的故障代码为“XX”，累计故障时长为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小时，在例行维护与日常巡检过程中应重点关注。</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XX风电机组频发故障TOP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分析（正序）</w:t>
      </w:r>
    </w:p>
    <w:tbl>
      <w:tblPr>
        <w:tblStyle w:val="38"/>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985"/>
        <w:gridCol w:w="1701"/>
        <w:gridCol w:w="2098"/>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129" w:type="dxa"/>
            <w:vMerge w:val="restart"/>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3686"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发生次数TOP</w:t>
            </w:r>
            <w:r>
              <w:rPr>
                <w:rFonts w:cs="Times New Roman" w:asciiTheme="majorEastAsia" w:hAnsiTheme="majorEastAsia" w:eastAsiaTheme="majorEastAsia"/>
                <w:sz w:val="24"/>
                <w:szCs w:val="24"/>
              </w:rPr>
              <w:t>10</w:t>
            </w:r>
          </w:p>
        </w:tc>
        <w:tc>
          <w:tcPr>
            <w:tcW w:w="3685"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累计时长TOP</w:t>
            </w:r>
            <w:r>
              <w:rPr>
                <w:rFonts w:cs="Times New Roman" w:asciiTheme="majorEastAsia" w:hAnsiTheme="majorEastAsia" w:eastAsiaTheme="maj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129" w:type="dxa"/>
            <w:vMerge w:val="continue"/>
            <w:vAlign w:val="center"/>
          </w:tcPr>
          <w:p>
            <w:pPr>
              <w:spacing w:line="360" w:lineRule="auto"/>
              <w:jc w:val="center"/>
              <w:rPr>
                <w:rFonts w:cs="Times New Roman" w:asciiTheme="majorEastAsia" w:hAnsiTheme="majorEastAsia" w:eastAsiaTheme="majorEastAsia"/>
                <w:sz w:val="24"/>
                <w:szCs w:val="24"/>
              </w:rPr>
            </w:pPr>
          </w:p>
        </w:tc>
        <w:tc>
          <w:tcPr>
            <w:tcW w:w="1985"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701"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发生的次数</w:t>
            </w:r>
          </w:p>
        </w:tc>
        <w:tc>
          <w:tcPr>
            <w:tcW w:w="2098"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587"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2</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3</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4</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5</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6</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7</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8</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9</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10</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bl>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对XXX风电机组的故障数据进行了故障指标评价计算，结果如下表所示。</w:t>
      </w:r>
    </w:p>
    <w:p>
      <w:pPr>
        <w:ind w:firstLine="56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XX风电机组故障指标统计情况</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p>
        </w:tc>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指标</w:t>
            </w:r>
          </w:p>
        </w:tc>
        <w:tc>
          <w:tcPr>
            <w:tcW w:w="2766"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平均无故障运行时间</w:t>
            </w:r>
          </w:p>
        </w:tc>
        <w:tc>
          <w:tcPr>
            <w:tcW w:w="2765" w:type="dxa"/>
          </w:tcPr>
          <w:p>
            <w:pPr>
              <w:rPr>
                <w:rFonts w:cs="Times New Roman" w:asciiTheme="majorEastAsia" w:hAnsiTheme="majorEastAsia" w:eastAsiaTheme="majorEastAsia"/>
                <w:sz w:val="28"/>
                <w:szCs w:val="28"/>
              </w:rPr>
            </w:pPr>
          </w:p>
        </w:tc>
        <w:tc>
          <w:tcPr>
            <w:tcW w:w="2766" w:type="dxa"/>
          </w:tcPr>
          <w:p>
            <w:pPr>
              <w:rPr>
                <w:rFonts w:cs="Times New Roman"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平均可利用率</w:t>
            </w:r>
          </w:p>
        </w:tc>
        <w:tc>
          <w:tcPr>
            <w:tcW w:w="2765" w:type="dxa"/>
          </w:tcPr>
          <w:p>
            <w:pPr>
              <w:rPr>
                <w:rFonts w:cs="Times New Roman" w:asciiTheme="majorEastAsia" w:hAnsiTheme="majorEastAsia" w:eastAsiaTheme="majorEastAsia"/>
                <w:sz w:val="28"/>
                <w:szCs w:val="28"/>
              </w:rPr>
            </w:pPr>
          </w:p>
        </w:tc>
        <w:tc>
          <w:tcPr>
            <w:tcW w:w="2766" w:type="dxa"/>
          </w:tcPr>
          <w:p>
            <w:pPr>
              <w:rPr>
                <w:rFonts w:cs="Times New Roman"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故障检修间隔时间</w:t>
            </w:r>
          </w:p>
        </w:tc>
        <w:tc>
          <w:tcPr>
            <w:tcW w:w="2765" w:type="dxa"/>
          </w:tcPr>
          <w:p>
            <w:pPr>
              <w:rPr>
                <w:rFonts w:cs="Times New Roman" w:asciiTheme="majorEastAsia" w:hAnsiTheme="majorEastAsia" w:eastAsiaTheme="majorEastAsia"/>
                <w:sz w:val="28"/>
                <w:szCs w:val="28"/>
              </w:rPr>
            </w:pPr>
          </w:p>
        </w:tc>
        <w:tc>
          <w:tcPr>
            <w:tcW w:w="2766" w:type="dxa"/>
          </w:tcPr>
          <w:p>
            <w:pPr>
              <w:rPr>
                <w:rFonts w:cs="Times New Roman"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故障平均修复时间</w:t>
            </w:r>
          </w:p>
        </w:tc>
        <w:tc>
          <w:tcPr>
            <w:tcW w:w="2765" w:type="dxa"/>
          </w:tcPr>
          <w:p>
            <w:pPr>
              <w:rPr>
                <w:rFonts w:cs="Times New Roman" w:asciiTheme="majorEastAsia" w:hAnsiTheme="majorEastAsia" w:eastAsiaTheme="majorEastAsia"/>
                <w:sz w:val="28"/>
                <w:szCs w:val="28"/>
              </w:rPr>
            </w:pPr>
          </w:p>
        </w:tc>
        <w:tc>
          <w:tcPr>
            <w:tcW w:w="2766" w:type="dxa"/>
          </w:tcPr>
          <w:p>
            <w:pPr>
              <w:rPr>
                <w:rFonts w:cs="Times New Roman" w:asciiTheme="majorEastAsia" w:hAnsiTheme="majorEastAsia" w:eastAsiaTheme="majorEastAsia"/>
                <w:sz w:val="28"/>
                <w:szCs w:val="28"/>
              </w:rPr>
            </w:pPr>
          </w:p>
        </w:tc>
      </w:tr>
    </w:tbl>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c</w:t>
      </w:r>
      <w:r>
        <w:rPr>
          <w:rFonts w:hint="eastAsia" w:cs="Times New Roman" w:asciiTheme="majorEastAsia" w:hAnsiTheme="majorEastAsia" w:eastAsiaTheme="majorEastAsia"/>
          <w:sz w:val="28"/>
          <w:szCs w:val="28"/>
        </w:rPr>
        <w:t>.发电量</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机组的发电量为</w:t>
      </w:r>
      <w:r>
        <w:rPr>
          <w:rFonts w:cs="Times New Roman" w:asciiTheme="majorEastAsia" w:hAnsiTheme="majorEastAsia" w:eastAsiaTheme="majorEastAsia"/>
          <w:sz w:val="28"/>
          <w:szCs w:val="28"/>
        </w:rPr>
        <w:t>XX MW</w:t>
      </w:r>
      <w:r>
        <w:rPr>
          <w:rFonts w:hint="eastAsia" w:cs="Times New Roman" w:asciiTheme="majorEastAsia" w:hAnsiTheme="majorEastAsia" w:eastAsiaTheme="majorEastAsia"/>
          <w:sz w:val="28"/>
          <w:szCs w:val="28"/>
        </w:rPr>
        <w:t>h，最大风速为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m/s，平均风速为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m/s，在同型号机组中发电量排名为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名。X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机组月度发电量统计如图附1-</w:t>
      </w:r>
      <w:r>
        <w:rPr>
          <w:rFonts w:cs="Times New Roman" w:asciiTheme="majorEastAsia" w:hAnsiTheme="majorEastAsia" w:eastAsiaTheme="majorEastAsia"/>
          <w:sz w:val="28"/>
          <w:szCs w:val="28"/>
        </w:rPr>
        <w:t>4</w:t>
      </w:r>
      <w:r>
        <w:rPr>
          <w:rFonts w:hint="eastAsia" w:cs="Times New Roman" w:asciiTheme="majorEastAsia" w:hAnsiTheme="majorEastAsia" w:eastAsiaTheme="majorEastAsia"/>
          <w:sz w:val="28"/>
          <w:szCs w:val="28"/>
        </w:rPr>
        <w:t>所示。</w:t>
      </w:r>
    </w:p>
    <w:p>
      <w:pPr>
        <w:spacing w:line="360" w:lineRule="auto"/>
        <w:jc w:val="center"/>
        <w:rPr>
          <w:rFonts w:cs="Times New Roman" w:asciiTheme="majorEastAsia" w:hAnsiTheme="majorEastAsia" w:eastAsiaTheme="majorEastAsia"/>
          <w:sz w:val="24"/>
          <w:szCs w:val="24"/>
        </w:rPr>
      </w:pP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4 XX</w:t>
      </w:r>
      <w:r>
        <w:rPr>
          <w:rFonts w:hint="eastAsia" w:cs="Times New Roman" w:asciiTheme="majorEastAsia" w:hAnsiTheme="majorEastAsia" w:eastAsiaTheme="majorEastAsia"/>
          <w:sz w:val="24"/>
          <w:szCs w:val="24"/>
        </w:rPr>
        <w:t>机组月度发电量统计</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d</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损失电量分析</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XXX风电机组损失电量分析结果如下图所示，其中造成损失电量较大的原因主要包括：</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1、XXX，损失电量占比为XX%；</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2、XXX，损失电量占比为XX%；</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3、XXX，损失电量占比为XX%；</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4、XXX，损失电量占比为XX%；</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5、XXX，损失电量占比为XX%。</w:t>
      </w:r>
      <w:r>
        <w:rPr>
          <w:rFonts w:hint="eastAsia" w:cs="Times New Roman" w:asciiTheme="majorEastAsia" w:hAnsiTheme="majorEastAsia" w:eastAsiaTheme="majorEastAsia"/>
          <w:sz w:val="28"/>
          <w:szCs w:val="28"/>
          <w:highlight w:val="yellow"/>
        </w:rPr>
        <w:t>（从系统中自动确定损失电量前五名列到此处）</w:t>
      </w:r>
    </w:p>
    <w:p>
      <w:pPr>
        <w:rPr>
          <w:rFonts w:cs="Times New Roman" w:asciiTheme="majorEastAsia" w:hAnsiTheme="majorEastAsia" w:eastAsiaTheme="majorEastAsia"/>
          <w:sz w:val="28"/>
          <w:szCs w:val="28"/>
          <w:highlight w:val="yellow"/>
        </w:rPr>
      </w:pPr>
      <w:r>
        <w:drawing>
          <wp:inline distT="0" distB="0" distL="114300" distR="114300">
            <wp:extent cx="5143500" cy="2819400"/>
            <wp:effectExtent l="0" t="0" r="0" b="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20"/>
                    <a:stretch>
                      <a:fillRect/>
                    </a:stretch>
                  </pic:blipFill>
                  <pic:spPr>
                    <a:xfrm>
                      <a:off x="0" y="0"/>
                      <a:ext cx="5143500" cy="2819400"/>
                    </a:xfrm>
                    <a:prstGeom prst="rect">
                      <a:avLst/>
                    </a:prstGeom>
                    <a:noFill/>
                    <a:ln>
                      <a:noFill/>
                    </a:ln>
                  </pic:spPr>
                </pic:pic>
              </a:graphicData>
            </a:graphic>
          </wp:inline>
        </w:drawing>
      </w:r>
    </w:p>
    <w:p>
      <w:pPr>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 XX风电机组损失电量占比</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按照月度统计如下图所示。</w:t>
      </w:r>
    </w:p>
    <w:p>
      <w:pPr>
        <w:rPr>
          <w:rFonts w:cs="Times New Roman" w:asciiTheme="majorEastAsia" w:hAnsiTheme="majorEastAsia" w:eastAsiaTheme="majorEastAsia"/>
          <w:sz w:val="28"/>
          <w:szCs w:val="28"/>
          <w:highlight w:val="yellow"/>
        </w:rPr>
      </w:pPr>
      <w:r>
        <w:drawing>
          <wp:inline distT="0" distB="0" distL="114300" distR="114300">
            <wp:extent cx="5265420" cy="1383030"/>
            <wp:effectExtent l="0" t="0" r="11430" b="7620"/>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pic:cNvPicPr>
                      <a:picLocks noChangeAspect="1"/>
                    </pic:cNvPicPr>
                  </pic:nvPicPr>
                  <pic:blipFill>
                    <a:blip r:embed="rId21"/>
                    <a:stretch>
                      <a:fillRect/>
                    </a:stretch>
                  </pic:blipFill>
                  <pic:spPr>
                    <a:xfrm>
                      <a:off x="0" y="0"/>
                      <a:ext cx="5265420" cy="1383030"/>
                    </a:xfrm>
                    <a:prstGeom prst="rect">
                      <a:avLst/>
                    </a:prstGeom>
                    <a:noFill/>
                    <a:ln>
                      <a:noFill/>
                    </a:ln>
                  </pic:spPr>
                </pic:pic>
              </a:graphicData>
            </a:graphic>
          </wp:inline>
        </w:drawing>
      </w:r>
    </w:p>
    <w:p>
      <w:pPr>
        <w:ind w:firstLine="48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图XX风电机组月度损失电量统计</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e</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发电性能</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机组的运行功率特性曲线分析如下图所示。</w:t>
      </w:r>
    </w:p>
    <w:p>
      <w:pPr>
        <w:ind w:firstLine="210" w:firstLineChars="100"/>
        <w:rPr>
          <w:rFonts w:cs="Times New Roman" w:asciiTheme="majorEastAsia" w:hAnsiTheme="majorEastAsia" w:eastAsiaTheme="majorEastAsia"/>
          <w:sz w:val="28"/>
          <w:szCs w:val="28"/>
        </w:rPr>
      </w:pPr>
      <w:r>
        <w:drawing>
          <wp:inline distT="0" distB="0" distL="0" distR="0">
            <wp:extent cx="5274310" cy="2591435"/>
            <wp:effectExtent l="0" t="0" r="2540" b="18415"/>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5 XX</w:t>
      </w:r>
      <w:r>
        <w:rPr>
          <w:rFonts w:hint="eastAsia" w:cs="Times New Roman" w:asciiTheme="majorEastAsia" w:hAnsiTheme="majorEastAsia" w:eastAsiaTheme="majorEastAsia"/>
          <w:sz w:val="24"/>
          <w:szCs w:val="24"/>
        </w:rPr>
        <w:t>机组运行功率曲线及该型号机组的标准化功率曲线</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基于功率曲线对比，根据机组发电性能的判断规则，判断</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机组在本季度的运行性能分类为：X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（优/良/中/差）。</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机组的发电能力指标</w:t>
      </w:r>
      <w:r>
        <w:rPr>
          <w:rFonts w:cs="Times New Roman" w:asciiTheme="majorEastAsia" w:hAnsiTheme="majorEastAsia" w:eastAsiaTheme="majorEastAsia"/>
          <w:sz w:val="28"/>
          <w:szCs w:val="28"/>
        </w:rPr>
        <w:t>F</w:t>
      </w:r>
      <w:r>
        <w:rPr>
          <w:rFonts w:hint="eastAsia" w:cs="Times New Roman" w:asciiTheme="majorEastAsia" w:hAnsiTheme="majorEastAsia" w:eastAsiaTheme="majorEastAsia"/>
          <w:sz w:val="28"/>
          <w:szCs w:val="28"/>
        </w:rPr>
        <w:t>g为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，在同型号风电机组中排行2</w:t>
      </w:r>
      <w:r>
        <w:rPr>
          <w:rFonts w:cs="Times New Roman" w:asciiTheme="majorEastAsia" w:hAnsiTheme="majorEastAsia" w:eastAsiaTheme="majorEastAsia"/>
          <w:sz w:val="28"/>
          <w:szCs w:val="28"/>
        </w:rPr>
        <w:t>1</w:t>
      </w:r>
      <w:r>
        <w:rPr>
          <w:rFonts w:hint="eastAsia" w:cs="Times New Roman" w:asciiTheme="majorEastAsia" w:hAnsiTheme="majorEastAsia" w:eastAsiaTheme="majorEastAsia"/>
          <w:sz w:val="28"/>
          <w:szCs w:val="28"/>
        </w:rPr>
        <w:t>名。</w:t>
      </w:r>
    </w:p>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f.</w:t>
      </w:r>
      <w:r>
        <w:rPr>
          <w:rFonts w:hint="eastAsia" w:cs="Times New Roman" w:asciiTheme="majorEastAsia" w:hAnsiTheme="majorEastAsia" w:eastAsiaTheme="majorEastAsia"/>
          <w:sz w:val="28"/>
          <w:szCs w:val="28"/>
        </w:rPr>
        <w:t>偏航静态偏差</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根据统计分析可得本季度</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机组的偏航静态偏差为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°，判定该机组的偏航系统处于X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（正常/告警/异常）状态。</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 扬" w:date="2022-01-19T20:38:00Z" w:initials="张">
    <w:p w14:paraId="19570B14">
      <w:pPr>
        <w:pStyle w:val="14"/>
      </w:pPr>
      <w:r>
        <w:rPr>
          <w:rFonts w:hint="eastAsia"/>
        </w:rPr>
        <w:t>这个是平台计算的考核电量，还是调度实际考核电量？可能存在偏差，需要明确一下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9570B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Garamond">
    <w:altName w:val="PMingLiU-ExtB"/>
    <w:panose1 w:val="02020404030301010803"/>
    <w:charset w:val="00"/>
    <w:family w:val="roman"/>
    <w:pitch w:val="default"/>
    <w:sig w:usb0="00000000" w:usb1="00000000" w:usb2="00000000" w:usb3="00000000" w:csb0="0000009F" w:csb1="DFD70000"/>
  </w:font>
  <w:font w:name="PMingLiU-ExtB">
    <w:panose1 w:val="02020500000000000000"/>
    <w:charset w:val="88"/>
    <w:family w:val="auto"/>
    <w:pitch w:val="default"/>
    <w:sig w:usb0="8000002F" w:usb1="02000008" w:usb2="00000000" w:usb3="00000000" w:csb0="00100001" w:csb1="00000000"/>
  </w:font>
  <w:font w:name="EU-F1">
    <w:altName w:val="宋体"/>
    <w:panose1 w:val="00000000000000000000"/>
    <w:charset w:val="86"/>
    <w:family w:val="script"/>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swiss"/>
    <w:pitch w:val="default"/>
    <w:sig w:usb0="E0002A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BA5063"/>
    <w:multiLevelType w:val="multilevel"/>
    <w:tmpl w:val="3DBA5063"/>
    <w:lvl w:ilvl="0" w:tentative="0">
      <w:start w:val="2"/>
      <w:numFmt w:val="chineseCountingThousand"/>
      <w:pStyle w:val="2"/>
      <w:lvlText w:val="第%1章"/>
      <w:lvlJc w:val="left"/>
      <w:pPr>
        <w:tabs>
          <w:tab w:val="left" w:pos="1247"/>
        </w:tabs>
        <w:ind w:left="612" w:hanging="432"/>
      </w:pPr>
      <w:rPr>
        <w:rFonts w:hint="eastAsia"/>
      </w:rPr>
    </w:lvl>
    <w:lvl w:ilvl="1" w:tentative="0">
      <w:start w:val="1"/>
      <w:numFmt w:val="decimal"/>
      <w:pStyle w:val="3"/>
      <w:isLgl/>
      <w:lvlText w:val="%1.%2"/>
      <w:lvlJc w:val="left"/>
      <w:pPr>
        <w:tabs>
          <w:tab w:val="left" w:pos="576"/>
        </w:tabs>
        <w:ind w:left="576" w:hanging="576"/>
      </w:pPr>
      <w:rPr>
        <w:rFonts w:hint="eastAsia" w:eastAsia="宋体"/>
        <w:b/>
        <w:i w:val="0"/>
        <w:sz w:val="30"/>
      </w:rPr>
    </w:lvl>
    <w:lvl w:ilvl="2" w:tentative="0">
      <w:start w:val="1"/>
      <w:numFmt w:val="decimal"/>
      <w:pStyle w:val="4"/>
      <w:isLgl/>
      <w:lvlText w:val="%1.%2.%3"/>
      <w:lvlJc w:val="left"/>
      <w:pPr>
        <w:tabs>
          <w:tab w:val="left" w:pos="720"/>
        </w:tabs>
        <w:ind w:left="720" w:hanging="720"/>
      </w:pPr>
      <w:rPr>
        <w:rFonts w:hint="eastAsia"/>
      </w:rPr>
    </w:lvl>
    <w:lvl w:ilvl="3" w:tentative="0">
      <w:start w:val="1"/>
      <w:numFmt w:val="decimal"/>
      <w:isLgl/>
      <w:lvlText w:val="%1.%2.%3.%4"/>
      <w:lvlJc w:val="left"/>
      <w:pPr>
        <w:tabs>
          <w:tab w:val="left" w:pos="864"/>
        </w:tabs>
        <w:ind w:left="864" w:hanging="864"/>
      </w:pPr>
      <w:rPr>
        <w:rFonts w:hint="eastAsia"/>
      </w:rPr>
    </w:lvl>
    <w:lvl w:ilvl="4" w:tentative="0">
      <w:start w:val="1"/>
      <w:numFmt w:val="decimal"/>
      <w:isLgl/>
      <w:lvlText w:val="%1.%2.%3.%4.%5"/>
      <w:lvlJc w:val="left"/>
      <w:pPr>
        <w:tabs>
          <w:tab w:val="left" w:pos="1008"/>
        </w:tabs>
        <w:ind w:left="1008" w:hanging="1008"/>
      </w:pPr>
      <w:rPr>
        <w:rFonts w:hint="eastAsia" w:ascii="Times New Roman" w:hAnsi="Times New Roman" w:cs="Times New Roman"/>
        <w:b w:val="0"/>
        <w:bCs w:val="0"/>
        <w:i w:val="0"/>
        <w:iCs w:val="0"/>
        <w:caps w:val="0"/>
        <w:smallCaps w:val="0"/>
        <w:strike w:val="0"/>
        <w:dstrike w:val="0"/>
        <w:snapToGrid w:val="0"/>
        <w:color w:val="000000"/>
        <w:spacing w:val="0"/>
        <w:w w:val="0"/>
        <w:kern w:val="0"/>
        <w:position w:val="0"/>
        <w:szCs w:val="16"/>
        <w:u w:val="none"/>
        <w14:shadow w14:blurRad="0" w14:dist="0" w14:dir="0" w14:sx="0" w14:sy="0" w14:kx="0" w14:ky="0" w14:algn="none">
          <w14:srgbClr w14:val="000000"/>
        </w14:shadow>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 扬">
    <w15:presenceInfo w15:providerId="Windows Live" w15:userId="707c8c7e27b1d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Y2YTZjYzMyOGRjNWFiZGIwMTM4MWY3NjRjNGU4NTUifQ=="/>
  </w:docVars>
  <w:rsids>
    <w:rsidRoot w:val="001B2F11"/>
    <w:rsid w:val="00003EF3"/>
    <w:rsid w:val="000052A5"/>
    <w:rsid w:val="0000530F"/>
    <w:rsid w:val="00011C23"/>
    <w:rsid w:val="00011FFA"/>
    <w:rsid w:val="00012734"/>
    <w:rsid w:val="00016A95"/>
    <w:rsid w:val="000210D0"/>
    <w:rsid w:val="00022ED4"/>
    <w:rsid w:val="00026578"/>
    <w:rsid w:val="00026727"/>
    <w:rsid w:val="00031508"/>
    <w:rsid w:val="00033D73"/>
    <w:rsid w:val="0003505B"/>
    <w:rsid w:val="000356C5"/>
    <w:rsid w:val="000408A1"/>
    <w:rsid w:val="00045382"/>
    <w:rsid w:val="00047138"/>
    <w:rsid w:val="000471DF"/>
    <w:rsid w:val="000518ED"/>
    <w:rsid w:val="00051CD2"/>
    <w:rsid w:val="00053C91"/>
    <w:rsid w:val="0005519E"/>
    <w:rsid w:val="00057B32"/>
    <w:rsid w:val="00060B4B"/>
    <w:rsid w:val="000641F6"/>
    <w:rsid w:val="0006435C"/>
    <w:rsid w:val="00064817"/>
    <w:rsid w:val="0006532A"/>
    <w:rsid w:val="0007098B"/>
    <w:rsid w:val="000723DC"/>
    <w:rsid w:val="00073EC5"/>
    <w:rsid w:val="00074063"/>
    <w:rsid w:val="000748B9"/>
    <w:rsid w:val="00077040"/>
    <w:rsid w:val="00080DA2"/>
    <w:rsid w:val="000822AA"/>
    <w:rsid w:val="00083A6F"/>
    <w:rsid w:val="000842BA"/>
    <w:rsid w:val="00085FD8"/>
    <w:rsid w:val="00092CCE"/>
    <w:rsid w:val="000935B7"/>
    <w:rsid w:val="000964B7"/>
    <w:rsid w:val="00096FFD"/>
    <w:rsid w:val="000A12F9"/>
    <w:rsid w:val="000A13ED"/>
    <w:rsid w:val="000A17CB"/>
    <w:rsid w:val="000A4298"/>
    <w:rsid w:val="000A6852"/>
    <w:rsid w:val="000B0E2D"/>
    <w:rsid w:val="000B2A50"/>
    <w:rsid w:val="000B41C9"/>
    <w:rsid w:val="000B4623"/>
    <w:rsid w:val="000B77B0"/>
    <w:rsid w:val="000B7EE7"/>
    <w:rsid w:val="000C01E6"/>
    <w:rsid w:val="000C1CB7"/>
    <w:rsid w:val="000C2BD5"/>
    <w:rsid w:val="000C4140"/>
    <w:rsid w:val="000D0BE1"/>
    <w:rsid w:val="000D283D"/>
    <w:rsid w:val="000D3E03"/>
    <w:rsid w:val="000D6297"/>
    <w:rsid w:val="000D6B45"/>
    <w:rsid w:val="000E084E"/>
    <w:rsid w:val="000E12D4"/>
    <w:rsid w:val="000E1717"/>
    <w:rsid w:val="000E1FC9"/>
    <w:rsid w:val="000E27DB"/>
    <w:rsid w:val="000E2D3A"/>
    <w:rsid w:val="000E466E"/>
    <w:rsid w:val="000E593E"/>
    <w:rsid w:val="000E5A25"/>
    <w:rsid w:val="000E6E7B"/>
    <w:rsid w:val="000E7A9C"/>
    <w:rsid w:val="000F01FD"/>
    <w:rsid w:val="000F5D35"/>
    <w:rsid w:val="00102BC1"/>
    <w:rsid w:val="00103473"/>
    <w:rsid w:val="00110986"/>
    <w:rsid w:val="00113751"/>
    <w:rsid w:val="0011375D"/>
    <w:rsid w:val="00115F64"/>
    <w:rsid w:val="001179D4"/>
    <w:rsid w:val="001219E4"/>
    <w:rsid w:val="00121F47"/>
    <w:rsid w:val="00124328"/>
    <w:rsid w:val="00125E7A"/>
    <w:rsid w:val="001318A0"/>
    <w:rsid w:val="001331D0"/>
    <w:rsid w:val="00133642"/>
    <w:rsid w:val="00140464"/>
    <w:rsid w:val="001415BA"/>
    <w:rsid w:val="001423DC"/>
    <w:rsid w:val="00142A1C"/>
    <w:rsid w:val="001442BD"/>
    <w:rsid w:val="001445D9"/>
    <w:rsid w:val="00144E80"/>
    <w:rsid w:val="00151412"/>
    <w:rsid w:val="001516AD"/>
    <w:rsid w:val="0015495B"/>
    <w:rsid w:val="00157A18"/>
    <w:rsid w:val="00160930"/>
    <w:rsid w:val="00162FC2"/>
    <w:rsid w:val="00163A48"/>
    <w:rsid w:val="001673D0"/>
    <w:rsid w:val="001700BB"/>
    <w:rsid w:val="00172E9F"/>
    <w:rsid w:val="00174BC0"/>
    <w:rsid w:val="00175F35"/>
    <w:rsid w:val="00180FA1"/>
    <w:rsid w:val="001818E6"/>
    <w:rsid w:val="00181C62"/>
    <w:rsid w:val="0018293D"/>
    <w:rsid w:val="00185E55"/>
    <w:rsid w:val="00186DE6"/>
    <w:rsid w:val="00190CE5"/>
    <w:rsid w:val="00190DF8"/>
    <w:rsid w:val="00194292"/>
    <w:rsid w:val="001945F8"/>
    <w:rsid w:val="00194DE5"/>
    <w:rsid w:val="0019582C"/>
    <w:rsid w:val="0019752E"/>
    <w:rsid w:val="001976F7"/>
    <w:rsid w:val="001A17DF"/>
    <w:rsid w:val="001A31AA"/>
    <w:rsid w:val="001A4C28"/>
    <w:rsid w:val="001A579E"/>
    <w:rsid w:val="001B2F11"/>
    <w:rsid w:val="001B682F"/>
    <w:rsid w:val="001C05C9"/>
    <w:rsid w:val="001C1D9B"/>
    <w:rsid w:val="001C45B0"/>
    <w:rsid w:val="001C6AC9"/>
    <w:rsid w:val="001D0788"/>
    <w:rsid w:val="001D58E0"/>
    <w:rsid w:val="001E0E6C"/>
    <w:rsid w:val="001E1314"/>
    <w:rsid w:val="001E509B"/>
    <w:rsid w:val="001E554F"/>
    <w:rsid w:val="001E60AE"/>
    <w:rsid w:val="001E7744"/>
    <w:rsid w:val="001F18FA"/>
    <w:rsid w:val="001F26CB"/>
    <w:rsid w:val="001F3030"/>
    <w:rsid w:val="001F7693"/>
    <w:rsid w:val="00200A8A"/>
    <w:rsid w:val="00202095"/>
    <w:rsid w:val="00205538"/>
    <w:rsid w:val="002055C4"/>
    <w:rsid w:val="00205E9E"/>
    <w:rsid w:val="00206DA7"/>
    <w:rsid w:val="00210FC3"/>
    <w:rsid w:val="00220A86"/>
    <w:rsid w:val="00224B81"/>
    <w:rsid w:val="002257A4"/>
    <w:rsid w:val="00225D9C"/>
    <w:rsid w:val="0022626A"/>
    <w:rsid w:val="00227872"/>
    <w:rsid w:val="002309DF"/>
    <w:rsid w:val="002340E1"/>
    <w:rsid w:val="00234B51"/>
    <w:rsid w:val="00235D1A"/>
    <w:rsid w:val="00235D72"/>
    <w:rsid w:val="0024315D"/>
    <w:rsid w:val="002444F6"/>
    <w:rsid w:val="00247683"/>
    <w:rsid w:val="00250B59"/>
    <w:rsid w:val="002542EF"/>
    <w:rsid w:val="0025586D"/>
    <w:rsid w:val="002563A5"/>
    <w:rsid w:val="00256CF2"/>
    <w:rsid w:val="00263077"/>
    <w:rsid w:val="0026340A"/>
    <w:rsid w:val="00263F8E"/>
    <w:rsid w:val="00272080"/>
    <w:rsid w:val="00272283"/>
    <w:rsid w:val="00274A65"/>
    <w:rsid w:val="00275A8F"/>
    <w:rsid w:val="002775B5"/>
    <w:rsid w:val="00280FA1"/>
    <w:rsid w:val="00282E60"/>
    <w:rsid w:val="002834EB"/>
    <w:rsid w:val="002917CE"/>
    <w:rsid w:val="00291A63"/>
    <w:rsid w:val="002922A2"/>
    <w:rsid w:val="002942EE"/>
    <w:rsid w:val="00295D4A"/>
    <w:rsid w:val="00296A1C"/>
    <w:rsid w:val="00297ADE"/>
    <w:rsid w:val="00297B36"/>
    <w:rsid w:val="002A1885"/>
    <w:rsid w:val="002A3A02"/>
    <w:rsid w:val="002A4835"/>
    <w:rsid w:val="002A5328"/>
    <w:rsid w:val="002B3BAC"/>
    <w:rsid w:val="002B5EE6"/>
    <w:rsid w:val="002C5C41"/>
    <w:rsid w:val="002D0EA2"/>
    <w:rsid w:val="002D4BB0"/>
    <w:rsid w:val="002D4FEE"/>
    <w:rsid w:val="002D570D"/>
    <w:rsid w:val="002D5959"/>
    <w:rsid w:val="002D70AA"/>
    <w:rsid w:val="002D7747"/>
    <w:rsid w:val="002E0F99"/>
    <w:rsid w:val="002E15ED"/>
    <w:rsid w:val="002E2DEC"/>
    <w:rsid w:val="002E66EB"/>
    <w:rsid w:val="002F3D79"/>
    <w:rsid w:val="002F5061"/>
    <w:rsid w:val="002F566D"/>
    <w:rsid w:val="002F56FC"/>
    <w:rsid w:val="002F7036"/>
    <w:rsid w:val="00300403"/>
    <w:rsid w:val="00304598"/>
    <w:rsid w:val="00306FF1"/>
    <w:rsid w:val="00307188"/>
    <w:rsid w:val="00313C9E"/>
    <w:rsid w:val="003144A2"/>
    <w:rsid w:val="0031619A"/>
    <w:rsid w:val="00316983"/>
    <w:rsid w:val="0032200D"/>
    <w:rsid w:val="003227F2"/>
    <w:rsid w:val="00324BDB"/>
    <w:rsid w:val="003253BA"/>
    <w:rsid w:val="00325860"/>
    <w:rsid w:val="003269F9"/>
    <w:rsid w:val="00326FE5"/>
    <w:rsid w:val="00333B96"/>
    <w:rsid w:val="003369D5"/>
    <w:rsid w:val="00336C80"/>
    <w:rsid w:val="00340748"/>
    <w:rsid w:val="0034212F"/>
    <w:rsid w:val="003424EB"/>
    <w:rsid w:val="003431EF"/>
    <w:rsid w:val="00343E50"/>
    <w:rsid w:val="00347F05"/>
    <w:rsid w:val="00350989"/>
    <w:rsid w:val="00354E2A"/>
    <w:rsid w:val="0035652F"/>
    <w:rsid w:val="00357D41"/>
    <w:rsid w:val="00367E02"/>
    <w:rsid w:val="00371BDF"/>
    <w:rsid w:val="00372D91"/>
    <w:rsid w:val="0037391F"/>
    <w:rsid w:val="0037741C"/>
    <w:rsid w:val="0038176F"/>
    <w:rsid w:val="00383A81"/>
    <w:rsid w:val="003851E4"/>
    <w:rsid w:val="003856E1"/>
    <w:rsid w:val="00386058"/>
    <w:rsid w:val="003936F1"/>
    <w:rsid w:val="00394058"/>
    <w:rsid w:val="00394899"/>
    <w:rsid w:val="003957F9"/>
    <w:rsid w:val="003A0F39"/>
    <w:rsid w:val="003A2ECF"/>
    <w:rsid w:val="003A529D"/>
    <w:rsid w:val="003A56E2"/>
    <w:rsid w:val="003A75D2"/>
    <w:rsid w:val="003B5F5E"/>
    <w:rsid w:val="003B63C5"/>
    <w:rsid w:val="003B7A6E"/>
    <w:rsid w:val="003C0556"/>
    <w:rsid w:val="003C2ECE"/>
    <w:rsid w:val="003C3A61"/>
    <w:rsid w:val="003C41D3"/>
    <w:rsid w:val="003C464C"/>
    <w:rsid w:val="003C6979"/>
    <w:rsid w:val="003C7DF5"/>
    <w:rsid w:val="003D5505"/>
    <w:rsid w:val="003D6EAF"/>
    <w:rsid w:val="003E12AD"/>
    <w:rsid w:val="003E1D5A"/>
    <w:rsid w:val="003E3444"/>
    <w:rsid w:val="003E42C3"/>
    <w:rsid w:val="003E71D8"/>
    <w:rsid w:val="003F6050"/>
    <w:rsid w:val="004003B9"/>
    <w:rsid w:val="0040143A"/>
    <w:rsid w:val="00406C9F"/>
    <w:rsid w:val="004078D3"/>
    <w:rsid w:val="00407AC0"/>
    <w:rsid w:val="00412F4E"/>
    <w:rsid w:val="004160B0"/>
    <w:rsid w:val="00425323"/>
    <w:rsid w:val="00427EC0"/>
    <w:rsid w:val="00432A63"/>
    <w:rsid w:val="00433569"/>
    <w:rsid w:val="00433FBC"/>
    <w:rsid w:val="004353AF"/>
    <w:rsid w:val="00436249"/>
    <w:rsid w:val="004370C1"/>
    <w:rsid w:val="0043731A"/>
    <w:rsid w:val="004417EE"/>
    <w:rsid w:val="0044569A"/>
    <w:rsid w:val="00446C89"/>
    <w:rsid w:val="00447E89"/>
    <w:rsid w:val="00450354"/>
    <w:rsid w:val="0045037C"/>
    <w:rsid w:val="00450424"/>
    <w:rsid w:val="00452F97"/>
    <w:rsid w:val="00454A0A"/>
    <w:rsid w:val="00457107"/>
    <w:rsid w:val="0046017E"/>
    <w:rsid w:val="00462FE5"/>
    <w:rsid w:val="0046358B"/>
    <w:rsid w:val="00463EAD"/>
    <w:rsid w:val="0047070E"/>
    <w:rsid w:val="00474625"/>
    <w:rsid w:val="0047490B"/>
    <w:rsid w:val="00476549"/>
    <w:rsid w:val="00481857"/>
    <w:rsid w:val="00482239"/>
    <w:rsid w:val="00482BBC"/>
    <w:rsid w:val="00485030"/>
    <w:rsid w:val="00486289"/>
    <w:rsid w:val="00487E16"/>
    <w:rsid w:val="004906A7"/>
    <w:rsid w:val="00492129"/>
    <w:rsid w:val="00492443"/>
    <w:rsid w:val="0049248E"/>
    <w:rsid w:val="00492EFD"/>
    <w:rsid w:val="00494B53"/>
    <w:rsid w:val="00495288"/>
    <w:rsid w:val="00495F3C"/>
    <w:rsid w:val="004A2E06"/>
    <w:rsid w:val="004A3FD2"/>
    <w:rsid w:val="004A5C40"/>
    <w:rsid w:val="004A7925"/>
    <w:rsid w:val="004B382F"/>
    <w:rsid w:val="004B48B7"/>
    <w:rsid w:val="004B4F44"/>
    <w:rsid w:val="004B5359"/>
    <w:rsid w:val="004B73DD"/>
    <w:rsid w:val="004C664E"/>
    <w:rsid w:val="004D184F"/>
    <w:rsid w:val="004D364C"/>
    <w:rsid w:val="004D401C"/>
    <w:rsid w:val="004D42F6"/>
    <w:rsid w:val="004D764E"/>
    <w:rsid w:val="004D7E1E"/>
    <w:rsid w:val="004E628D"/>
    <w:rsid w:val="004E7308"/>
    <w:rsid w:val="004E7981"/>
    <w:rsid w:val="004F0135"/>
    <w:rsid w:val="004F3847"/>
    <w:rsid w:val="004F3F4D"/>
    <w:rsid w:val="004F5C04"/>
    <w:rsid w:val="005025AE"/>
    <w:rsid w:val="005060FD"/>
    <w:rsid w:val="0050694C"/>
    <w:rsid w:val="005109A1"/>
    <w:rsid w:val="00510AF9"/>
    <w:rsid w:val="005110F2"/>
    <w:rsid w:val="005111A4"/>
    <w:rsid w:val="00512041"/>
    <w:rsid w:val="0051275E"/>
    <w:rsid w:val="005142C3"/>
    <w:rsid w:val="00514846"/>
    <w:rsid w:val="00515154"/>
    <w:rsid w:val="0051583D"/>
    <w:rsid w:val="005159E5"/>
    <w:rsid w:val="005204B7"/>
    <w:rsid w:val="005222D0"/>
    <w:rsid w:val="0052284D"/>
    <w:rsid w:val="00523ABF"/>
    <w:rsid w:val="00524B2F"/>
    <w:rsid w:val="00524C8F"/>
    <w:rsid w:val="00526370"/>
    <w:rsid w:val="00526FC9"/>
    <w:rsid w:val="00527F6E"/>
    <w:rsid w:val="00530F0C"/>
    <w:rsid w:val="005316D3"/>
    <w:rsid w:val="00533E7C"/>
    <w:rsid w:val="00534E8F"/>
    <w:rsid w:val="0054008B"/>
    <w:rsid w:val="005428A6"/>
    <w:rsid w:val="00542F54"/>
    <w:rsid w:val="005437EB"/>
    <w:rsid w:val="00545455"/>
    <w:rsid w:val="00545687"/>
    <w:rsid w:val="00551EDB"/>
    <w:rsid w:val="005579FC"/>
    <w:rsid w:val="00557D1A"/>
    <w:rsid w:val="00564AB9"/>
    <w:rsid w:val="0056653F"/>
    <w:rsid w:val="00567A17"/>
    <w:rsid w:val="00571510"/>
    <w:rsid w:val="00575281"/>
    <w:rsid w:val="00576085"/>
    <w:rsid w:val="00581C84"/>
    <w:rsid w:val="00582B92"/>
    <w:rsid w:val="005841DE"/>
    <w:rsid w:val="00590897"/>
    <w:rsid w:val="005964E0"/>
    <w:rsid w:val="005974EE"/>
    <w:rsid w:val="005A1DC5"/>
    <w:rsid w:val="005A224D"/>
    <w:rsid w:val="005B11D1"/>
    <w:rsid w:val="005B1B69"/>
    <w:rsid w:val="005B3C88"/>
    <w:rsid w:val="005B55E2"/>
    <w:rsid w:val="005B7499"/>
    <w:rsid w:val="005B7F7A"/>
    <w:rsid w:val="005C07E9"/>
    <w:rsid w:val="005C0CE5"/>
    <w:rsid w:val="005C2C7F"/>
    <w:rsid w:val="005C5565"/>
    <w:rsid w:val="005C5B4E"/>
    <w:rsid w:val="005C6EE2"/>
    <w:rsid w:val="005C7ED6"/>
    <w:rsid w:val="005D0E4B"/>
    <w:rsid w:val="005D3DBC"/>
    <w:rsid w:val="005D4E30"/>
    <w:rsid w:val="005D5652"/>
    <w:rsid w:val="005D6779"/>
    <w:rsid w:val="005E11AE"/>
    <w:rsid w:val="005E5553"/>
    <w:rsid w:val="005E593B"/>
    <w:rsid w:val="005E5C23"/>
    <w:rsid w:val="005E6393"/>
    <w:rsid w:val="005E657F"/>
    <w:rsid w:val="005F3900"/>
    <w:rsid w:val="005F3D7E"/>
    <w:rsid w:val="005F429C"/>
    <w:rsid w:val="005F4C1D"/>
    <w:rsid w:val="005F5D52"/>
    <w:rsid w:val="00600B69"/>
    <w:rsid w:val="00605A3A"/>
    <w:rsid w:val="00605EDC"/>
    <w:rsid w:val="006114C5"/>
    <w:rsid w:val="00611871"/>
    <w:rsid w:val="00613AAD"/>
    <w:rsid w:val="006144FF"/>
    <w:rsid w:val="00615253"/>
    <w:rsid w:val="00616C0E"/>
    <w:rsid w:val="00617448"/>
    <w:rsid w:val="0061746E"/>
    <w:rsid w:val="0061780C"/>
    <w:rsid w:val="00621C0B"/>
    <w:rsid w:val="00624356"/>
    <w:rsid w:val="00624529"/>
    <w:rsid w:val="00624BC7"/>
    <w:rsid w:val="00625046"/>
    <w:rsid w:val="00626D6C"/>
    <w:rsid w:val="00630DFF"/>
    <w:rsid w:val="006321A7"/>
    <w:rsid w:val="00632399"/>
    <w:rsid w:val="0063498E"/>
    <w:rsid w:val="00634A53"/>
    <w:rsid w:val="0063549A"/>
    <w:rsid w:val="00635533"/>
    <w:rsid w:val="006429BC"/>
    <w:rsid w:val="006442F1"/>
    <w:rsid w:val="006468C0"/>
    <w:rsid w:val="00647BAE"/>
    <w:rsid w:val="00651905"/>
    <w:rsid w:val="00654C7D"/>
    <w:rsid w:val="00655632"/>
    <w:rsid w:val="006579C5"/>
    <w:rsid w:val="00657AA7"/>
    <w:rsid w:val="00660750"/>
    <w:rsid w:val="00661217"/>
    <w:rsid w:val="00670223"/>
    <w:rsid w:val="006707D8"/>
    <w:rsid w:val="0067256D"/>
    <w:rsid w:val="006734D3"/>
    <w:rsid w:val="0067501F"/>
    <w:rsid w:val="00676AA5"/>
    <w:rsid w:val="00676D2B"/>
    <w:rsid w:val="00682102"/>
    <w:rsid w:val="00686D66"/>
    <w:rsid w:val="00686FE9"/>
    <w:rsid w:val="006870A2"/>
    <w:rsid w:val="00693C03"/>
    <w:rsid w:val="00693DDA"/>
    <w:rsid w:val="006A15CD"/>
    <w:rsid w:val="006A2839"/>
    <w:rsid w:val="006A37EA"/>
    <w:rsid w:val="006A4ACB"/>
    <w:rsid w:val="006A4D88"/>
    <w:rsid w:val="006A5AD0"/>
    <w:rsid w:val="006A5FCF"/>
    <w:rsid w:val="006B0D9D"/>
    <w:rsid w:val="006B76A3"/>
    <w:rsid w:val="006C3716"/>
    <w:rsid w:val="006C5A74"/>
    <w:rsid w:val="006C665C"/>
    <w:rsid w:val="006D09C1"/>
    <w:rsid w:val="006D19CF"/>
    <w:rsid w:val="006D1D1A"/>
    <w:rsid w:val="006D2AD5"/>
    <w:rsid w:val="006D2C5F"/>
    <w:rsid w:val="006D35C7"/>
    <w:rsid w:val="006D38E5"/>
    <w:rsid w:val="006D6A4C"/>
    <w:rsid w:val="006E053C"/>
    <w:rsid w:val="006E082C"/>
    <w:rsid w:val="006E09F1"/>
    <w:rsid w:val="006E1A34"/>
    <w:rsid w:val="006E505A"/>
    <w:rsid w:val="006E61DB"/>
    <w:rsid w:val="006E7274"/>
    <w:rsid w:val="006F0B05"/>
    <w:rsid w:val="006F2992"/>
    <w:rsid w:val="006F327A"/>
    <w:rsid w:val="006F369C"/>
    <w:rsid w:val="006F3D65"/>
    <w:rsid w:val="006F4AA9"/>
    <w:rsid w:val="006F6300"/>
    <w:rsid w:val="00705970"/>
    <w:rsid w:val="00705DB3"/>
    <w:rsid w:val="0070630F"/>
    <w:rsid w:val="00710AD4"/>
    <w:rsid w:val="00712C83"/>
    <w:rsid w:val="00714202"/>
    <w:rsid w:val="007162D9"/>
    <w:rsid w:val="007203FD"/>
    <w:rsid w:val="00724885"/>
    <w:rsid w:val="0072510F"/>
    <w:rsid w:val="0072612A"/>
    <w:rsid w:val="00726891"/>
    <w:rsid w:val="0072767B"/>
    <w:rsid w:val="00730191"/>
    <w:rsid w:val="00731521"/>
    <w:rsid w:val="0073218D"/>
    <w:rsid w:val="00732576"/>
    <w:rsid w:val="0073392D"/>
    <w:rsid w:val="007350B9"/>
    <w:rsid w:val="00741054"/>
    <w:rsid w:val="00741384"/>
    <w:rsid w:val="007418B5"/>
    <w:rsid w:val="0074199F"/>
    <w:rsid w:val="00741A55"/>
    <w:rsid w:val="007425ED"/>
    <w:rsid w:val="0074260F"/>
    <w:rsid w:val="0074303D"/>
    <w:rsid w:val="00744798"/>
    <w:rsid w:val="007477AA"/>
    <w:rsid w:val="00750D74"/>
    <w:rsid w:val="00755217"/>
    <w:rsid w:val="00756B09"/>
    <w:rsid w:val="007604CF"/>
    <w:rsid w:val="00761B4B"/>
    <w:rsid w:val="0076246F"/>
    <w:rsid w:val="00764337"/>
    <w:rsid w:val="00764BAC"/>
    <w:rsid w:val="00771340"/>
    <w:rsid w:val="00771C7E"/>
    <w:rsid w:val="00772705"/>
    <w:rsid w:val="00773974"/>
    <w:rsid w:val="00774F0A"/>
    <w:rsid w:val="0078029D"/>
    <w:rsid w:val="00781BE4"/>
    <w:rsid w:val="00786BA9"/>
    <w:rsid w:val="007872E4"/>
    <w:rsid w:val="00790200"/>
    <w:rsid w:val="00790BD9"/>
    <w:rsid w:val="007918E4"/>
    <w:rsid w:val="00793894"/>
    <w:rsid w:val="0079427B"/>
    <w:rsid w:val="007A4622"/>
    <w:rsid w:val="007A4BAE"/>
    <w:rsid w:val="007B0F1E"/>
    <w:rsid w:val="007B2D2B"/>
    <w:rsid w:val="007B2D59"/>
    <w:rsid w:val="007B51E4"/>
    <w:rsid w:val="007B5682"/>
    <w:rsid w:val="007B5C81"/>
    <w:rsid w:val="007C0451"/>
    <w:rsid w:val="007C08D1"/>
    <w:rsid w:val="007C0ED6"/>
    <w:rsid w:val="007C1C8A"/>
    <w:rsid w:val="007C1E81"/>
    <w:rsid w:val="007C2568"/>
    <w:rsid w:val="007C2BBB"/>
    <w:rsid w:val="007C2D6C"/>
    <w:rsid w:val="007C4EAE"/>
    <w:rsid w:val="007C5FFA"/>
    <w:rsid w:val="007C78B1"/>
    <w:rsid w:val="007D0268"/>
    <w:rsid w:val="007D04DC"/>
    <w:rsid w:val="007D0A97"/>
    <w:rsid w:val="007D0D61"/>
    <w:rsid w:val="007D63A1"/>
    <w:rsid w:val="007E19DA"/>
    <w:rsid w:val="007E19FA"/>
    <w:rsid w:val="007E1BEA"/>
    <w:rsid w:val="007E3208"/>
    <w:rsid w:val="007F4677"/>
    <w:rsid w:val="00803467"/>
    <w:rsid w:val="00803ED1"/>
    <w:rsid w:val="0080463E"/>
    <w:rsid w:val="00806F06"/>
    <w:rsid w:val="00807F62"/>
    <w:rsid w:val="008106F1"/>
    <w:rsid w:val="00811E37"/>
    <w:rsid w:val="0081399C"/>
    <w:rsid w:val="008140E0"/>
    <w:rsid w:val="00815794"/>
    <w:rsid w:val="00817D62"/>
    <w:rsid w:val="00820605"/>
    <w:rsid w:val="0082126C"/>
    <w:rsid w:val="0082301D"/>
    <w:rsid w:val="0082345F"/>
    <w:rsid w:val="00834C93"/>
    <w:rsid w:val="0083622E"/>
    <w:rsid w:val="00837621"/>
    <w:rsid w:val="00840AA0"/>
    <w:rsid w:val="008411A8"/>
    <w:rsid w:val="008419C9"/>
    <w:rsid w:val="0084345A"/>
    <w:rsid w:val="00843AD2"/>
    <w:rsid w:val="0085112C"/>
    <w:rsid w:val="00854E5C"/>
    <w:rsid w:val="00854EE1"/>
    <w:rsid w:val="00854F19"/>
    <w:rsid w:val="00855FA6"/>
    <w:rsid w:val="008567C6"/>
    <w:rsid w:val="008613EC"/>
    <w:rsid w:val="00865DB0"/>
    <w:rsid w:val="008660B0"/>
    <w:rsid w:val="00872FFE"/>
    <w:rsid w:val="0087370F"/>
    <w:rsid w:val="008752E3"/>
    <w:rsid w:val="00875948"/>
    <w:rsid w:val="008768D0"/>
    <w:rsid w:val="00880091"/>
    <w:rsid w:val="00884350"/>
    <w:rsid w:val="0088676B"/>
    <w:rsid w:val="008870A7"/>
    <w:rsid w:val="00887657"/>
    <w:rsid w:val="008912EF"/>
    <w:rsid w:val="008915F4"/>
    <w:rsid w:val="0089288B"/>
    <w:rsid w:val="00893A69"/>
    <w:rsid w:val="008978A9"/>
    <w:rsid w:val="008A1098"/>
    <w:rsid w:val="008A6D60"/>
    <w:rsid w:val="008B0A5F"/>
    <w:rsid w:val="008B158E"/>
    <w:rsid w:val="008B440D"/>
    <w:rsid w:val="008B7096"/>
    <w:rsid w:val="008B7306"/>
    <w:rsid w:val="008C12AE"/>
    <w:rsid w:val="008C1E92"/>
    <w:rsid w:val="008C4584"/>
    <w:rsid w:val="008C572A"/>
    <w:rsid w:val="008C68F7"/>
    <w:rsid w:val="008C7F7E"/>
    <w:rsid w:val="008D15A7"/>
    <w:rsid w:val="008E02F8"/>
    <w:rsid w:val="008E1796"/>
    <w:rsid w:val="008E6212"/>
    <w:rsid w:val="008E7351"/>
    <w:rsid w:val="008F132B"/>
    <w:rsid w:val="008F31C9"/>
    <w:rsid w:val="008F343C"/>
    <w:rsid w:val="008F4F08"/>
    <w:rsid w:val="008F5D20"/>
    <w:rsid w:val="008F798C"/>
    <w:rsid w:val="008F7F74"/>
    <w:rsid w:val="00901B9D"/>
    <w:rsid w:val="00901F10"/>
    <w:rsid w:val="00903B93"/>
    <w:rsid w:val="00911C58"/>
    <w:rsid w:val="0091207F"/>
    <w:rsid w:val="0091597E"/>
    <w:rsid w:val="00916023"/>
    <w:rsid w:val="0091624B"/>
    <w:rsid w:val="00917B2A"/>
    <w:rsid w:val="00920488"/>
    <w:rsid w:val="009212A2"/>
    <w:rsid w:val="0093333C"/>
    <w:rsid w:val="009340F6"/>
    <w:rsid w:val="00936808"/>
    <w:rsid w:val="009368A8"/>
    <w:rsid w:val="0094031C"/>
    <w:rsid w:val="00941208"/>
    <w:rsid w:val="0094363E"/>
    <w:rsid w:val="00943B90"/>
    <w:rsid w:val="00944B4D"/>
    <w:rsid w:val="009459A8"/>
    <w:rsid w:val="009538FF"/>
    <w:rsid w:val="00953E73"/>
    <w:rsid w:val="009547F7"/>
    <w:rsid w:val="00955FD0"/>
    <w:rsid w:val="00957239"/>
    <w:rsid w:val="00957852"/>
    <w:rsid w:val="009639AB"/>
    <w:rsid w:val="00966B67"/>
    <w:rsid w:val="009701DA"/>
    <w:rsid w:val="00970EF7"/>
    <w:rsid w:val="00972058"/>
    <w:rsid w:val="009733E8"/>
    <w:rsid w:val="0097619F"/>
    <w:rsid w:val="00976268"/>
    <w:rsid w:val="00976798"/>
    <w:rsid w:val="00976A27"/>
    <w:rsid w:val="00976BA2"/>
    <w:rsid w:val="00977327"/>
    <w:rsid w:val="009817CE"/>
    <w:rsid w:val="00981E23"/>
    <w:rsid w:val="00981E3C"/>
    <w:rsid w:val="00983A4F"/>
    <w:rsid w:val="00984164"/>
    <w:rsid w:val="0098579C"/>
    <w:rsid w:val="00986969"/>
    <w:rsid w:val="0098798F"/>
    <w:rsid w:val="00987B05"/>
    <w:rsid w:val="00990AB5"/>
    <w:rsid w:val="00991702"/>
    <w:rsid w:val="0099180D"/>
    <w:rsid w:val="00993500"/>
    <w:rsid w:val="009935D5"/>
    <w:rsid w:val="00996165"/>
    <w:rsid w:val="009A1078"/>
    <w:rsid w:val="009A111E"/>
    <w:rsid w:val="009A508A"/>
    <w:rsid w:val="009A7BB1"/>
    <w:rsid w:val="009A7EC2"/>
    <w:rsid w:val="009B10E0"/>
    <w:rsid w:val="009B3F97"/>
    <w:rsid w:val="009B4111"/>
    <w:rsid w:val="009B4D26"/>
    <w:rsid w:val="009B5494"/>
    <w:rsid w:val="009C0FA4"/>
    <w:rsid w:val="009C14D6"/>
    <w:rsid w:val="009C1649"/>
    <w:rsid w:val="009C1B56"/>
    <w:rsid w:val="009C3B77"/>
    <w:rsid w:val="009C3C4C"/>
    <w:rsid w:val="009C5BA7"/>
    <w:rsid w:val="009C746F"/>
    <w:rsid w:val="009C7844"/>
    <w:rsid w:val="009D09B3"/>
    <w:rsid w:val="009D2228"/>
    <w:rsid w:val="009D2BE9"/>
    <w:rsid w:val="009D3CAA"/>
    <w:rsid w:val="009D4910"/>
    <w:rsid w:val="009D5297"/>
    <w:rsid w:val="009D5690"/>
    <w:rsid w:val="009E113B"/>
    <w:rsid w:val="009E1B53"/>
    <w:rsid w:val="009E3940"/>
    <w:rsid w:val="009E63D3"/>
    <w:rsid w:val="009F07CD"/>
    <w:rsid w:val="009F0B12"/>
    <w:rsid w:val="009F2282"/>
    <w:rsid w:val="009F391C"/>
    <w:rsid w:val="009F4153"/>
    <w:rsid w:val="009F4920"/>
    <w:rsid w:val="009F4B2B"/>
    <w:rsid w:val="00A00BC1"/>
    <w:rsid w:val="00A01FC9"/>
    <w:rsid w:val="00A02455"/>
    <w:rsid w:val="00A05FAA"/>
    <w:rsid w:val="00A06A1D"/>
    <w:rsid w:val="00A0738C"/>
    <w:rsid w:val="00A1017F"/>
    <w:rsid w:val="00A108E9"/>
    <w:rsid w:val="00A1103A"/>
    <w:rsid w:val="00A124A4"/>
    <w:rsid w:val="00A144FD"/>
    <w:rsid w:val="00A170EC"/>
    <w:rsid w:val="00A17BC2"/>
    <w:rsid w:val="00A25371"/>
    <w:rsid w:val="00A27E50"/>
    <w:rsid w:val="00A3638A"/>
    <w:rsid w:val="00A36D7F"/>
    <w:rsid w:val="00A37AD0"/>
    <w:rsid w:val="00A40566"/>
    <w:rsid w:val="00A407C0"/>
    <w:rsid w:val="00A40DF7"/>
    <w:rsid w:val="00A40FDE"/>
    <w:rsid w:val="00A4584B"/>
    <w:rsid w:val="00A47385"/>
    <w:rsid w:val="00A5031E"/>
    <w:rsid w:val="00A5198A"/>
    <w:rsid w:val="00A53EB2"/>
    <w:rsid w:val="00A54012"/>
    <w:rsid w:val="00A57F60"/>
    <w:rsid w:val="00A73495"/>
    <w:rsid w:val="00A75050"/>
    <w:rsid w:val="00A75D93"/>
    <w:rsid w:val="00A771F9"/>
    <w:rsid w:val="00A8279A"/>
    <w:rsid w:val="00A87B19"/>
    <w:rsid w:val="00A90FCA"/>
    <w:rsid w:val="00A914BD"/>
    <w:rsid w:val="00A9171C"/>
    <w:rsid w:val="00A932CE"/>
    <w:rsid w:val="00A9795C"/>
    <w:rsid w:val="00AA065A"/>
    <w:rsid w:val="00AA1993"/>
    <w:rsid w:val="00AA21EA"/>
    <w:rsid w:val="00AA2B24"/>
    <w:rsid w:val="00AA2B54"/>
    <w:rsid w:val="00AA2D1A"/>
    <w:rsid w:val="00AA2DEB"/>
    <w:rsid w:val="00AA49D0"/>
    <w:rsid w:val="00AB2413"/>
    <w:rsid w:val="00AB76A3"/>
    <w:rsid w:val="00AC2422"/>
    <w:rsid w:val="00AC245C"/>
    <w:rsid w:val="00AC56F6"/>
    <w:rsid w:val="00AC6EAC"/>
    <w:rsid w:val="00AC6EF1"/>
    <w:rsid w:val="00AD066A"/>
    <w:rsid w:val="00AD2E4D"/>
    <w:rsid w:val="00AD4195"/>
    <w:rsid w:val="00AD4B82"/>
    <w:rsid w:val="00AE08A4"/>
    <w:rsid w:val="00AE1D12"/>
    <w:rsid w:val="00AE4378"/>
    <w:rsid w:val="00AE5ED7"/>
    <w:rsid w:val="00AE5FA5"/>
    <w:rsid w:val="00AE6C2C"/>
    <w:rsid w:val="00AF165D"/>
    <w:rsid w:val="00AF3A15"/>
    <w:rsid w:val="00AF3CCC"/>
    <w:rsid w:val="00AF5E39"/>
    <w:rsid w:val="00B00D5B"/>
    <w:rsid w:val="00B02316"/>
    <w:rsid w:val="00B033A1"/>
    <w:rsid w:val="00B039EE"/>
    <w:rsid w:val="00B03DB4"/>
    <w:rsid w:val="00B04DEB"/>
    <w:rsid w:val="00B062C2"/>
    <w:rsid w:val="00B06553"/>
    <w:rsid w:val="00B15966"/>
    <w:rsid w:val="00B17AF2"/>
    <w:rsid w:val="00B207EE"/>
    <w:rsid w:val="00B23476"/>
    <w:rsid w:val="00B23F49"/>
    <w:rsid w:val="00B2664F"/>
    <w:rsid w:val="00B27D1B"/>
    <w:rsid w:val="00B32536"/>
    <w:rsid w:val="00B32AAB"/>
    <w:rsid w:val="00B3379A"/>
    <w:rsid w:val="00B33B39"/>
    <w:rsid w:val="00B33D4B"/>
    <w:rsid w:val="00B345AC"/>
    <w:rsid w:val="00B35253"/>
    <w:rsid w:val="00B416B6"/>
    <w:rsid w:val="00B42240"/>
    <w:rsid w:val="00B4619D"/>
    <w:rsid w:val="00B520BB"/>
    <w:rsid w:val="00B56DCB"/>
    <w:rsid w:val="00B61824"/>
    <w:rsid w:val="00B6192E"/>
    <w:rsid w:val="00B646D1"/>
    <w:rsid w:val="00B65869"/>
    <w:rsid w:val="00B70253"/>
    <w:rsid w:val="00B709F5"/>
    <w:rsid w:val="00B712AC"/>
    <w:rsid w:val="00B71EDA"/>
    <w:rsid w:val="00B73461"/>
    <w:rsid w:val="00B774AE"/>
    <w:rsid w:val="00B8188D"/>
    <w:rsid w:val="00B8246B"/>
    <w:rsid w:val="00B87BA2"/>
    <w:rsid w:val="00B90BD0"/>
    <w:rsid w:val="00B913F5"/>
    <w:rsid w:val="00B91E37"/>
    <w:rsid w:val="00B922DC"/>
    <w:rsid w:val="00B9336F"/>
    <w:rsid w:val="00B933BD"/>
    <w:rsid w:val="00B93849"/>
    <w:rsid w:val="00B94838"/>
    <w:rsid w:val="00B9788E"/>
    <w:rsid w:val="00BA1560"/>
    <w:rsid w:val="00BA4322"/>
    <w:rsid w:val="00BA703E"/>
    <w:rsid w:val="00BB242C"/>
    <w:rsid w:val="00BB4D9A"/>
    <w:rsid w:val="00BC1A23"/>
    <w:rsid w:val="00BC212C"/>
    <w:rsid w:val="00BC49B2"/>
    <w:rsid w:val="00BD24BB"/>
    <w:rsid w:val="00BD29B4"/>
    <w:rsid w:val="00BD3D84"/>
    <w:rsid w:val="00BD623C"/>
    <w:rsid w:val="00BD718B"/>
    <w:rsid w:val="00BE0CD4"/>
    <w:rsid w:val="00BE18EE"/>
    <w:rsid w:val="00BE2373"/>
    <w:rsid w:val="00BE2F3F"/>
    <w:rsid w:val="00BE43DD"/>
    <w:rsid w:val="00BE4FF6"/>
    <w:rsid w:val="00BE5DF3"/>
    <w:rsid w:val="00BE5FFD"/>
    <w:rsid w:val="00BE7511"/>
    <w:rsid w:val="00BE7874"/>
    <w:rsid w:val="00BE78D4"/>
    <w:rsid w:val="00BE7FB9"/>
    <w:rsid w:val="00BF2049"/>
    <w:rsid w:val="00BF31EB"/>
    <w:rsid w:val="00BF35B5"/>
    <w:rsid w:val="00BF3DA5"/>
    <w:rsid w:val="00BF3EA0"/>
    <w:rsid w:val="00BF496B"/>
    <w:rsid w:val="00BF50AB"/>
    <w:rsid w:val="00C03458"/>
    <w:rsid w:val="00C03806"/>
    <w:rsid w:val="00C059A2"/>
    <w:rsid w:val="00C12852"/>
    <w:rsid w:val="00C1504E"/>
    <w:rsid w:val="00C21ED7"/>
    <w:rsid w:val="00C22C3A"/>
    <w:rsid w:val="00C22DBF"/>
    <w:rsid w:val="00C2352E"/>
    <w:rsid w:val="00C24454"/>
    <w:rsid w:val="00C2670E"/>
    <w:rsid w:val="00C274F7"/>
    <w:rsid w:val="00C27ABF"/>
    <w:rsid w:val="00C30E5C"/>
    <w:rsid w:val="00C30FBD"/>
    <w:rsid w:val="00C33AF0"/>
    <w:rsid w:val="00C35EBB"/>
    <w:rsid w:val="00C407B3"/>
    <w:rsid w:val="00C40D57"/>
    <w:rsid w:val="00C44834"/>
    <w:rsid w:val="00C44E89"/>
    <w:rsid w:val="00C56915"/>
    <w:rsid w:val="00C56A81"/>
    <w:rsid w:val="00C609C6"/>
    <w:rsid w:val="00C60B89"/>
    <w:rsid w:val="00C61491"/>
    <w:rsid w:val="00C62AFC"/>
    <w:rsid w:val="00C6504D"/>
    <w:rsid w:val="00C67446"/>
    <w:rsid w:val="00C700A0"/>
    <w:rsid w:val="00C70332"/>
    <w:rsid w:val="00C71E52"/>
    <w:rsid w:val="00C73953"/>
    <w:rsid w:val="00C76419"/>
    <w:rsid w:val="00C80707"/>
    <w:rsid w:val="00C825BE"/>
    <w:rsid w:val="00C8283B"/>
    <w:rsid w:val="00C85A57"/>
    <w:rsid w:val="00C8601E"/>
    <w:rsid w:val="00C90CB8"/>
    <w:rsid w:val="00CA00C1"/>
    <w:rsid w:val="00CA1DDA"/>
    <w:rsid w:val="00CA51D5"/>
    <w:rsid w:val="00CB2121"/>
    <w:rsid w:val="00CB590B"/>
    <w:rsid w:val="00CB631D"/>
    <w:rsid w:val="00CB7166"/>
    <w:rsid w:val="00CC1C0E"/>
    <w:rsid w:val="00CC4D08"/>
    <w:rsid w:val="00CC4F63"/>
    <w:rsid w:val="00CD0556"/>
    <w:rsid w:val="00CD1284"/>
    <w:rsid w:val="00CD2F49"/>
    <w:rsid w:val="00CD665A"/>
    <w:rsid w:val="00CE2BB1"/>
    <w:rsid w:val="00CE35C8"/>
    <w:rsid w:val="00CE41A6"/>
    <w:rsid w:val="00CE5706"/>
    <w:rsid w:val="00CE6EBE"/>
    <w:rsid w:val="00CF210C"/>
    <w:rsid w:val="00CF4500"/>
    <w:rsid w:val="00D0028D"/>
    <w:rsid w:val="00D0279A"/>
    <w:rsid w:val="00D03B7C"/>
    <w:rsid w:val="00D10D0B"/>
    <w:rsid w:val="00D113C0"/>
    <w:rsid w:val="00D11B14"/>
    <w:rsid w:val="00D14E5C"/>
    <w:rsid w:val="00D17281"/>
    <w:rsid w:val="00D17B68"/>
    <w:rsid w:val="00D202C5"/>
    <w:rsid w:val="00D25497"/>
    <w:rsid w:val="00D26350"/>
    <w:rsid w:val="00D3147E"/>
    <w:rsid w:val="00D324F0"/>
    <w:rsid w:val="00D42966"/>
    <w:rsid w:val="00D42F9E"/>
    <w:rsid w:val="00D44C63"/>
    <w:rsid w:val="00D47FC1"/>
    <w:rsid w:val="00D60116"/>
    <w:rsid w:val="00D639CC"/>
    <w:rsid w:val="00D701D6"/>
    <w:rsid w:val="00D72078"/>
    <w:rsid w:val="00D7335F"/>
    <w:rsid w:val="00D73490"/>
    <w:rsid w:val="00D743B6"/>
    <w:rsid w:val="00D765CF"/>
    <w:rsid w:val="00D76777"/>
    <w:rsid w:val="00D76786"/>
    <w:rsid w:val="00D80C75"/>
    <w:rsid w:val="00D818F3"/>
    <w:rsid w:val="00D863E0"/>
    <w:rsid w:val="00D86843"/>
    <w:rsid w:val="00D905BE"/>
    <w:rsid w:val="00D91394"/>
    <w:rsid w:val="00D923E9"/>
    <w:rsid w:val="00D92489"/>
    <w:rsid w:val="00D9301E"/>
    <w:rsid w:val="00D93BA4"/>
    <w:rsid w:val="00D94755"/>
    <w:rsid w:val="00D95CC3"/>
    <w:rsid w:val="00DA2A82"/>
    <w:rsid w:val="00DA334D"/>
    <w:rsid w:val="00DA3A76"/>
    <w:rsid w:val="00DA5923"/>
    <w:rsid w:val="00DA6398"/>
    <w:rsid w:val="00DB0CA5"/>
    <w:rsid w:val="00DB6972"/>
    <w:rsid w:val="00DB73B5"/>
    <w:rsid w:val="00DC0E11"/>
    <w:rsid w:val="00DC2B7F"/>
    <w:rsid w:val="00DC5410"/>
    <w:rsid w:val="00DC6DC3"/>
    <w:rsid w:val="00DD0524"/>
    <w:rsid w:val="00DD26B9"/>
    <w:rsid w:val="00DD3E58"/>
    <w:rsid w:val="00DD40D3"/>
    <w:rsid w:val="00DD5003"/>
    <w:rsid w:val="00DD5B16"/>
    <w:rsid w:val="00DD5D0E"/>
    <w:rsid w:val="00DD6C1F"/>
    <w:rsid w:val="00DD6CC8"/>
    <w:rsid w:val="00DE0527"/>
    <w:rsid w:val="00DE2D30"/>
    <w:rsid w:val="00DE35A6"/>
    <w:rsid w:val="00DE3B65"/>
    <w:rsid w:val="00DE5301"/>
    <w:rsid w:val="00DE5C3D"/>
    <w:rsid w:val="00DE5C76"/>
    <w:rsid w:val="00DE7982"/>
    <w:rsid w:val="00DE7C96"/>
    <w:rsid w:val="00DF1085"/>
    <w:rsid w:val="00DF1698"/>
    <w:rsid w:val="00DF3FB5"/>
    <w:rsid w:val="00DF4196"/>
    <w:rsid w:val="00DF475D"/>
    <w:rsid w:val="00DF6203"/>
    <w:rsid w:val="00DF70DE"/>
    <w:rsid w:val="00DF7433"/>
    <w:rsid w:val="00E00F6F"/>
    <w:rsid w:val="00E02365"/>
    <w:rsid w:val="00E06201"/>
    <w:rsid w:val="00E066DF"/>
    <w:rsid w:val="00E07639"/>
    <w:rsid w:val="00E07D00"/>
    <w:rsid w:val="00E10157"/>
    <w:rsid w:val="00E10F50"/>
    <w:rsid w:val="00E1285D"/>
    <w:rsid w:val="00E13604"/>
    <w:rsid w:val="00E175F8"/>
    <w:rsid w:val="00E177B0"/>
    <w:rsid w:val="00E25E4A"/>
    <w:rsid w:val="00E26E88"/>
    <w:rsid w:val="00E30AAE"/>
    <w:rsid w:val="00E31DDD"/>
    <w:rsid w:val="00E325BF"/>
    <w:rsid w:val="00E32AC6"/>
    <w:rsid w:val="00E32C8A"/>
    <w:rsid w:val="00E360F6"/>
    <w:rsid w:val="00E379A3"/>
    <w:rsid w:val="00E403E9"/>
    <w:rsid w:val="00E4246C"/>
    <w:rsid w:val="00E42D13"/>
    <w:rsid w:val="00E4352E"/>
    <w:rsid w:val="00E4477E"/>
    <w:rsid w:val="00E44EEA"/>
    <w:rsid w:val="00E46C1C"/>
    <w:rsid w:val="00E46C22"/>
    <w:rsid w:val="00E47F75"/>
    <w:rsid w:val="00E51F06"/>
    <w:rsid w:val="00E52E2A"/>
    <w:rsid w:val="00E5462D"/>
    <w:rsid w:val="00E54B1C"/>
    <w:rsid w:val="00E55DDB"/>
    <w:rsid w:val="00E575B5"/>
    <w:rsid w:val="00E60337"/>
    <w:rsid w:val="00E61E28"/>
    <w:rsid w:val="00E659B8"/>
    <w:rsid w:val="00E67198"/>
    <w:rsid w:val="00E67A26"/>
    <w:rsid w:val="00E71170"/>
    <w:rsid w:val="00E74111"/>
    <w:rsid w:val="00E76A96"/>
    <w:rsid w:val="00E76BA7"/>
    <w:rsid w:val="00E77D43"/>
    <w:rsid w:val="00E82F88"/>
    <w:rsid w:val="00E87862"/>
    <w:rsid w:val="00E87CC6"/>
    <w:rsid w:val="00E87FC3"/>
    <w:rsid w:val="00E90EA5"/>
    <w:rsid w:val="00E90FF8"/>
    <w:rsid w:val="00E93FF1"/>
    <w:rsid w:val="00E94B3A"/>
    <w:rsid w:val="00E97617"/>
    <w:rsid w:val="00EA0FB0"/>
    <w:rsid w:val="00EA13F0"/>
    <w:rsid w:val="00EA33F6"/>
    <w:rsid w:val="00EA3533"/>
    <w:rsid w:val="00EA40A7"/>
    <w:rsid w:val="00EA4DCC"/>
    <w:rsid w:val="00EA4DD8"/>
    <w:rsid w:val="00EA7B84"/>
    <w:rsid w:val="00EB0DCA"/>
    <w:rsid w:val="00EB1673"/>
    <w:rsid w:val="00EB2075"/>
    <w:rsid w:val="00EB3C16"/>
    <w:rsid w:val="00EB7363"/>
    <w:rsid w:val="00EB770B"/>
    <w:rsid w:val="00EC0E5D"/>
    <w:rsid w:val="00EC1B7C"/>
    <w:rsid w:val="00EC3E4C"/>
    <w:rsid w:val="00EC3EA1"/>
    <w:rsid w:val="00EC3FD7"/>
    <w:rsid w:val="00EC42EF"/>
    <w:rsid w:val="00ED2516"/>
    <w:rsid w:val="00EE023D"/>
    <w:rsid w:val="00EE1A50"/>
    <w:rsid w:val="00EE1C2F"/>
    <w:rsid w:val="00EE25B6"/>
    <w:rsid w:val="00EE316D"/>
    <w:rsid w:val="00EE3171"/>
    <w:rsid w:val="00EE3D14"/>
    <w:rsid w:val="00EE4A61"/>
    <w:rsid w:val="00EE557D"/>
    <w:rsid w:val="00EE5881"/>
    <w:rsid w:val="00EE5D66"/>
    <w:rsid w:val="00EF075B"/>
    <w:rsid w:val="00EF3417"/>
    <w:rsid w:val="00EF4D41"/>
    <w:rsid w:val="00F0014B"/>
    <w:rsid w:val="00F010DA"/>
    <w:rsid w:val="00F02171"/>
    <w:rsid w:val="00F03A12"/>
    <w:rsid w:val="00F04234"/>
    <w:rsid w:val="00F052D7"/>
    <w:rsid w:val="00F05790"/>
    <w:rsid w:val="00F0659A"/>
    <w:rsid w:val="00F075FB"/>
    <w:rsid w:val="00F1046B"/>
    <w:rsid w:val="00F13D43"/>
    <w:rsid w:val="00F1514C"/>
    <w:rsid w:val="00F156BF"/>
    <w:rsid w:val="00F16F82"/>
    <w:rsid w:val="00F17E7A"/>
    <w:rsid w:val="00F20BD4"/>
    <w:rsid w:val="00F22B24"/>
    <w:rsid w:val="00F24133"/>
    <w:rsid w:val="00F24DAC"/>
    <w:rsid w:val="00F258F1"/>
    <w:rsid w:val="00F265BF"/>
    <w:rsid w:val="00F266B1"/>
    <w:rsid w:val="00F31EA9"/>
    <w:rsid w:val="00F327F0"/>
    <w:rsid w:val="00F34CE6"/>
    <w:rsid w:val="00F36ACF"/>
    <w:rsid w:val="00F37FB3"/>
    <w:rsid w:val="00F41D0D"/>
    <w:rsid w:val="00F44C95"/>
    <w:rsid w:val="00F54923"/>
    <w:rsid w:val="00F561ED"/>
    <w:rsid w:val="00F564BF"/>
    <w:rsid w:val="00F567F9"/>
    <w:rsid w:val="00F63B13"/>
    <w:rsid w:val="00F6424D"/>
    <w:rsid w:val="00F65BBF"/>
    <w:rsid w:val="00F70BA1"/>
    <w:rsid w:val="00F74034"/>
    <w:rsid w:val="00F756BA"/>
    <w:rsid w:val="00F80AA9"/>
    <w:rsid w:val="00F8208B"/>
    <w:rsid w:val="00F8269A"/>
    <w:rsid w:val="00F833E8"/>
    <w:rsid w:val="00F84D7C"/>
    <w:rsid w:val="00F860CF"/>
    <w:rsid w:val="00F862E9"/>
    <w:rsid w:val="00F87953"/>
    <w:rsid w:val="00F87C2C"/>
    <w:rsid w:val="00F92B5B"/>
    <w:rsid w:val="00F962D0"/>
    <w:rsid w:val="00FA04BA"/>
    <w:rsid w:val="00FA04C4"/>
    <w:rsid w:val="00FA3C22"/>
    <w:rsid w:val="00FA567A"/>
    <w:rsid w:val="00FB3138"/>
    <w:rsid w:val="00FB7724"/>
    <w:rsid w:val="00FC3A60"/>
    <w:rsid w:val="00FC4DB4"/>
    <w:rsid w:val="00FC6BCA"/>
    <w:rsid w:val="00FC7697"/>
    <w:rsid w:val="00FD103F"/>
    <w:rsid w:val="00FD3F81"/>
    <w:rsid w:val="00FD51B9"/>
    <w:rsid w:val="00FD5997"/>
    <w:rsid w:val="00FD6FE1"/>
    <w:rsid w:val="00FE0337"/>
    <w:rsid w:val="00FE1D13"/>
    <w:rsid w:val="00FE1F6A"/>
    <w:rsid w:val="00FE52D8"/>
    <w:rsid w:val="00FE6881"/>
    <w:rsid w:val="00FE6CF0"/>
    <w:rsid w:val="00FE715B"/>
    <w:rsid w:val="00FF1767"/>
    <w:rsid w:val="00FF1A82"/>
    <w:rsid w:val="00FF2965"/>
    <w:rsid w:val="00FF2F9B"/>
    <w:rsid w:val="00FF456F"/>
    <w:rsid w:val="00FF577F"/>
    <w:rsid w:val="00FF6503"/>
    <w:rsid w:val="01062EEC"/>
    <w:rsid w:val="01633478"/>
    <w:rsid w:val="016B2943"/>
    <w:rsid w:val="01A62A81"/>
    <w:rsid w:val="01A90283"/>
    <w:rsid w:val="01B405D7"/>
    <w:rsid w:val="022C2B1B"/>
    <w:rsid w:val="026631A3"/>
    <w:rsid w:val="02753C8B"/>
    <w:rsid w:val="029E162E"/>
    <w:rsid w:val="02A1111E"/>
    <w:rsid w:val="02C2532C"/>
    <w:rsid w:val="030A66B6"/>
    <w:rsid w:val="031879D2"/>
    <w:rsid w:val="03296B27"/>
    <w:rsid w:val="03B37636"/>
    <w:rsid w:val="03D177E1"/>
    <w:rsid w:val="03E23426"/>
    <w:rsid w:val="03FC6C61"/>
    <w:rsid w:val="04706FFA"/>
    <w:rsid w:val="04A70FB4"/>
    <w:rsid w:val="04B35139"/>
    <w:rsid w:val="04BF716E"/>
    <w:rsid w:val="0515590D"/>
    <w:rsid w:val="055618FA"/>
    <w:rsid w:val="055B3F73"/>
    <w:rsid w:val="056D353A"/>
    <w:rsid w:val="05DE61E6"/>
    <w:rsid w:val="05EA2DDC"/>
    <w:rsid w:val="061F28BB"/>
    <w:rsid w:val="063876A4"/>
    <w:rsid w:val="065D264A"/>
    <w:rsid w:val="06866404"/>
    <w:rsid w:val="06FE6B3F"/>
    <w:rsid w:val="07163C30"/>
    <w:rsid w:val="07321AC2"/>
    <w:rsid w:val="073C1416"/>
    <w:rsid w:val="076A1802"/>
    <w:rsid w:val="0799143E"/>
    <w:rsid w:val="07C67C59"/>
    <w:rsid w:val="0826164A"/>
    <w:rsid w:val="08362309"/>
    <w:rsid w:val="08426486"/>
    <w:rsid w:val="08ED564B"/>
    <w:rsid w:val="09C556F2"/>
    <w:rsid w:val="0A523D07"/>
    <w:rsid w:val="0A6A0048"/>
    <w:rsid w:val="0A8A693C"/>
    <w:rsid w:val="0AC63641"/>
    <w:rsid w:val="0B014068"/>
    <w:rsid w:val="0B533DE6"/>
    <w:rsid w:val="0B646B1E"/>
    <w:rsid w:val="0B6B051B"/>
    <w:rsid w:val="0B9F483B"/>
    <w:rsid w:val="0BD460C1"/>
    <w:rsid w:val="0C28011C"/>
    <w:rsid w:val="0C34550B"/>
    <w:rsid w:val="0C96145B"/>
    <w:rsid w:val="0C98363B"/>
    <w:rsid w:val="0CE720A9"/>
    <w:rsid w:val="0DAC6849"/>
    <w:rsid w:val="0DB37F58"/>
    <w:rsid w:val="0DC5206E"/>
    <w:rsid w:val="0E46633A"/>
    <w:rsid w:val="0E5928AD"/>
    <w:rsid w:val="0E69047E"/>
    <w:rsid w:val="0EB75CDF"/>
    <w:rsid w:val="0ED168E7"/>
    <w:rsid w:val="0F256C33"/>
    <w:rsid w:val="0F4B68FC"/>
    <w:rsid w:val="0F5617E4"/>
    <w:rsid w:val="0FAA0BE0"/>
    <w:rsid w:val="0FC44D35"/>
    <w:rsid w:val="0FE30923"/>
    <w:rsid w:val="0FEE6659"/>
    <w:rsid w:val="0FF94348"/>
    <w:rsid w:val="104355C3"/>
    <w:rsid w:val="106126DE"/>
    <w:rsid w:val="10C05094"/>
    <w:rsid w:val="10D97CD5"/>
    <w:rsid w:val="10E62EEE"/>
    <w:rsid w:val="10E954F8"/>
    <w:rsid w:val="116401BB"/>
    <w:rsid w:val="1169704C"/>
    <w:rsid w:val="116E0626"/>
    <w:rsid w:val="11BD5387"/>
    <w:rsid w:val="11F2013B"/>
    <w:rsid w:val="120617A0"/>
    <w:rsid w:val="127F7101"/>
    <w:rsid w:val="12E53474"/>
    <w:rsid w:val="12EA1DE5"/>
    <w:rsid w:val="12EF46BE"/>
    <w:rsid w:val="12F61533"/>
    <w:rsid w:val="13D055AC"/>
    <w:rsid w:val="140F0787"/>
    <w:rsid w:val="1438553B"/>
    <w:rsid w:val="14402037"/>
    <w:rsid w:val="147F1CE7"/>
    <w:rsid w:val="15223F0E"/>
    <w:rsid w:val="15316332"/>
    <w:rsid w:val="158D4229"/>
    <w:rsid w:val="158D6093"/>
    <w:rsid w:val="1593213A"/>
    <w:rsid w:val="15CE307E"/>
    <w:rsid w:val="1602382A"/>
    <w:rsid w:val="16031D52"/>
    <w:rsid w:val="164C2DD7"/>
    <w:rsid w:val="16642103"/>
    <w:rsid w:val="16B54D41"/>
    <w:rsid w:val="16CE195E"/>
    <w:rsid w:val="16D707AB"/>
    <w:rsid w:val="170702F7"/>
    <w:rsid w:val="171C091C"/>
    <w:rsid w:val="177E5426"/>
    <w:rsid w:val="17D4664A"/>
    <w:rsid w:val="1800023D"/>
    <w:rsid w:val="18277578"/>
    <w:rsid w:val="186C49E2"/>
    <w:rsid w:val="18E11E1D"/>
    <w:rsid w:val="194A79C2"/>
    <w:rsid w:val="196D57DE"/>
    <w:rsid w:val="19887664"/>
    <w:rsid w:val="199209CD"/>
    <w:rsid w:val="199B1FCC"/>
    <w:rsid w:val="19A33251"/>
    <w:rsid w:val="19B13200"/>
    <w:rsid w:val="19C03F3E"/>
    <w:rsid w:val="1A442F96"/>
    <w:rsid w:val="1AA11A4F"/>
    <w:rsid w:val="1AF04495"/>
    <w:rsid w:val="1B0767FF"/>
    <w:rsid w:val="1B366568"/>
    <w:rsid w:val="1B4A39E3"/>
    <w:rsid w:val="1B7B74D4"/>
    <w:rsid w:val="1BC53330"/>
    <w:rsid w:val="1BFC11BA"/>
    <w:rsid w:val="1BFE4A94"/>
    <w:rsid w:val="1C2E5364"/>
    <w:rsid w:val="1C421262"/>
    <w:rsid w:val="1C6D70BC"/>
    <w:rsid w:val="1C782A98"/>
    <w:rsid w:val="1C827473"/>
    <w:rsid w:val="1CB540B7"/>
    <w:rsid w:val="1CF8752D"/>
    <w:rsid w:val="1D061E52"/>
    <w:rsid w:val="1D0F0295"/>
    <w:rsid w:val="1D444F59"/>
    <w:rsid w:val="1D55232A"/>
    <w:rsid w:val="1D6D6363"/>
    <w:rsid w:val="1D9024F2"/>
    <w:rsid w:val="1DB95116"/>
    <w:rsid w:val="1DC615E1"/>
    <w:rsid w:val="1DCD72CE"/>
    <w:rsid w:val="1E505C5E"/>
    <w:rsid w:val="1E672DC4"/>
    <w:rsid w:val="1E7C51A0"/>
    <w:rsid w:val="1E870D71"/>
    <w:rsid w:val="1E917E41"/>
    <w:rsid w:val="1EF35394"/>
    <w:rsid w:val="1F125618"/>
    <w:rsid w:val="1F46151D"/>
    <w:rsid w:val="1F5D5717"/>
    <w:rsid w:val="1F7E450E"/>
    <w:rsid w:val="1F8719FC"/>
    <w:rsid w:val="1F9574BD"/>
    <w:rsid w:val="1FB463CE"/>
    <w:rsid w:val="1FC14756"/>
    <w:rsid w:val="1FEF3071"/>
    <w:rsid w:val="1FF853EE"/>
    <w:rsid w:val="2021760A"/>
    <w:rsid w:val="207C51FC"/>
    <w:rsid w:val="20B00DD9"/>
    <w:rsid w:val="20C04A0E"/>
    <w:rsid w:val="20C55B80"/>
    <w:rsid w:val="20CD59C3"/>
    <w:rsid w:val="20F64336"/>
    <w:rsid w:val="20F776F9"/>
    <w:rsid w:val="2103770F"/>
    <w:rsid w:val="213324B3"/>
    <w:rsid w:val="21912B4C"/>
    <w:rsid w:val="2194441D"/>
    <w:rsid w:val="21974857"/>
    <w:rsid w:val="21A34C73"/>
    <w:rsid w:val="21BD4918"/>
    <w:rsid w:val="21D00C81"/>
    <w:rsid w:val="21D20555"/>
    <w:rsid w:val="21E96E3C"/>
    <w:rsid w:val="21EB2C11"/>
    <w:rsid w:val="21F52495"/>
    <w:rsid w:val="22230513"/>
    <w:rsid w:val="224A3310"/>
    <w:rsid w:val="224B1443"/>
    <w:rsid w:val="22634F28"/>
    <w:rsid w:val="226A3AF7"/>
    <w:rsid w:val="22AF4D3A"/>
    <w:rsid w:val="22C2681B"/>
    <w:rsid w:val="22C61EF5"/>
    <w:rsid w:val="23047F6D"/>
    <w:rsid w:val="234A0F7F"/>
    <w:rsid w:val="2369313B"/>
    <w:rsid w:val="237226F8"/>
    <w:rsid w:val="23CA274F"/>
    <w:rsid w:val="23DC30AE"/>
    <w:rsid w:val="24370F4C"/>
    <w:rsid w:val="249E5222"/>
    <w:rsid w:val="24EF7670"/>
    <w:rsid w:val="24FA1B28"/>
    <w:rsid w:val="250E683D"/>
    <w:rsid w:val="2540454E"/>
    <w:rsid w:val="255A71DF"/>
    <w:rsid w:val="25B15E2E"/>
    <w:rsid w:val="25D54AB7"/>
    <w:rsid w:val="261E7515"/>
    <w:rsid w:val="261F4324"/>
    <w:rsid w:val="26435EC5"/>
    <w:rsid w:val="26AA7CF2"/>
    <w:rsid w:val="26B14BCE"/>
    <w:rsid w:val="26D27249"/>
    <w:rsid w:val="26E50206"/>
    <w:rsid w:val="27513F5B"/>
    <w:rsid w:val="27607F99"/>
    <w:rsid w:val="27846DFD"/>
    <w:rsid w:val="27D7227E"/>
    <w:rsid w:val="281058B5"/>
    <w:rsid w:val="283B3DE3"/>
    <w:rsid w:val="28644F24"/>
    <w:rsid w:val="28650375"/>
    <w:rsid w:val="287700A8"/>
    <w:rsid w:val="28856217"/>
    <w:rsid w:val="28CF2B69"/>
    <w:rsid w:val="28E6207A"/>
    <w:rsid w:val="29322163"/>
    <w:rsid w:val="29514455"/>
    <w:rsid w:val="29C067CE"/>
    <w:rsid w:val="29D04765"/>
    <w:rsid w:val="29DB6414"/>
    <w:rsid w:val="29E96D83"/>
    <w:rsid w:val="2A123AFF"/>
    <w:rsid w:val="2A1F5714"/>
    <w:rsid w:val="2A2B5C09"/>
    <w:rsid w:val="2A621291"/>
    <w:rsid w:val="2A6A7EA4"/>
    <w:rsid w:val="2A8151A4"/>
    <w:rsid w:val="2A8B2B3E"/>
    <w:rsid w:val="2AB43BF3"/>
    <w:rsid w:val="2AB66150"/>
    <w:rsid w:val="2ABC358D"/>
    <w:rsid w:val="2AC670C5"/>
    <w:rsid w:val="2AE3634B"/>
    <w:rsid w:val="2AEC241E"/>
    <w:rsid w:val="2AF76522"/>
    <w:rsid w:val="2AFE06FA"/>
    <w:rsid w:val="2B06377F"/>
    <w:rsid w:val="2B147CB1"/>
    <w:rsid w:val="2BA61A79"/>
    <w:rsid w:val="2BE92BE9"/>
    <w:rsid w:val="2C4B7AF0"/>
    <w:rsid w:val="2CE824FD"/>
    <w:rsid w:val="2D8F0BF7"/>
    <w:rsid w:val="2D933EB8"/>
    <w:rsid w:val="2DA648C9"/>
    <w:rsid w:val="2DBA7833"/>
    <w:rsid w:val="2DFD0F15"/>
    <w:rsid w:val="2E4F055C"/>
    <w:rsid w:val="2E884DBD"/>
    <w:rsid w:val="2EB02384"/>
    <w:rsid w:val="2EF67284"/>
    <w:rsid w:val="2F364819"/>
    <w:rsid w:val="2F4D56BE"/>
    <w:rsid w:val="2F521871"/>
    <w:rsid w:val="2F593AD5"/>
    <w:rsid w:val="2F6C3826"/>
    <w:rsid w:val="2F6F5B46"/>
    <w:rsid w:val="2F735BFE"/>
    <w:rsid w:val="2FB4690E"/>
    <w:rsid w:val="2FE34275"/>
    <w:rsid w:val="30002140"/>
    <w:rsid w:val="30077E63"/>
    <w:rsid w:val="302C28AB"/>
    <w:rsid w:val="30711881"/>
    <w:rsid w:val="30722F95"/>
    <w:rsid w:val="309D02D8"/>
    <w:rsid w:val="30A90681"/>
    <w:rsid w:val="30B31074"/>
    <w:rsid w:val="30BC185C"/>
    <w:rsid w:val="30D047F9"/>
    <w:rsid w:val="30F17AD8"/>
    <w:rsid w:val="30F32296"/>
    <w:rsid w:val="30FC0F41"/>
    <w:rsid w:val="31034860"/>
    <w:rsid w:val="312912D7"/>
    <w:rsid w:val="320C7AB3"/>
    <w:rsid w:val="32765603"/>
    <w:rsid w:val="32864E99"/>
    <w:rsid w:val="32924656"/>
    <w:rsid w:val="32B55A55"/>
    <w:rsid w:val="32C45CAC"/>
    <w:rsid w:val="32F737A6"/>
    <w:rsid w:val="330D357E"/>
    <w:rsid w:val="330D4732"/>
    <w:rsid w:val="334E46C2"/>
    <w:rsid w:val="335313EB"/>
    <w:rsid w:val="335B77EA"/>
    <w:rsid w:val="33795E1D"/>
    <w:rsid w:val="33842B5C"/>
    <w:rsid w:val="33857B1D"/>
    <w:rsid w:val="34341772"/>
    <w:rsid w:val="34486755"/>
    <w:rsid w:val="345117AD"/>
    <w:rsid w:val="34673B91"/>
    <w:rsid w:val="34CB7A56"/>
    <w:rsid w:val="34F52F54"/>
    <w:rsid w:val="351D1761"/>
    <w:rsid w:val="35702107"/>
    <w:rsid w:val="360B4231"/>
    <w:rsid w:val="363B0545"/>
    <w:rsid w:val="36A810FC"/>
    <w:rsid w:val="36CC184F"/>
    <w:rsid w:val="36DC025F"/>
    <w:rsid w:val="3710238D"/>
    <w:rsid w:val="37384839"/>
    <w:rsid w:val="373B7554"/>
    <w:rsid w:val="37511163"/>
    <w:rsid w:val="37591132"/>
    <w:rsid w:val="37702F00"/>
    <w:rsid w:val="37967F5B"/>
    <w:rsid w:val="37A06EAA"/>
    <w:rsid w:val="37B02C8E"/>
    <w:rsid w:val="37DC649C"/>
    <w:rsid w:val="38013DC3"/>
    <w:rsid w:val="380E2C65"/>
    <w:rsid w:val="382A2275"/>
    <w:rsid w:val="38303081"/>
    <w:rsid w:val="384F4255"/>
    <w:rsid w:val="38611B4B"/>
    <w:rsid w:val="38822610"/>
    <w:rsid w:val="38927FD0"/>
    <w:rsid w:val="38B642D4"/>
    <w:rsid w:val="38C5276A"/>
    <w:rsid w:val="39213EF7"/>
    <w:rsid w:val="392C0434"/>
    <w:rsid w:val="394031F2"/>
    <w:rsid w:val="39987A4F"/>
    <w:rsid w:val="39AB76EC"/>
    <w:rsid w:val="39C24EFB"/>
    <w:rsid w:val="39F61D71"/>
    <w:rsid w:val="3A1B49D8"/>
    <w:rsid w:val="3A66043D"/>
    <w:rsid w:val="3A8B5262"/>
    <w:rsid w:val="3B042658"/>
    <w:rsid w:val="3B6356E3"/>
    <w:rsid w:val="3B774F57"/>
    <w:rsid w:val="3BA5489C"/>
    <w:rsid w:val="3BDC1C17"/>
    <w:rsid w:val="3C5C4AD8"/>
    <w:rsid w:val="3C6B7299"/>
    <w:rsid w:val="3C7F3A84"/>
    <w:rsid w:val="3C861206"/>
    <w:rsid w:val="3C863DC1"/>
    <w:rsid w:val="3CEF5F2D"/>
    <w:rsid w:val="3CF95DFB"/>
    <w:rsid w:val="3D441E6E"/>
    <w:rsid w:val="3D5D3ADB"/>
    <w:rsid w:val="3D7306FB"/>
    <w:rsid w:val="3D8B09AC"/>
    <w:rsid w:val="3DAB4624"/>
    <w:rsid w:val="3DFF2049"/>
    <w:rsid w:val="3E645F93"/>
    <w:rsid w:val="3E6F5651"/>
    <w:rsid w:val="3ECB0D87"/>
    <w:rsid w:val="3F0062A9"/>
    <w:rsid w:val="3F2C2EC2"/>
    <w:rsid w:val="3F36571A"/>
    <w:rsid w:val="3F6F3D2C"/>
    <w:rsid w:val="3FDB6D16"/>
    <w:rsid w:val="3FF27007"/>
    <w:rsid w:val="40007E0F"/>
    <w:rsid w:val="402402B4"/>
    <w:rsid w:val="4044432B"/>
    <w:rsid w:val="407041AB"/>
    <w:rsid w:val="4085168F"/>
    <w:rsid w:val="40B97058"/>
    <w:rsid w:val="41150DC3"/>
    <w:rsid w:val="413D3F7F"/>
    <w:rsid w:val="415154E2"/>
    <w:rsid w:val="41546636"/>
    <w:rsid w:val="4171348E"/>
    <w:rsid w:val="41AB3949"/>
    <w:rsid w:val="41BB6E00"/>
    <w:rsid w:val="41E0476B"/>
    <w:rsid w:val="42362E0A"/>
    <w:rsid w:val="427A071E"/>
    <w:rsid w:val="427E2307"/>
    <w:rsid w:val="4283791D"/>
    <w:rsid w:val="42926086"/>
    <w:rsid w:val="429810D6"/>
    <w:rsid w:val="42AB5B86"/>
    <w:rsid w:val="42B75CFA"/>
    <w:rsid w:val="42DC527F"/>
    <w:rsid w:val="43230D4F"/>
    <w:rsid w:val="43601C4C"/>
    <w:rsid w:val="43A45752"/>
    <w:rsid w:val="43CE6E5E"/>
    <w:rsid w:val="43DF447E"/>
    <w:rsid w:val="43E7054E"/>
    <w:rsid w:val="43FE2218"/>
    <w:rsid w:val="44507E3D"/>
    <w:rsid w:val="447F742A"/>
    <w:rsid w:val="453633F7"/>
    <w:rsid w:val="45457962"/>
    <w:rsid w:val="456D21BF"/>
    <w:rsid w:val="457D0F56"/>
    <w:rsid w:val="45DD3C1A"/>
    <w:rsid w:val="45E342F9"/>
    <w:rsid w:val="462F3900"/>
    <w:rsid w:val="4632349B"/>
    <w:rsid w:val="468236C6"/>
    <w:rsid w:val="472846A3"/>
    <w:rsid w:val="47300B76"/>
    <w:rsid w:val="47511FEB"/>
    <w:rsid w:val="47515C79"/>
    <w:rsid w:val="475C698F"/>
    <w:rsid w:val="47AF3B20"/>
    <w:rsid w:val="47D711A6"/>
    <w:rsid w:val="48424EAC"/>
    <w:rsid w:val="485B4E60"/>
    <w:rsid w:val="485C5145"/>
    <w:rsid w:val="485E09ED"/>
    <w:rsid w:val="486A1313"/>
    <w:rsid w:val="48A31586"/>
    <w:rsid w:val="49064E04"/>
    <w:rsid w:val="49396EA3"/>
    <w:rsid w:val="49C56A6D"/>
    <w:rsid w:val="4A4200BE"/>
    <w:rsid w:val="4A5302F4"/>
    <w:rsid w:val="4A5B1180"/>
    <w:rsid w:val="4A616050"/>
    <w:rsid w:val="4AEC6757"/>
    <w:rsid w:val="4B4055AB"/>
    <w:rsid w:val="4B8C2EEE"/>
    <w:rsid w:val="4B8D4635"/>
    <w:rsid w:val="4BAF1BF0"/>
    <w:rsid w:val="4C302000"/>
    <w:rsid w:val="4C8305D1"/>
    <w:rsid w:val="4CA1625A"/>
    <w:rsid w:val="4CA8348C"/>
    <w:rsid w:val="4D147929"/>
    <w:rsid w:val="4D42277A"/>
    <w:rsid w:val="4DA32386"/>
    <w:rsid w:val="4DC7495C"/>
    <w:rsid w:val="4DFE514E"/>
    <w:rsid w:val="4E301DA6"/>
    <w:rsid w:val="4E355370"/>
    <w:rsid w:val="4E805C4A"/>
    <w:rsid w:val="4F254D9C"/>
    <w:rsid w:val="4F346E9F"/>
    <w:rsid w:val="4F3C7129"/>
    <w:rsid w:val="4F8A1DD6"/>
    <w:rsid w:val="4FBB4E02"/>
    <w:rsid w:val="4FED432F"/>
    <w:rsid w:val="503E3B83"/>
    <w:rsid w:val="504047EA"/>
    <w:rsid w:val="504767A8"/>
    <w:rsid w:val="5097353C"/>
    <w:rsid w:val="50EE68AA"/>
    <w:rsid w:val="510149A8"/>
    <w:rsid w:val="511D718F"/>
    <w:rsid w:val="51465A14"/>
    <w:rsid w:val="515511DE"/>
    <w:rsid w:val="5167665C"/>
    <w:rsid w:val="51E11DA9"/>
    <w:rsid w:val="521A3A30"/>
    <w:rsid w:val="52632C58"/>
    <w:rsid w:val="52697E44"/>
    <w:rsid w:val="526A3730"/>
    <w:rsid w:val="5272350A"/>
    <w:rsid w:val="52957D79"/>
    <w:rsid w:val="52E26F86"/>
    <w:rsid w:val="52F572C8"/>
    <w:rsid w:val="53026822"/>
    <w:rsid w:val="536A7413"/>
    <w:rsid w:val="5373420A"/>
    <w:rsid w:val="53E8662E"/>
    <w:rsid w:val="54045A0B"/>
    <w:rsid w:val="544D708E"/>
    <w:rsid w:val="54B371F0"/>
    <w:rsid w:val="54B41A73"/>
    <w:rsid w:val="54EB1352"/>
    <w:rsid w:val="54F71AA5"/>
    <w:rsid w:val="553D4B32"/>
    <w:rsid w:val="55906A09"/>
    <w:rsid w:val="55933AFE"/>
    <w:rsid w:val="56116B96"/>
    <w:rsid w:val="565F4EB3"/>
    <w:rsid w:val="56941CA1"/>
    <w:rsid w:val="569E06F3"/>
    <w:rsid w:val="56A47A0A"/>
    <w:rsid w:val="56EF14EF"/>
    <w:rsid w:val="56F41095"/>
    <w:rsid w:val="571D63ED"/>
    <w:rsid w:val="572823EA"/>
    <w:rsid w:val="573A10DA"/>
    <w:rsid w:val="578A6C00"/>
    <w:rsid w:val="57BB229B"/>
    <w:rsid w:val="57CC7C7A"/>
    <w:rsid w:val="57E50082"/>
    <w:rsid w:val="57EE6E6D"/>
    <w:rsid w:val="58273DE5"/>
    <w:rsid w:val="582C415B"/>
    <w:rsid w:val="58754C8B"/>
    <w:rsid w:val="58963F3F"/>
    <w:rsid w:val="58A81ACA"/>
    <w:rsid w:val="58C844B8"/>
    <w:rsid w:val="590A6504"/>
    <w:rsid w:val="590F4EFE"/>
    <w:rsid w:val="59186C94"/>
    <w:rsid w:val="59295427"/>
    <w:rsid w:val="59D41FA6"/>
    <w:rsid w:val="59DD6528"/>
    <w:rsid w:val="5A080C07"/>
    <w:rsid w:val="5A501622"/>
    <w:rsid w:val="5A9E28C7"/>
    <w:rsid w:val="5AB3646E"/>
    <w:rsid w:val="5B417F1E"/>
    <w:rsid w:val="5BA30291"/>
    <w:rsid w:val="5BB631AD"/>
    <w:rsid w:val="5BDC19F5"/>
    <w:rsid w:val="5C4C7679"/>
    <w:rsid w:val="5D277D4C"/>
    <w:rsid w:val="5D355860"/>
    <w:rsid w:val="5D617D33"/>
    <w:rsid w:val="5D867E6A"/>
    <w:rsid w:val="5DCD3CEB"/>
    <w:rsid w:val="5E040D9D"/>
    <w:rsid w:val="5E1957DF"/>
    <w:rsid w:val="5E27164D"/>
    <w:rsid w:val="5E5D3E4E"/>
    <w:rsid w:val="5E785108"/>
    <w:rsid w:val="5E7F4FE5"/>
    <w:rsid w:val="5EDF32A9"/>
    <w:rsid w:val="5EE237C6"/>
    <w:rsid w:val="5F2142EE"/>
    <w:rsid w:val="5F2B16A2"/>
    <w:rsid w:val="5F450C7B"/>
    <w:rsid w:val="5F480049"/>
    <w:rsid w:val="5F587CED"/>
    <w:rsid w:val="5FEB66AA"/>
    <w:rsid w:val="5FF72C1C"/>
    <w:rsid w:val="603C0837"/>
    <w:rsid w:val="60760191"/>
    <w:rsid w:val="608F1D38"/>
    <w:rsid w:val="61217544"/>
    <w:rsid w:val="61264356"/>
    <w:rsid w:val="612F0794"/>
    <w:rsid w:val="614607EC"/>
    <w:rsid w:val="61484084"/>
    <w:rsid w:val="61630BEE"/>
    <w:rsid w:val="620C169C"/>
    <w:rsid w:val="626005C0"/>
    <w:rsid w:val="62682234"/>
    <w:rsid w:val="628C5761"/>
    <w:rsid w:val="62C762C3"/>
    <w:rsid w:val="62EA0E9B"/>
    <w:rsid w:val="63387E58"/>
    <w:rsid w:val="63431CC1"/>
    <w:rsid w:val="636273C7"/>
    <w:rsid w:val="637D7527"/>
    <w:rsid w:val="63BC2837"/>
    <w:rsid w:val="63BE1795"/>
    <w:rsid w:val="63CC07EF"/>
    <w:rsid w:val="63DA0F0F"/>
    <w:rsid w:val="64885603"/>
    <w:rsid w:val="64901F0C"/>
    <w:rsid w:val="653A73E0"/>
    <w:rsid w:val="65671199"/>
    <w:rsid w:val="657333CA"/>
    <w:rsid w:val="65764C68"/>
    <w:rsid w:val="657C227E"/>
    <w:rsid w:val="65CB4FB3"/>
    <w:rsid w:val="65E81D63"/>
    <w:rsid w:val="661D1218"/>
    <w:rsid w:val="67126642"/>
    <w:rsid w:val="673975A9"/>
    <w:rsid w:val="6772483D"/>
    <w:rsid w:val="678C0773"/>
    <w:rsid w:val="67C359C3"/>
    <w:rsid w:val="67C83729"/>
    <w:rsid w:val="67E54BF0"/>
    <w:rsid w:val="67EA409E"/>
    <w:rsid w:val="67F35BD2"/>
    <w:rsid w:val="685E2BFD"/>
    <w:rsid w:val="685F7C35"/>
    <w:rsid w:val="686447C3"/>
    <w:rsid w:val="689D743B"/>
    <w:rsid w:val="68C312B7"/>
    <w:rsid w:val="690D6FEC"/>
    <w:rsid w:val="693D6031"/>
    <w:rsid w:val="697022D3"/>
    <w:rsid w:val="699672AC"/>
    <w:rsid w:val="6A58258D"/>
    <w:rsid w:val="6A670A9A"/>
    <w:rsid w:val="6A6939FC"/>
    <w:rsid w:val="6A794FDE"/>
    <w:rsid w:val="6AD42215"/>
    <w:rsid w:val="6AFA6A65"/>
    <w:rsid w:val="6B080EB6"/>
    <w:rsid w:val="6B1473B3"/>
    <w:rsid w:val="6B3158B9"/>
    <w:rsid w:val="6B713295"/>
    <w:rsid w:val="6B797016"/>
    <w:rsid w:val="6B7C6988"/>
    <w:rsid w:val="6B89217D"/>
    <w:rsid w:val="6BA603C5"/>
    <w:rsid w:val="6BAC1A93"/>
    <w:rsid w:val="6BBF2EC5"/>
    <w:rsid w:val="6BDD6E30"/>
    <w:rsid w:val="6BE11825"/>
    <w:rsid w:val="6C2E07E7"/>
    <w:rsid w:val="6C444AD6"/>
    <w:rsid w:val="6C593A8D"/>
    <w:rsid w:val="6C5B3AD9"/>
    <w:rsid w:val="6C5B3D08"/>
    <w:rsid w:val="6C5F6DE2"/>
    <w:rsid w:val="6CA16A6E"/>
    <w:rsid w:val="6CA359FC"/>
    <w:rsid w:val="6DA560EA"/>
    <w:rsid w:val="6DF800C1"/>
    <w:rsid w:val="6E26547D"/>
    <w:rsid w:val="6E86047B"/>
    <w:rsid w:val="6E9C2B2B"/>
    <w:rsid w:val="6EBB19FA"/>
    <w:rsid w:val="6ED024F1"/>
    <w:rsid w:val="6F136B3D"/>
    <w:rsid w:val="6F5012F4"/>
    <w:rsid w:val="6F5E3663"/>
    <w:rsid w:val="6F7650B7"/>
    <w:rsid w:val="6F7937E1"/>
    <w:rsid w:val="6FEA70C7"/>
    <w:rsid w:val="70EC04D5"/>
    <w:rsid w:val="70ED0C69"/>
    <w:rsid w:val="70FF5B11"/>
    <w:rsid w:val="712612F0"/>
    <w:rsid w:val="712833A4"/>
    <w:rsid w:val="71342483"/>
    <w:rsid w:val="714424B4"/>
    <w:rsid w:val="714672B4"/>
    <w:rsid w:val="714A3664"/>
    <w:rsid w:val="72582CB9"/>
    <w:rsid w:val="727B7AEB"/>
    <w:rsid w:val="72880220"/>
    <w:rsid w:val="72D306DE"/>
    <w:rsid w:val="72F54365"/>
    <w:rsid w:val="7359395E"/>
    <w:rsid w:val="738F003E"/>
    <w:rsid w:val="73B032ED"/>
    <w:rsid w:val="73B41467"/>
    <w:rsid w:val="73D70739"/>
    <w:rsid w:val="74035927"/>
    <w:rsid w:val="745669EC"/>
    <w:rsid w:val="7472484C"/>
    <w:rsid w:val="747304B8"/>
    <w:rsid w:val="748E78D8"/>
    <w:rsid w:val="74941EE8"/>
    <w:rsid w:val="74B61421"/>
    <w:rsid w:val="74F8408F"/>
    <w:rsid w:val="74FB36BF"/>
    <w:rsid w:val="75104791"/>
    <w:rsid w:val="75131DFC"/>
    <w:rsid w:val="752E10BB"/>
    <w:rsid w:val="758E66E8"/>
    <w:rsid w:val="75C57CFD"/>
    <w:rsid w:val="75E339CB"/>
    <w:rsid w:val="75EF084A"/>
    <w:rsid w:val="76701CB2"/>
    <w:rsid w:val="767C6495"/>
    <w:rsid w:val="76E53975"/>
    <w:rsid w:val="76F51E90"/>
    <w:rsid w:val="76F95572"/>
    <w:rsid w:val="771845F1"/>
    <w:rsid w:val="77497A80"/>
    <w:rsid w:val="774B7D02"/>
    <w:rsid w:val="779C1A1C"/>
    <w:rsid w:val="77A45665"/>
    <w:rsid w:val="77B337DE"/>
    <w:rsid w:val="78165BF2"/>
    <w:rsid w:val="782227CB"/>
    <w:rsid w:val="7825173B"/>
    <w:rsid w:val="78375B0B"/>
    <w:rsid w:val="784E717D"/>
    <w:rsid w:val="78672049"/>
    <w:rsid w:val="786E5C0A"/>
    <w:rsid w:val="78B34DCB"/>
    <w:rsid w:val="78B56DD3"/>
    <w:rsid w:val="78F95039"/>
    <w:rsid w:val="791B4C63"/>
    <w:rsid w:val="79244EF1"/>
    <w:rsid w:val="79A03993"/>
    <w:rsid w:val="79C8388C"/>
    <w:rsid w:val="7A1D04EF"/>
    <w:rsid w:val="7A1D0D98"/>
    <w:rsid w:val="7A2F4E58"/>
    <w:rsid w:val="7A3E58FC"/>
    <w:rsid w:val="7A507E75"/>
    <w:rsid w:val="7AC86946"/>
    <w:rsid w:val="7AD96587"/>
    <w:rsid w:val="7ADE1EAA"/>
    <w:rsid w:val="7AE147EA"/>
    <w:rsid w:val="7AF64429"/>
    <w:rsid w:val="7AF65B4C"/>
    <w:rsid w:val="7B146EC2"/>
    <w:rsid w:val="7B1B6576"/>
    <w:rsid w:val="7B577410"/>
    <w:rsid w:val="7B8B6D83"/>
    <w:rsid w:val="7C1C71D5"/>
    <w:rsid w:val="7CC86BBC"/>
    <w:rsid w:val="7CCB2E87"/>
    <w:rsid w:val="7CF94499"/>
    <w:rsid w:val="7D1660A5"/>
    <w:rsid w:val="7D9A6D34"/>
    <w:rsid w:val="7D9D06AB"/>
    <w:rsid w:val="7DA00FED"/>
    <w:rsid w:val="7DC720AD"/>
    <w:rsid w:val="7DDB70F3"/>
    <w:rsid w:val="7DE75C96"/>
    <w:rsid w:val="7DE80D0D"/>
    <w:rsid w:val="7DF84A30"/>
    <w:rsid w:val="7E05513D"/>
    <w:rsid w:val="7E231759"/>
    <w:rsid w:val="7E377166"/>
    <w:rsid w:val="7E7B3A58"/>
    <w:rsid w:val="7ED6300D"/>
    <w:rsid w:val="7F076C05"/>
    <w:rsid w:val="7F3A756C"/>
    <w:rsid w:val="7F4F235A"/>
    <w:rsid w:val="7F5A79C3"/>
    <w:rsid w:val="7F762711"/>
    <w:rsid w:val="7FCA3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0" w:semiHidden="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name="Body Text Indent 2"/>
    <w:lsdException w:qFormat="1" w:uiPriority="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7"/>
    <w:qFormat/>
    <w:uiPriority w:val="9"/>
    <w:pPr>
      <w:keepNext/>
      <w:keepLines/>
      <w:numPr>
        <w:ilvl w:val="0"/>
        <w:numId w:val="1"/>
      </w:numPr>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58"/>
    <w:qFormat/>
    <w:uiPriority w:val="0"/>
    <w:pPr>
      <w:keepNext/>
      <w:keepLines/>
      <w:numPr>
        <w:ilvl w:val="1"/>
        <w:numId w:val="1"/>
      </w:numPr>
      <w:tabs>
        <w:tab w:val="left" w:pos="1247"/>
      </w:tab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59"/>
    <w:qFormat/>
    <w:uiPriority w:val="9"/>
    <w:pPr>
      <w:keepNext/>
      <w:keepLines/>
      <w:numPr>
        <w:ilvl w:val="2"/>
        <w:numId w:val="1"/>
      </w:numPr>
      <w:tabs>
        <w:tab w:val="left" w:pos="1247"/>
      </w:tab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60"/>
    <w:qFormat/>
    <w:uiPriority w:val="9"/>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61"/>
    <w:qFormat/>
    <w:uiPriority w:val="9"/>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62"/>
    <w:qFormat/>
    <w:uiPriority w:val="9"/>
    <w:pPr>
      <w:keepNext/>
      <w:keepLines/>
      <w:widowControl/>
      <w:spacing w:before="200" w:line="276" w:lineRule="auto"/>
      <w:jc w:val="left"/>
      <w:outlineLvl w:val="5"/>
    </w:pPr>
    <w:rPr>
      <w:rFonts w:ascii="Cambria" w:hAnsi="Cambria" w:eastAsia="Times New Roman" w:cs="Times New Roman"/>
      <w:i/>
      <w:iCs/>
      <w:color w:val="243F60"/>
      <w:kern w:val="0"/>
      <w:sz w:val="20"/>
      <w:lang w:eastAsia="en-US" w:bidi="en-US"/>
    </w:rPr>
  </w:style>
  <w:style w:type="paragraph" w:styleId="8">
    <w:name w:val="heading 7"/>
    <w:basedOn w:val="1"/>
    <w:next w:val="1"/>
    <w:link w:val="63"/>
    <w:qFormat/>
    <w:uiPriority w:val="9"/>
    <w:pPr>
      <w:keepNext/>
      <w:keepLines/>
      <w:widowControl/>
      <w:spacing w:before="200" w:line="276" w:lineRule="auto"/>
      <w:jc w:val="left"/>
      <w:outlineLvl w:val="6"/>
    </w:pPr>
    <w:rPr>
      <w:rFonts w:ascii="Cambria" w:hAnsi="Cambria" w:eastAsia="Times New Roman" w:cs="Times New Roman"/>
      <w:i/>
      <w:iCs/>
      <w:color w:val="404040"/>
      <w:kern w:val="0"/>
      <w:sz w:val="20"/>
      <w:lang w:eastAsia="en-US" w:bidi="en-US"/>
    </w:rPr>
  </w:style>
  <w:style w:type="paragraph" w:styleId="9">
    <w:name w:val="heading 8"/>
    <w:basedOn w:val="1"/>
    <w:next w:val="1"/>
    <w:link w:val="64"/>
    <w:qFormat/>
    <w:uiPriority w:val="9"/>
    <w:pPr>
      <w:keepNext/>
      <w:keepLines/>
      <w:widowControl/>
      <w:spacing w:before="200" w:line="276" w:lineRule="auto"/>
      <w:jc w:val="left"/>
      <w:outlineLvl w:val="7"/>
    </w:pPr>
    <w:rPr>
      <w:rFonts w:ascii="Times New Roman" w:hAnsi="Times New Roman" w:eastAsia="华文楷体" w:cs="Times New Roman"/>
      <w:color w:val="4F81BD"/>
      <w:kern w:val="0"/>
      <w:sz w:val="20"/>
      <w:szCs w:val="20"/>
      <w:lang w:eastAsia="en-US" w:bidi="en-US"/>
    </w:rPr>
  </w:style>
  <w:style w:type="paragraph" w:styleId="10">
    <w:name w:val="heading 9"/>
    <w:basedOn w:val="1"/>
    <w:next w:val="1"/>
    <w:link w:val="65"/>
    <w:qFormat/>
    <w:uiPriority w:val="9"/>
    <w:pPr>
      <w:keepNext/>
      <w:keepLines/>
      <w:widowControl/>
      <w:spacing w:before="200" w:line="276" w:lineRule="auto"/>
      <w:jc w:val="left"/>
      <w:outlineLvl w:val="8"/>
    </w:pPr>
    <w:rPr>
      <w:rFonts w:ascii="Cambria" w:hAnsi="Cambria" w:eastAsia="Times New Roman" w:cs="Times New Roman"/>
      <w:i/>
      <w:iCs/>
      <w:color w:val="404040"/>
      <w:kern w:val="0"/>
      <w:sz w:val="20"/>
      <w:szCs w:val="20"/>
      <w:lang w:eastAsia="en-US" w:bidi="en-US"/>
    </w:rPr>
  </w:style>
  <w:style w:type="character" w:default="1" w:styleId="41">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Calibri" w:hAnsi="Calibri" w:eastAsia="宋体" w:cs="Times New Roman"/>
    </w:rPr>
  </w:style>
  <w:style w:type="paragraph" w:styleId="12">
    <w:name w:val="caption"/>
    <w:basedOn w:val="1"/>
    <w:next w:val="1"/>
    <w:unhideWhenUsed/>
    <w:qFormat/>
    <w:uiPriority w:val="35"/>
    <w:rPr>
      <w:rFonts w:ascii="Cambria" w:hAnsi="Cambria" w:eastAsia="黑体" w:cs="Times New Roman"/>
      <w:sz w:val="20"/>
      <w:szCs w:val="20"/>
    </w:rPr>
  </w:style>
  <w:style w:type="paragraph" w:styleId="13">
    <w:name w:val="Document Map"/>
    <w:basedOn w:val="1"/>
    <w:link w:val="68"/>
    <w:qFormat/>
    <w:uiPriority w:val="99"/>
    <w:pPr>
      <w:shd w:val="clear" w:color="auto" w:fill="000080"/>
    </w:pPr>
    <w:rPr>
      <w:rFonts w:ascii="Times New Roman" w:hAnsi="Times New Roman" w:eastAsia="宋体" w:cs="Times New Roman"/>
      <w:szCs w:val="24"/>
    </w:rPr>
  </w:style>
  <w:style w:type="paragraph" w:styleId="14">
    <w:name w:val="annotation text"/>
    <w:basedOn w:val="1"/>
    <w:link w:val="66"/>
    <w:semiHidden/>
    <w:unhideWhenUsed/>
    <w:qFormat/>
    <w:uiPriority w:val="0"/>
    <w:pPr>
      <w:jc w:val="left"/>
    </w:pPr>
  </w:style>
  <w:style w:type="paragraph" w:styleId="15">
    <w:name w:val="Body Text"/>
    <w:basedOn w:val="1"/>
    <w:link w:val="69"/>
    <w:qFormat/>
    <w:uiPriority w:val="0"/>
    <w:pPr>
      <w:spacing w:after="120" w:line="360" w:lineRule="auto"/>
    </w:pPr>
    <w:rPr>
      <w:rFonts w:ascii="Tahoma" w:hAnsi="Tahoma" w:eastAsia="微软雅黑" w:cs="Times New Roman"/>
      <w:szCs w:val="24"/>
    </w:rPr>
  </w:style>
  <w:style w:type="paragraph" w:styleId="16">
    <w:name w:val="toc 5"/>
    <w:basedOn w:val="1"/>
    <w:next w:val="1"/>
    <w:unhideWhenUsed/>
    <w:qFormat/>
    <w:uiPriority w:val="39"/>
    <w:pPr>
      <w:ind w:left="1680" w:leftChars="800"/>
    </w:pPr>
    <w:rPr>
      <w:rFonts w:ascii="Calibri" w:hAnsi="Calibri" w:eastAsia="宋体" w:cs="Times New Roman"/>
    </w:rPr>
  </w:style>
  <w:style w:type="paragraph" w:styleId="17">
    <w:name w:val="toc 3"/>
    <w:basedOn w:val="1"/>
    <w:next w:val="1"/>
    <w:qFormat/>
    <w:uiPriority w:val="39"/>
    <w:pPr>
      <w:tabs>
        <w:tab w:val="left" w:pos="1680"/>
        <w:tab w:val="right" w:leader="dot" w:pos="8296"/>
      </w:tabs>
      <w:spacing w:line="360" w:lineRule="auto"/>
      <w:ind w:left="840" w:leftChars="400"/>
    </w:pPr>
    <w:rPr>
      <w:rFonts w:ascii="仿宋_GB2312" w:hAnsi="Times New Roman" w:eastAsia="仿宋_GB2312" w:cs="Times New Roman"/>
      <w:sz w:val="24"/>
      <w:szCs w:val="24"/>
    </w:rPr>
  </w:style>
  <w:style w:type="paragraph" w:styleId="18">
    <w:name w:val="toc 8"/>
    <w:basedOn w:val="1"/>
    <w:next w:val="1"/>
    <w:unhideWhenUsed/>
    <w:qFormat/>
    <w:uiPriority w:val="39"/>
    <w:pPr>
      <w:ind w:left="2940" w:leftChars="1400"/>
    </w:pPr>
    <w:rPr>
      <w:rFonts w:ascii="Calibri" w:hAnsi="Calibri" w:eastAsia="宋体" w:cs="Times New Roman"/>
    </w:rPr>
  </w:style>
  <w:style w:type="paragraph" w:styleId="19">
    <w:name w:val="Date"/>
    <w:basedOn w:val="1"/>
    <w:next w:val="1"/>
    <w:link w:val="56"/>
    <w:unhideWhenUsed/>
    <w:qFormat/>
    <w:uiPriority w:val="99"/>
    <w:pPr>
      <w:ind w:left="100" w:leftChars="2500"/>
    </w:pPr>
  </w:style>
  <w:style w:type="paragraph" w:styleId="20">
    <w:name w:val="Body Text Indent 2"/>
    <w:basedOn w:val="1"/>
    <w:link w:val="70"/>
    <w:semiHidden/>
    <w:unhideWhenUsed/>
    <w:qFormat/>
    <w:uiPriority w:val="0"/>
    <w:pPr>
      <w:spacing w:after="120" w:line="480" w:lineRule="auto"/>
      <w:ind w:left="420" w:leftChars="200"/>
    </w:pPr>
    <w:rPr>
      <w:rFonts w:ascii="Times New Roman" w:hAnsi="Times New Roman" w:eastAsia="宋体" w:cs="Times New Roman"/>
      <w:szCs w:val="24"/>
    </w:rPr>
  </w:style>
  <w:style w:type="paragraph" w:styleId="21">
    <w:name w:val="Balloon Text"/>
    <w:basedOn w:val="1"/>
    <w:link w:val="50"/>
    <w:unhideWhenUsed/>
    <w:qFormat/>
    <w:uiPriority w:val="99"/>
    <w:rPr>
      <w:sz w:val="18"/>
      <w:szCs w:val="18"/>
    </w:rPr>
  </w:style>
  <w:style w:type="paragraph" w:styleId="22">
    <w:name w:val="footer"/>
    <w:basedOn w:val="1"/>
    <w:link w:val="49"/>
    <w:unhideWhenUsed/>
    <w:qFormat/>
    <w:uiPriority w:val="99"/>
    <w:pPr>
      <w:tabs>
        <w:tab w:val="center" w:pos="4153"/>
        <w:tab w:val="right" w:pos="8306"/>
      </w:tabs>
      <w:snapToGrid w:val="0"/>
      <w:jc w:val="left"/>
    </w:pPr>
    <w:rPr>
      <w:sz w:val="18"/>
      <w:szCs w:val="18"/>
    </w:rPr>
  </w:style>
  <w:style w:type="paragraph" w:styleId="23">
    <w:name w:val="header"/>
    <w:basedOn w:val="1"/>
    <w:link w:val="48"/>
    <w:unhideWhenUsed/>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right" w:leader="dot" w:pos="8296"/>
      </w:tabs>
    </w:pPr>
    <w:rPr>
      <w:rFonts w:ascii="仿宋_GB2312" w:hAnsi="Times New Roman" w:eastAsia="仿宋_GB2312" w:cs="Times New Roman"/>
      <w:b/>
      <w:sz w:val="24"/>
      <w:szCs w:val="24"/>
    </w:rPr>
  </w:style>
  <w:style w:type="paragraph" w:styleId="25">
    <w:name w:val="toc 4"/>
    <w:basedOn w:val="1"/>
    <w:next w:val="1"/>
    <w:qFormat/>
    <w:uiPriority w:val="39"/>
    <w:pPr>
      <w:ind w:left="1260" w:leftChars="600"/>
    </w:pPr>
    <w:rPr>
      <w:rFonts w:ascii="Times New Roman" w:hAnsi="Times New Roman" w:eastAsia="宋体" w:cs="Times New Roman"/>
      <w:szCs w:val="24"/>
    </w:rPr>
  </w:style>
  <w:style w:type="paragraph" w:styleId="26">
    <w:name w:val="Subtitle"/>
    <w:basedOn w:val="1"/>
    <w:next w:val="1"/>
    <w:link w:val="71"/>
    <w:qFormat/>
    <w:uiPriority w:val="11"/>
    <w:pPr>
      <w:widowControl/>
      <w:spacing w:line="276" w:lineRule="auto"/>
      <w:jc w:val="left"/>
    </w:pPr>
    <w:rPr>
      <w:rFonts w:ascii="Cambria" w:hAnsi="Cambria" w:eastAsia="Times New Roman" w:cs="Times New Roman"/>
      <w:i/>
      <w:iCs/>
      <w:color w:val="4F81BD"/>
      <w:spacing w:val="15"/>
      <w:kern w:val="0"/>
      <w:sz w:val="24"/>
      <w:szCs w:val="24"/>
      <w:lang w:eastAsia="en-US" w:bidi="en-US"/>
    </w:rPr>
  </w:style>
  <w:style w:type="paragraph" w:styleId="27">
    <w:name w:val="toc 6"/>
    <w:basedOn w:val="1"/>
    <w:next w:val="1"/>
    <w:unhideWhenUsed/>
    <w:qFormat/>
    <w:uiPriority w:val="39"/>
    <w:pPr>
      <w:ind w:left="2100" w:leftChars="1000"/>
    </w:pPr>
    <w:rPr>
      <w:rFonts w:ascii="Calibri" w:hAnsi="Calibri" w:eastAsia="宋体" w:cs="Times New Roman"/>
    </w:rPr>
  </w:style>
  <w:style w:type="paragraph" w:styleId="28">
    <w:name w:val="Body Text Indent 3"/>
    <w:basedOn w:val="1"/>
    <w:link w:val="72"/>
    <w:semiHidden/>
    <w:unhideWhenUsed/>
    <w:qFormat/>
    <w:uiPriority w:val="0"/>
    <w:pPr>
      <w:spacing w:after="120"/>
      <w:ind w:left="420" w:leftChars="200"/>
    </w:pPr>
    <w:rPr>
      <w:rFonts w:ascii="Times New Roman" w:hAnsi="Times New Roman" w:eastAsia="宋体" w:cs="Times New Roman"/>
      <w:sz w:val="16"/>
      <w:szCs w:val="16"/>
    </w:rPr>
  </w:style>
  <w:style w:type="paragraph" w:styleId="29">
    <w:name w:val="table of figures"/>
    <w:basedOn w:val="1"/>
    <w:next w:val="1"/>
    <w:unhideWhenUsed/>
    <w:qFormat/>
    <w:uiPriority w:val="0"/>
    <w:pPr>
      <w:ind w:left="200" w:leftChars="200" w:hanging="200" w:hangingChars="200"/>
    </w:pPr>
    <w:rPr>
      <w:rFonts w:ascii="Calibri" w:hAnsi="Calibri" w:eastAsia="宋体" w:cs="Times New Roman"/>
    </w:rPr>
  </w:style>
  <w:style w:type="paragraph" w:styleId="30">
    <w:name w:val="toc 2"/>
    <w:basedOn w:val="1"/>
    <w:next w:val="1"/>
    <w:qFormat/>
    <w:uiPriority w:val="39"/>
    <w:pPr>
      <w:tabs>
        <w:tab w:val="left" w:pos="1260"/>
        <w:tab w:val="right" w:leader="dot" w:pos="8296"/>
      </w:tabs>
      <w:spacing w:line="360" w:lineRule="auto"/>
      <w:ind w:left="420" w:leftChars="200"/>
    </w:pPr>
    <w:rPr>
      <w:rFonts w:ascii="仿宋_GB2312" w:hAnsi="Times New Roman" w:eastAsia="仿宋_GB2312" w:cs="Times New Roman"/>
      <w:b/>
      <w:sz w:val="24"/>
      <w:szCs w:val="24"/>
    </w:rPr>
  </w:style>
  <w:style w:type="paragraph" w:styleId="31">
    <w:name w:val="toc 9"/>
    <w:basedOn w:val="1"/>
    <w:next w:val="1"/>
    <w:unhideWhenUsed/>
    <w:qFormat/>
    <w:uiPriority w:val="39"/>
    <w:pPr>
      <w:ind w:left="3360" w:leftChars="1600"/>
    </w:pPr>
    <w:rPr>
      <w:rFonts w:ascii="Calibri" w:hAnsi="Calibri" w:eastAsia="宋体" w:cs="Times New Roman"/>
    </w:rPr>
  </w:style>
  <w:style w:type="paragraph" w:styleId="32">
    <w:name w:val="Message Header"/>
    <w:basedOn w:val="15"/>
    <w:link w:val="73"/>
    <w:qFormat/>
    <w:uiPriority w:val="0"/>
    <w:pPr>
      <w:keepLines/>
      <w:widowControl/>
      <w:spacing w:line="180" w:lineRule="atLeast"/>
      <w:ind w:left="1555" w:right="835" w:hanging="720"/>
      <w:jc w:val="left"/>
    </w:pPr>
    <w:rPr>
      <w:rFonts w:ascii="Arial" w:hAnsi="Arial" w:eastAsia="华文楷体"/>
      <w:spacing w:val="-5"/>
      <w:kern w:val="0"/>
      <w:sz w:val="20"/>
      <w:szCs w:val="20"/>
      <w:lang w:eastAsia="en-US" w:bidi="en-US"/>
    </w:rPr>
  </w:style>
  <w:style w:type="paragraph" w:styleId="3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34">
    <w:name w:val="index 1"/>
    <w:basedOn w:val="1"/>
    <w:next w:val="1"/>
    <w:qFormat/>
    <w:uiPriority w:val="0"/>
    <w:rPr>
      <w:rFonts w:ascii="Times New Roman" w:hAnsi="Times New Roman" w:eastAsia="宋体" w:cs="Times New Roman"/>
      <w:szCs w:val="24"/>
    </w:rPr>
  </w:style>
  <w:style w:type="paragraph" w:styleId="35">
    <w:name w:val="Title"/>
    <w:basedOn w:val="2"/>
    <w:next w:val="1"/>
    <w:link w:val="74"/>
    <w:qFormat/>
    <w:uiPriority w:val="10"/>
    <w:pPr>
      <w:numPr>
        <w:numId w:val="0"/>
      </w:numPr>
      <w:spacing w:before="240" w:after="0"/>
    </w:pPr>
    <w:rPr>
      <w:rFonts w:ascii="华文中宋" w:hAnsi="华文中宋" w:eastAsia="华文中宋"/>
      <w:sz w:val="30"/>
      <w:szCs w:val="30"/>
    </w:rPr>
  </w:style>
  <w:style w:type="paragraph" w:styleId="36">
    <w:name w:val="annotation subject"/>
    <w:basedOn w:val="14"/>
    <w:next w:val="14"/>
    <w:link w:val="67"/>
    <w:semiHidden/>
    <w:qFormat/>
    <w:uiPriority w:val="0"/>
    <w:rPr>
      <w:rFonts w:ascii="Times New Roman" w:hAnsi="Times New Roman" w:eastAsia="宋体" w:cs="Times New Roman"/>
      <w:b/>
      <w:bCs/>
      <w:szCs w:val="24"/>
    </w:rPr>
  </w:style>
  <w:style w:type="table" w:styleId="38">
    <w:name w:val="Table Grid"/>
    <w:basedOn w:val="3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List"/>
    <w:basedOn w:val="37"/>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0">
    <w:name w:val="Light List Accent 3"/>
    <w:basedOn w:val="37"/>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styleId="42">
    <w:name w:val="Strong"/>
    <w:basedOn w:val="41"/>
    <w:qFormat/>
    <w:uiPriority w:val="0"/>
    <w:rPr>
      <w:b/>
      <w:bCs/>
    </w:rPr>
  </w:style>
  <w:style w:type="character" w:styleId="43">
    <w:name w:val="page number"/>
    <w:basedOn w:val="41"/>
    <w:qFormat/>
    <w:uiPriority w:val="0"/>
  </w:style>
  <w:style w:type="character" w:styleId="44">
    <w:name w:val="FollowedHyperlink"/>
    <w:basedOn w:val="41"/>
    <w:qFormat/>
    <w:uiPriority w:val="0"/>
    <w:rPr>
      <w:color w:val="800080"/>
      <w:u w:val="single"/>
    </w:rPr>
  </w:style>
  <w:style w:type="character" w:styleId="45">
    <w:name w:val="Emphasis"/>
    <w:basedOn w:val="41"/>
    <w:qFormat/>
    <w:uiPriority w:val="20"/>
    <w:rPr>
      <w:i/>
      <w:iCs/>
    </w:rPr>
  </w:style>
  <w:style w:type="character" w:styleId="46">
    <w:name w:val="Hyperlink"/>
    <w:basedOn w:val="41"/>
    <w:qFormat/>
    <w:uiPriority w:val="99"/>
    <w:rPr>
      <w:color w:val="0000FF"/>
      <w:u w:val="single"/>
    </w:rPr>
  </w:style>
  <w:style w:type="character" w:styleId="47">
    <w:name w:val="annotation reference"/>
    <w:basedOn w:val="41"/>
    <w:semiHidden/>
    <w:qFormat/>
    <w:uiPriority w:val="0"/>
    <w:rPr>
      <w:sz w:val="21"/>
      <w:szCs w:val="21"/>
    </w:rPr>
  </w:style>
  <w:style w:type="character" w:customStyle="1" w:styleId="48">
    <w:name w:val="页眉 字符"/>
    <w:basedOn w:val="41"/>
    <w:link w:val="23"/>
    <w:qFormat/>
    <w:uiPriority w:val="99"/>
    <w:rPr>
      <w:sz w:val="18"/>
      <w:szCs w:val="18"/>
    </w:rPr>
  </w:style>
  <w:style w:type="character" w:customStyle="1" w:styleId="49">
    <w:name w:val="页脚 字符"/>
    <w:basedOn w:val="41"/>
    <w:link w:val="22"/>
    <w:qFormat/>
    <w:uiPriority w:val="99"/>
    <w:rPr>
      <w:sz w:val="18"/>
      <w:szCs w:val="18"/>
    </w:rPr>
  </w:style>
  <w:style w:type="character" w:customStyle="1" w:styleId="50">
    <w:name w:val="批注框文本 字符"/>
    <w:basedOn w:val="41"/>
    <w:link w:val="21"/>
    <w:qFormat/>
    <w:uiPriority w:val="99"/>
    <w:rPr>
      <w:sz w:val="18"/>
      <w:szCs w:val="18"/>
    </w:rPr>
  </w:style>
  <w:style w:type="paragraph" w:customStyle="1" w:styleId="51">
    <w:name w:val="报告正文"/>
    <w:basedOn w:val="1"/>
    <w:link w:val="52"/>
    <w:qFormat/>
    <w:uiPriority w:val="0"/>
    <w:pPr>
      <w:spacing w:line="360" w:lineRule="auto"/>
      <w:ind w:firstLine="200" w:firstLineChars="200"/>
    </w:pPr>
    <w:rPr>
      <w:rFonts w:ascii="Times New Roman" w:hAnsi="Times New Roman" w:eastAsia="仿宋_GB2312" w:cs="Times New Roman"/>
      <w:sz w:val="28"/>
    </w:rPr>
  </w:style>
  <w:style w:type="character" w:customStyle="1" w:styleId="52">
    <w:name w:val="报告正文 Char"/>
    <w:basedOn w:val="41"/>
    <w:link w:val="51"/>
    <w:qFormat/>
    <w:uiPriority w:val="0"/>
    <w:rPr>
      <w:rFonts w:ascii="Times New Roman" w:hAnsi="Times New Roman" w:eastAsia="仿宋_GB2312" w:cs="Times New Roman"/>
      <w:sz w:val="28"/>
    </w:rPr>
  </w:style>
  <w:style w:type="paragraph" w:styleId="53">
    <w:name w:val="List Paragraph"/>
    <w:basedOn w:val="1"/>
    <w:qFormat/>
    <w:uiPriority w:val="34"/>
    <w:pPr>
      <w:ind w:firstLine="420" w:firstLineChars="200"/>
    </w:pPr>
  </w:style>
  <w:style w:type="paragraph" w:customStyle="1" w:styleId="54">
    <w:name w:val="图标题"/>
    <w:basedOn w:val="1"/>
    <w:next w:val="51"/>
    <w:link w:val="55"/>
    <w:qFormat/>
    <w:uiPriority w:val="0"/>
    <w:pPr>
      <w:spacing w:after="50" w:afterLines="50"/>
      <w:jc w:val="center"/>
    </w:pPr>
    <w:rPr>
      <w:rFonts w:ascii="Times New Roman" w:hAnsi="Times New Roman" w:eastAsia="仿宋_GB2312" w:cs="Times New Roman"/>
      <w:b/>
      <w:kern w:val="0"/>
      <w:sz w:val="24"/>
    </w:rPr>
  </w:style>
  <w:style w:type="character" w:customStyle="1" w:styleId="55">
    <w:name w:val="图标题 Char"/>
    <w:basedOn w:val="41"/>
    <w:link w:val="54"/>
    <w:qFormat/>
    <w:uiPriority w:val="0"/>
    <w:rPr>
      <w:rFonts w:ascii="Times New Roman" w:hAnsi="Times New Roman" w:eastAsia="仿宋_GB2312" w:cs="Times New Roman"/>
      <w:b/>
      <w:kern w:val="0"/>
      <w:sz w:val="24"/>
    </w:rPr>
  </w:style>
  <w:style w:type="character" w:customStyle="1" w:styleId="56">
    <w:name w:val="日期 字符"/>
    <w:basedOn w:val="41"/>
    <w:link w:val="19"/>
    <w:qFormat/>
    <w:uiPriority w:val="99"/>
  </w:style>
  <w:style w:type="character" w:customStyle="1" w:styleId="57">
    <w:name w:val="标题 1 字符"/>
    <w:basedOn w:val="41"/>
    <w:link w:val="2"/>
    <w:qFormat/>
    <w:uiPriority w:val="9"/>
    <w:rPr>
      <w:rFonts w:ascii="Times New Roman" w:hAnsi="Times New Roman" w:eastAsia="宋体" w:cs="Times New Roman"/>
      <w:b/>
      <w:bCs/>
      <w:kern w:val="44"/>
      <w:sz w:val="44"/>
      <w:szCs w:val="44"/>
    </w:rPr>
  </w:style>
  <w:style w:type="character" w:customStyle="1" w:styleId="58">
    <w:name w:val="标题 2 字符"/>
    <w:basedOn w:val="41"/>
    <w:link w:val="3"/>
    <w:qFormat/>
    <w:uiPriority w:val="0"/>
    <w:rPr>
      <w:rFonts w:ascii="Arial" w:hAnsi="Arial" w:eastAsia="黑体" w:cs="Times New Roman"/>
      <w:b/>
      <w:bCs/>
      <w:sz w:val="32"/>
      <w:szCs w:val="32"/>
    </w:rPr>
  </w:style>
  <w:style w:type="character" w:customStyle="1" w:styleId="59">
    <w:name w:val="标题 3 字符"/>
    <w:basedOn w:val="41"/>
    <w:link w:val="4"/>
    <w:qFormat/>
    <w:uiPriority w:val="9"/>
    <w:rPr>
      <w:rFonts w:ascii="Times New Roman" w:hAnsi="Times New Roman" w:eastAsia="宋体" w:cs="Times New Roman"/>
      <w:b/>
      <w:bCs/>
      <w:sz w:val="32"/>
      <w:szCs w:val="32"/>
    </w:rPr>
  </w:style>
  <w:style w:type="character" w:customStyle="1" w:styleId="60">
    <w:name w:val="标题 4 字符"/>
    <w:basedOn w:val="41"/>
    <w:link w:val="5"/>
    <w:qFormat/>
    <w:uiPriority w:val="9"/>
    <w:rPr>
      <w:rFonts w:ascii="Arial" w:hAnsi="Arial" w:eastAsia="黑体" w:cs="Times New Roman"/>
      <w:b/>
      <w:bCs/>
      <w:sz w:val="28"/>
      <w:szCs w:val="28"/>
    </w:rPr>
  </w:style>
  <w:style w:type="character" w:customStyle="1" w:styleId="61">
    <w:name w:val="标题 5 字符"/>
    <w:basedOn w:val="41"/>
    <w:link w:val="6"/>
    <w:qFormat/>
    <w:uiPriority w:val="9"/>
    <w:rPr>
      <w:rFonts w:ascii="Times New Roman" w:hAnsi="Times New Roman" w:eastAsia="宋体" w:cs="Times New Roman"/>
      <w:b/>
      <w:bCs/>
      <w:sz w:val="28"/>
      <w:szCs w:val="28"/>
    </w:rPr>
  </w:style>
  <w:style w:type="character" w:customStyle="1" w:styleId="62">
    <w:name w:val="标题 6 字符"/>
    <w:basedOn w:val="41"/>
    <w:link w:val="7"/>
    <w:qFormat/>
    <w:uiPriority w:val="9"/>
    <w:rPr>
      <w:rFonts w:ascii="Cambria" w:hAnsi="Cambria" w:eastAsia="Times New Roman" w:cs="Times New Roman"/>
      <w:i/>
      <w:iCs/>
      <w:color w:val="243F60"/>
      <w:kern w:val="0"/>
      <w:sz w:val="20"/>
      <w:lang w:eastAsia="en-US" w:bidi="en-US"/>
    </w:rPr>
  </w:style>
  <w:style w:type="character" w:customStyle="1" w:styleId="63">
    <w:name w:val="标题 7 字符"/>
    <w:basedOn w:val="41"/>
    <w:link w:val="8"/>
    <w:qFormat/>
    <w:uiPriority w:val="9"/>
    <w:rPr>
      <w:rFonts w:ascii="Cambria" w:hAnsi="Cambria" w:eastAsia="Times New Roman" w:cs="Times New Roman"/>
      <w:i/>
      <w:iCs/>
      <w:color w:val="404040"/>
      <w:kern w:val="0"/>
      <w:sz w:val="20"/>
      <w:lang w:eastAsia="en-US" w:bidi="en-US"/>
    </w:rPr>
  </w:style>
  <w:style w:type="character" w:customStyle="1" w:styleId="64">
    <w:name w:val="标题 8 字符"/>
    <w:basedOn w:val="41"/>
    <w:link w:val="9"/>
    <w:qFormat/>
    <w:uiPriority w:val="9"/>
    <w:rPr>
      <w:rFonts w:ascii="Times New Roman" w:hAnsi="Times New Roman" w:eastAsia="华文楷体" w:cs="Times New Roman"/>
      <w:color w:val="4F81BD"/>
      <w:kern w:val="0"/>
      <w:sz w:val="20"/>
      <w:szCs w:val="20"/>
      <w:lang w:eastAsia="en-US" w:bidi="en-US"/>
    </w:rPr>
  </w:style>
  <w:style w:type="character" w:customStyle="1" w:styleId="65">
    <w:name w:val="标题 9 字符"/>
    <w:basedOn w:val="41"/>
    <w:link w:val="10"/>
    <w:qFormat/>
    <w:uiPriority w:val="9"/>
    <w:rPr>
      <w:rFonts w:ascii="Cambria" w:hAnsi="Cambria" w:eastAsia="Times New Roman" w:cs="Times New Roman"/>
      <w:i/>
      <w:iCs/>
      <w:color w:val="404040"/>
      <w:kern w:val="0"/>
      <w:sz w:val="20"/>
      <w:szCs w:val="20"/>
      <w:lang w:eastAsia="en-US" w:bidi="en-US"/>
    </w:rPr>
  </w:style>
  <w:style w:type="character" w:customStyle="1" w:styleId="66">
    <w:name w:val="批注文字 字符"/>
    <w:basedOn w:val="41"/>
    <w:link w:val="14"/>
    <w:semiHidden/>
    <w:qFormat/>
    <w:uiPriority w:val="0"/>
  </w:style>
  <w:style w:type="character" w:customStyle="1" w:styleId="67">
    <w:name w:val="批注主题 字符"/>
    <w:basedOn w:val="66"/>
    <w:link w:val="36"/>
    <w:semiHidden/>
    <w:qFormat/>
    <w:uiPriority w:val="0"/>
    <w:rPr>
      <w:rFonts w:ascii="Times New Roman" w:hAnsi="Times New Roman" w:eastAsia="宋体" w:cs="Times New Roman"/>
      <w:b/>
      <w:bCs/>
      <w:szCs w:val="24"/>
    </w:rPr>
  </w:style>
  <w:style w:type="character" w:customStyle="1" w:styleId="68">
    <w:name w:val="文档结构图 字符"/>
    <w:basedOn w:val="41"/>
    <w:link w:val="13"/>
    <w:uiPriority w:val="99"/>
    <w:rPr>
      <w:rFonts w:ascii="Times New Roman" w:hAnsi="Times New Roman" w:eastAsia="宋体" w:cs="Times New Roman"/>
      <w:szCs w:val="24"/>
      <w:shd w:val="clear" w:color="auto" w:fill="000080"/>
    </w:rPr>
  </w:style>
  <w:style w:type="character" w:customStyle="1" w:styleId="69">
    <w:name w:val="正文文本 字符"/>
    <w:basedOn w:val="41"/>
    <w:link w:val="15"/>
    <w:qFormat/>
    <w:uiPriority w:val="0"/>
    <w:rPr>
      <w:rFonts w:ascii="Tahoma" w:hAnsi="Tahoma" w:eastAsia="微软雅黑" w:cs="Times New Roman"/>
      <w:szCs w:val="24"/>
    </w:rPr>
  </w:style>
  <w:style w:type="character" w:customStyle="1" w:styleId="70">
    <w:name w:val="正文文本缩进 2 字符"/>
    <w:basedOn w:val="41"/>
    <w:link w:val="20"/>
    <w:semiHidden/>
    <w:qFormat/>
    <w:uiPriority w:val="0"/>
    <w:rPr>
      <w:rFonts w:ascii="Times New Roman" w:hAnsi="Times New Roman" w:eastAsia="宋体" w:cs="Times New Roman"/>
      <w:szCs w:val="24"/>
    </w:rPr>
  </w:style>
  <w:style w:type="character" w:customStyle="1" w:styleId="71">
    <w:name w:val="副标题 字符"/>
    <w:basedOn w:val="41"/>
    <w:link w:val="26"/>
    <w:qFormat/>
    <w:uiPriority w:val="11"/>
    <w:rPr>
      <w:rFonts w:ascii="Cambria" w:hAnsi="Cambria" w:eastAsia="Times New Roman" w:cs="Times New Roman"/>
      <w:i/>
      <w:iCs/>
      <w:color w:val="4F81BD"/>
      <w:spacing w:val="15"/>
      <w:kern w:val="0"/>
      <w:sz w:val="24"/>
      <w:szCs w:val="24"/>
      <w:lang w:eastAsia="en-US" w:bidi="en-US"/>
    </w:rPr>
  </w:style>
  <w:style w:type="character" w:customStyle="1" w:styleId="72">
    <w:name w:val="正文文本缩进 3 字符"/>
    <w:basedOn w:val="41"/>
    <w:link w:val="28"/>
    <w:semiHidden/>
    <w:qFormat/>
    <w:uiPriority w:val="0"/>
    <w:rPr>
      <w:rFonts w:ascii="Times New Roman" w:hAnsi="Times New Roman" w:eastAsia="宋体" w:cs="Times New Roman"/>
      <w:sz w:val="16"/>
      <w:szCs w:val="16"/>
    </w:rPr>
  </w:style>
  <w:style w:type="character" w:customStyle="1" w:styleId="73">
    <w:name w:val="信息标题 字符"/>
    <w:basedOn w:val="41"/>
    <w:link w:val="32"/>
    <w:qFormat/>
    <w:uiPriority w:val="0"/>
    <w:rPr>
      <w:rFonts w:ascii="Arial" w:hAnsi="Arial" w:eastAsia="华文楷体" w:cs="Times New Roman"/>
      <w:spacing w:val="-5"/>
      <w:kern w:val="0"/>
      <w:sz w:val="20"/>
      <w:szCs w:val="20"/>
      <w:lang w:eastAsia="en-US" w:bidi="en-US"/>
    </w:rPr>
  </w:style>
  <w:style w:type="character" w:customStyle="1" w:styleId="74">
    <w:name w:val="标题 字符"/>
    <w:basedOn w:val="41"/>
    <w:link w:val="35"/>
    <w:qFormat/>
    <w:uiPriority w:val="10"/>
    <w:rPr>
      <w:rFonts w:ascii="华文中宋" w:hAnsi="华文中宋" w:eastAsia="华文中宋" w:cs="Times New Roman"/>
      <w:b/>
      <w:bCs/>
      <w:kern w:val="44"/>
      <w:sz w:val="30"/>
      <w:szCs w:val="30"/>
    </w:rPr>
  </w:style>
  <w:style w:type="paragraph" w:customStyle="1" w:styleId="75">
    <w:name w:val="Char"/>
    <w:basedOn w:val="1"/>
    <w:qFormat/>
    <w:uiPriority w:val="0"/>
    <w:rPr>
      <w:rFonts w:ascii="Tahoma" w:hAnsi="Tahoma" w:eastAsia="宋体" w:cs="Times New Roman"/>
      <w:sz w:val="24"/>
      <w:szCs w:val="20"/>
    </w:rPr>
  </w:style>
  <w:style w:type="paragraph" w:customStyle="1" w:styleId="76">
    <w:name w:val="Char Char Char Char"/>
    <w:basedOn w:val="1"/>
    <w:qFormat/>
    <w:uiPriority w:val="0"/>
    <w:pPr>
      <w:spacing w:line="240" w:lineRule="atLeast"/>
      <w:ind w:left="420" w:firstLine="420"/>
    </w:pPr>
    <w:rPr>
      <w:rFonts w:ascii="Times New Roman" w:hAnsi="Times New Roman" w:eastAsia="宋体" w:cs="Times New Roman"/>
      <w:kern w:val="0"/>
      <w:szCs w:val="21"/>
    </w:rPr>
  </w:style>
  <w:style w:type="paragraph" w:customStyle="1" w:styleId="77">
    <w:name w:val="Char2"/>
    <w:basedOn w:val="1"/>
    <w:qFormat/>
    <w:uiPriority w:val="0"/>
    <w:rPr>
      <w:rFonts w:ascii="Times New Roman" w:hAnsi="Times New Roman" w:eastAsia="宋体" w:cs="Times New Roman"/>
      <w:szCs w:val="20"/>
    </w:rPr>
  </w:style>
  <w:style w:type="paragraph" w:customStyle="1" w:styleId="78">
    <w:name w:val="Char Char Char Char Char2 Char"/>
    <w:basedOn w:val="1"/>
    <w:qFormat/>
    <w:uiPriority w:val="0"/>
    <w:rPr>
      <w:rFonts w:ascii="Tahoma" w:hAnsi="Tahoma" w:eastAsia="宋体" w:cs="Times New Roman"/>
      <w:sz w:val="24"/>
      <w:szCs w:val="20"/>
    </w:rPr>
  </w:style>
  <w:style w:type="paragraph" w:customStyle="1" w:styleId="79">
    <w:name w:val="我的正文"/>
    <w:basedOn w:val="1"/>
    <w:link w:val="120"/>
    <w:uiPriority w:val="0"/>
    <w:pPr>
      <w:spacing w:line="360" w:lineRule="auto"/>
      <w:ind w:firstLine="480" w:firstLineChars="200"/>
      <w:jc w:val="center"/>
    </w:pPr>
    <w:rPr>
      <w:rFonts w:ascii="Times New Roman" w:hAnsi="Times New Roman" w:eastAsia="宋体" w:cs="Times New Roman"/>
      <w:sz w:val="24"/>
      <w:szCs w:val="24"/>
    </w:rPr>
  </w:style>
  <w:style w:type="paragraph" w:customStyle="1" w:styleId="80">
    <w:name w:val="Char1 Char Char Char Char Char Char Char Char Char Char Char Char Char Char Char"/>
    <w:basedOn w:val="5"/>
    <w:qFormat/>
    <w:uiPriority w:val="0"/>
    <w:pPr>
      <w:tabs>
        <w:tab w:val="left" w:pos="992"/>
      </w:tabs>
      <w:spacing w:before="0" w:after="0" w:line="360" w:lineRule="auto"/>
      <w:ind w:left="992" w:hanging="992"/>
    </w:pPr>
    <w:rPr>
      <w:rFonts w:eastAsia="宋体"/>
      <w:sz w:val="24"/>
      <w:szCs w:val="36"/>
    </w:rPr>
  </w:style>
  <w:style w:type="paragraph" w:customStyle="1" w:styleId="81">
    <w:name w:val="列出段落1"/>
    <w:basedOn w:val="1"/>
    <w:link w:val="152"/>
    <w:qFormat/>
    <w:uiPriority w:val="0"/>
    <w:pPr>
      <w:ind w:firstLine="420" w:firstLineChars="200"/>
    </w:pPr>
    <w:rPr>
      <w:rFonts w:ascii="Times New Roman" w:hAnsi="Times New Roman" w:eastAsia="宋体" w:cs="Times New Roman"/>
      <w:szCs w:val="24"/>
    </w:rPr>
  </w:style>
  <w:style w:type="paragraph" w:customStyle="1" w:styleId="82">
    <w:name w:val="标准书脚_奇数页"/>
    <w:qFormat/>
    <w:uiPriority w:val="99"/>
    <w:pPr>
      <w:spacing w:before="120"/>
      <w:jc w:val="right"/>
    </w:pPr>
    <w:rPr>
      <w:rFonts w:ascii="Times New Roman" w:hAnsi="Times New Roman" w:eastAsia="宋体" w:cs="Calibri"/>
      <w:sz w:val="18"/>
      <w:lang w:val="en-US" w:eastAsia="zh-CN" w:bidi="ar-SA"/>
    </w:rPr>
  </w:style>
  <w:style w:type="paragraph" w:customStyle="1" w:styleId="83">
    <w:name w:val="前言、引言标题"/>
    <w:next w:val="1"/>
    <w:qFormat/>
    <w:uiPriority w:val="99"/>
    <w:pPr>
      <w:shd w:val="clear" w:color="FFFFFF" w:fill="FFFFFF"/>
      <w:spacing w:before="640" w:after="560"/>
      <w:jc w:val="center"/>
      <w:outlineLvl w:val="0"/>
    </w:pPr>
    <w:rPr>
      <w:rFonts w:ascii="黑体" w:hAnsi="Times New Roman" w:eastAsia="黑体" w:cs="Calibri"/>
      <w:sz w:val="32"/>
      <w:lang w:val="en-US" w:eastAsia="zh-CN" w:bidi="ar-SA"/>
    </w:rPr>
  </w:style>
  <w:style w:type="paragraph" w:customStyle="1" w:styleId="84">
    <w:name w:val="一级条标题"/>
    <w:next w:val="1"/>
    <w:link w:val="121"/>
    <w:uiPriority w:val="0"/>
    <w:pPr>
      <w:outlineLvl w:val="2"/>
    </w:pPr>
    <w:rPr>
      <w:rFonts w:ascii="Times New Roman" w:hAnsi="Times New Roman" w:eastAsia="黑体" w:cs="Calibri"/>
      <w:sz w:val="21"/>
      <w:lang w:val="en-US" w:eastAsia="zh-CN" w:bidi="ar-SA"/>
    </w:rPr>
  </w:style>
  <w:style w:type="paragraph" w:customStyle="1" w:styleId="85">
    <w:name w:val="二级条标题"/>
    <w:basedOn w:val="84"/>
    <w:next w:val="1"/>
    <w:link w:val="122"/>
    <w:uiPriority w:val="0"/>
    <w:pPr>
      <w:outlineLvl w:val="3"/>
    </w:pPr>
    <w:rPr>
      <w:rFonts w:cs="Times New Roman"/>
    </w:rPr>
  </w:style>
  <w:style w:type="paragraph" w:customStyle="1" w:styleId="86">
    <w:name w:val="*8. General Text"/>
    <w:basedOn w:val="1"/>
    <w:uiPriority w:val="99"/>
    <w:pPr>
      <w:widowControl/>
      <w:overflowPunct w:val="0"/>
      <w:autoSpaceDE w:val="0"/>
      <w:autoSpaceDN w:val="0"/>
      <w:adjustRightInd w:val="0"/>
      <w:spacing w:after="120" w:line="280" w:lineRule="exact"/>
      <w:jc w:val="left"/>
      <w:textAlignment w:val="baseline"/>
    </w:pPr>
    <w:rPr>
      <w:rFonts w:ascii="Garamond" w:hAnsi="Garamond" w:eastAsia="宋体" w:cs="Garamond"/>
      <w:kern w:val="0"/>
      <w:szCs w:val="21"/>
      <w:lang w:eastAsia="en-US"/>
    </w:rPr>
  </w:style>
  <w:style w:type="paragraph" w:customStyle="1" w:styleId="87">
    <w:name w:val="国网标准正文"/>
    <w:basedOn w:val="1"/>
    <w:link w:val="124"/>
    <w:qFormat/>
    <w:uiPriority w:val="0"/>
    <w:pPr>
      <w:tabs>
        <w:tab w:val="left" w:pos="2700"/>
      </w:tabs>
      <w:overflowPunct w:val="0"/>
      <w:topLinePunct/>
      <w:snapToGrid w:val="0"/>
      <w:spacing w:line="312" w:lineRule="exact"/>
      <w:ind w:firstLine="420" w:firstLineChars="200"/>
    </w:pPr>
    <w:rPr>
      <w:rFonts w:ascii="宋体" w:hAnsi="宋体" w:eastAsia="宋体" w:cs="Times New Roman"/>
      <w:szCs w:val="28"/>
    </w:rPr>
  </w:style>
  <w:style w:type="paragraph" w:customStyle="1" w:styleId="88">
    <w:name w:val="zt"/>
    <w:basedOn w:val="1"/>
    <w:link w:val="125"/>
    <w:qFormat/>
    <w:uiPriority w:val="0"/>
    <w:pPr>
      <w:overflowPunct w:val="0"/>
      <w:topLinePunct/>
      <w:snapToGrid w:val="0"/>
      <w:spacing w:line="312" w:lineRule="exact"/>
    </w:pPr>
    <w:rPr>
      <w:rFonts w:ascii="EU-F1" w:hAnsi="Calibri" w:eastAsia="EU-F1" w:cs="Times New Roman"/>
      <w:bCs/>
      <w:szCs w:val="21"/>
    </w:rPr>
  </w:style>
  <w:style w:type="paragraph" w:customStyle="1" w:styleId="89">
    <w:name w:val="Char Char Char Char Char Char Char Char Char"/>
    <w:basedOn w:val="1"/>
    <w:qFormat/>
    <w:uiPriority w:val="0"/>
    <w:pPr>
      <w:widowControl/>
      <w:spacing w:after="160" w:line="240" w:lineRule="exact"/>
      <w:jc w:val="left"/>
    </w:pPr>
    <w:rPr>
      <w:rFonts w:ascii="Verdana" w:hAnsi="Verdana" w:eastAsia="仿宋_GB2312" w:cs="Times New Roman"/>
      <w:kern w:val="0"/>
      <w:sz w:val="24"/>
      <w:szCs w:val="20"/>
      <w:lang w:eastAsia="en-US"/>
    </w:rPr>
  </w:style>
  <w:style w:type="paragraph" w:customStyle="1" w:styleId="90">
    <w:name w:val="段"/>
    <w:link w:val="126"/>
    <w:qFormat/>
    <w:uiPriority w:val="0"/>
    <w:pPr>
      <w:autoSpaceDE w:val="0"/>
      <w:autoSpaceDN w:val="0"/>
      <w:ind w:firstLine="200" w:firstLineChars="200"/>
      <w:jc w:val="both"/>
    </w:pPr>
    <w:rPr>
      <w:rFonts w:ascii="宋体" w:hAnsi="Times New Roman" w:eastAsia="宋体" w:cs="Calibri"/>
      <w:kern w:val="2"/>
      <w:sz w:val="21"/>
      <w:szCs w:val="22"/>
      <w:lang w:val="en-US" w:eastAsia="zh-CN" w:bidi="ar-SA"/>
    </w:rPr>
  </w:style>
  <w:style w:type="paragraph" w:customStyle="1" w:styleId="91">
    <w:name w:val="表标题"/>
    <w:basedOn w:val="51"/>
    <w:link w:val="127"/>
    <w:qFormat/>
    <w:uiPriority w:val="0"/>
    <w:pPr>
      <w:spacing w:beforeLines="50"/>
      <w:ind w:firstLine="0" w:firstLineChars="0"/>
      <w:jc w:val="center"/>
    </w:pPr>
    <w:rPr>
      <w:rFonts w:eastAsia="宋体"/>
      <w:kern w:val="0"/>
      <w:sz w:val="20"/>
      <w:szCs w:val="20"/>
    </w:rPr>
  </w:style>
  <w:style w:type="paragraph" w:customStyle="1" w:styleId="92">
    <w:name w:val="表内容"/>
    <w:basedOn w:val="1"/>
    <w:link w:val="128"/>
    <w:qFormat/>
    <w:uiPriority w:val="0"/>
    <w:rPr>
      <w:rFonts w:ascii="仿宋_GB2312" w:hAnsi="华文中宋" w:eastAsia="仿宋_GB2312" w:cs="Times New Roman"/>
      <w:kern w:val="0"/>
      <w:sz w:val="20"/>
      <w:szCs w:val="24"/>
    </w:rPr>
  </w:style>
  <w:style w:type="paragraph" w:customStyle="1" w:styleId="93">
    <w:name w:val="Char Char Char Char Char Char Char"/>
    <w:basedOn w:val="1"/>
    <w:qFormat/>
    <w:uiPriority w:val="0"/>
    <w:pPr>
      <w:adjustRightInd w:val="0"/>
      <w:spacing w:line="360" w:lineRule="atLeast"/>
      <w:textAlignment w:val="baseline"/>
    </w:pPr>
    <w:rPr>
      <w:rFonts w:ascii="Times New Roman" w:hAnsi="Times New Roman" w:eastAsia="宋体" w:cs="Times New Roman"/>
      <w:szCs w:val="24"/>
    </w:rPr>
  </w:style>
  <w:style w:type="paragraph" w:customStyle="1" w:styleId="94">
    <w:name w:val="无间隔1"/>
    <w:link w:val="147"/>
    <w:qFormat/>
    <w:uiPriority w:val="1"/>
    <w:pPr>
      <w:widowControl w:val="0"/>
      <w:jc w:val="both"/>
    </w:pPr>
    <w:rPr>
      <w:rFonts w:ascii="Calibri" w:hAnsi="Calibri" w:eastAsia="宋体" w:cs="Times New Roman"/>
      <w:kern w:val="2"/>
      <w:sz w:val="21"/>
      <w:szCs w:val="22"/>
      <w:lang w:val="en-US" w:eastAsia="zh-CN" w:bidi="ar-SA"/>
    </w:rPr>
  </w:style>
  <w:style w:type="paragraph" w:customStyle="1" w:styleId="95">
    <w:name w:val="公式"/>
    <w:basedOn w:val="51"/>
    <w:link w:val="129"/>
    <w:qFormat/>
    <w:uiPriority w:val="0"/>
    <w:pPr>
      <w:spacing w:before="60" w:after="60"/>
      <w:ind w:firstLine="0" w:firstLineChars="0"/>
      <w:jc w:val="center"/>
    </w:pPr>
    <w:rPr>
      <w:rFonts w:ascii="仿宋_GB2312"/>
      <w:kern w:val="0"/>
      <w:szCs w:val="24"/>
    </w:rPr>
  </w:style>
  <w:style w:type="paragraph" w:customStyle="1" w:styleId="96">
    <w:name w:val="报告图"/>
    <w:basedOn w:val="51"/>
    <w:next w:val="97"/>
    <w:link w:val="131"/>
    <w:qFormat/>
    <w:uiPriority w:val="0"/>
    <w:pPr>
      <w:spacing w:line="240" w:lineRule="auto"/>
      <w:ind w:firstLine="0" w:firstLineChars="0"/>
      <w:jc w:val="center"/>
    </w:pPr>
    <w:rPr>
      <w:rFonts w:ascii="仿宋_GB2312"/>
      <w:kern w:val="0"/>
      <w:szCs w:val="24"/>
    </w:rPr>
  </w:style>
  <w:style w:type="paragraph" w:customStyle="1" w:styleId="97">
    <w:name w:val="报告图题"/>
    <w:basedOn w:val="1"/>
    <w:link w:val="130"/>
    <w:qFormat/>
    <w:uiPriority w:val="0"/>
    <w:pPr>
      <w:spacing w:afterLines="50"/>
      <w:jc w:val="center"/>
    </w:pPr>
    <w:rPr>
      <w:rFonts w:ascii="Times New Roman" w:hAnsi="Times New Roman" w:eastAsia="宋体" w:cs="Times New Roman"/>
      <w:kern w:val="0"/>
      <w:sz w:val="20"/>
      <w:szCs w:val="21"/>
    </w:rPr>
  </w:style>
  <w:style w:type="paragraph" w:customStyle="1" w:styleId="98">
    <w:name w:val="参考文献"/>
    <w:basedOn w:val="1"/>
    <w:link w:val="132"/>
    <w:qFormat/>
    <w:uiPriority w:val="0"/>
    <w:pPr>
      <w:spacing w:before="100" w:after="100"/>
      <w:ind w:left="900" w:hanging="420"/>
    </w:pPr>
    <w:rPr>
      <w:rFonts w:ascii="Times New Roman" w:hAnsi="Times New Roman" w:eastAsia="宋体" w:cs="Times New Roman"/>
      <w:kern w:val="0"/>
      <w:sz w:val="20"/>
      <w:szCs w:val="20"/>
    </w:rPr>
  </w:style>
  <w:style w:type="paragraph" w:customStyle="1" w:styleId="99">
    <w:name w:val="样式 标题 3 + 四号"/>
    <w:basedOn w:val="4"/>
    <w:qFormat/>
    <w:uiPriority w:val="0"/>
    <w:pPr>
      <w:numPr>
        <w:numId w:val="0"/>
      </w:numPr>
      <w:spacing w:before="0" w:after="0" w:line="240" w:lineRule="auto"/>
    </w:pPr>
    <w:rPr>
      <w:rFonts w:ascii="仿宋_GB2312" w:eastAsia="华文中宋"/>
      <w:b w:val="0"/>
      <w:bCs w:val="0"/>
      <w:sz w:val="28"/>
      <w:szCs w:val="28"/>
    </w:rPr>
  </w:style>
  <w:style w:type="paragraph" w:customStyle="1" w:styleId="100">
    <w:name w:val="样式 表标题 + 段前: 0.5 行"/>
    <w:basedOn w:val="91"/>
    <w:qFormat/>
    <w:uiPriority w:val="0"/>
    <w:pPr>
      <w:spacing w:before="156"/>
    </w:pPr>
    <w:rPr>
      <w:rFonts w:eastAsia="华文中宋" w:cs="宋体"/>
    </w:rPr>
  </w:style>
  <w:style w:type="paragraph" w:customStyle="1" w:styleId="101">
    <w:name w:val="样式 报告图题 + 段后: 0.5 行"/>
    <w:basedOn w:val="97"/>
    <w:qFormat/>
    <w:uiPriority w:val="0"/>
  </w:style>
  <w:style w:type="paragraph" w:customStyle="1" w:styleId="102">
    <w:name w:val="TOC 标题1"/>
    <w:basedOn w:val="2"/>
    <w:next w:val="1"/>
    <w:semiHidden/>
    <w:unhideWhenUsed/>
    <w:qFormat/>
    <w:uiPriority w:val="39"/>
    <w:pPr>
      <w:widowControl/>
      <w:numPr>
        <w:numId w:val="0"/>
      </w:numPr>
      <w:spacing w:before="480" w:after="0" w:line="276" w:lineRule="auto"/>
      <w:jc w:val="left"/>
      <w:outlineLvl w:val="9"/>
    </w:pPr>
    <w:rPr>
      <w:rFonts w:ascii="Calibri Light" w:hAnsi="Calibri Light"/>
      <w:color w:val="2E74B5"/>
      <w:kern w:val="0"/>
      <w:sz w:val="28"/>
      <w:szCs w:val="28"/>
    </w:rPr>
  </w:style>
  <w:style w:type="paragraph" w:customStyle="1" w:styleId="103">
    <w:name w:val="标题4"/>
    <w:basedOn w:val="4"/>
    <w:link w:val="133"/>
    <w:qFormat/>
    <w:uiPriority w:val="0"/>
    <w:pPr>
      <w:numPr>
        <w:numId w:val="0"/>
      </w:numPr>
      <w:spacing w:before="0" w:after="0" w:line="240" w:lineRule="auto"/>
    </w:pPr>
    <w:rPr>
      <w:rFonts w:ascii="仿宋_GB2312" w:eastAsia="仿宋_GB2312"/>
      <w:b w:val="0"/>
      <w:bCs w:val="0"/>
      <w:sz w:val="28"/>
      <w:szCs w:val="28"/>
    </w:rPr>
  </w:style>
  <w:style w:type="paragraph" w:customStyle="1" w:styleId="104">
    <w:name w:val="列出段落2"/>
    <w:basedOn w:val="1"/>
    <w:qFormat/>
    <w:uiPriority w:val="0"/>
    <w:pPr>
      <w:spacing w:line="360" w:lineRule="auto"/>
      <w:ind w:firstLine="420" w:firstLineChars="200"/>
    </w:pPr>
    <w:rPr>
      <w:rFonts w:ascii="Times New Roman" w:hAnsi="Times New Roman" w:eastAsia="宋体" w:cs="Times New Roman"/>
      <w:szCs w:val="24"/>
    </w:rPr>
  </w:style>
  <w:style w:type="paragraph" w:customStyle="1" w:styleId="105">
    <w:name w:val="列出段落111"/>
    <w:basedOn w:val="1"/>
    <w:qFormat/>
    <w:uiPriority w:val="0"/>
    <w:pPr>
      <w:spacing w:line="360" w:lineRule="auto"/>
      <w:ind w:firstLine="420" w:firstLineChars="200"/>
    </w:pPr>
    <w:rPr>
      <w:rFonts w:ascii="Times New Roman" w:hAnsi="Times New Roman" w:eastAsia="宋体" w:cs="Times New Roman"/>
      <w:szCs w:val="24"/>
    </w:rPr>
  </w:style>
  <w:style w:type="paragraph" w:customStyle="1" w:styleId="106">
    <w:name w:val="列出段落11"/>
    <w:basedOn w:val="1"/>
    <w:qFormat/>
    <w:uiPriority w:val="34"/>
    <w:pPr>
      <w:spacing w:line="360" w:lineRule="auto"/>
      <w:ind w:firstLine="420" w:firstLineChars="200"/>
    </w:pPr>
    <w:rPr>
      <w:rFonts w:ascii="Times New Roman" w:hAnsi="Times New Roman" w:eastAsia="宋体" w:cs="Times New Roman"/>
      <w:szCs w:val="24"/>
    </w:rPr>
  </w:style>
  <w:style w:type="paragraph" w:customStyle="1" w:styleId="107">
    <w:name w:val="Message Header First"/>
    <w:basedOn w:val="32"/>
    <w:next w:val="32"/>
    <w:qFormat/>
    <w:uiPriority w:val="0"/>
    <w:pPr>
      <w:spacing w:before="220"/>
    </w:pPr>
  </w:style>
  <w:style w:type="paragraph" w:customStyle="1" w:styleId="108">
    <w:name w:val="Message Header Last"/>
    <w:basedOn w:val="32"/>
    <w:next w:val="15"/>
    <w:qFormat/>
    <w:uiPriority w:val="0"/>
    <w:pPr>
      <w:pBdr>
        <w:bottom w:val="single" w:color="auto" w:sz="6" w:space="15"/>
      </w:pBdr>
      <w:spacing w:after="320"/>
    </w:pPr>
  </w:style>
  <w:style w:type="paragraph" w:customStyle="1" w:styleId="109">
    <w:name w:val="样式1"/>
    <w:basedOn w:val="29"/>
    <w:qFormat/>
    <w:uiPriority w:val="0"/>
    <w:pPr>
      <w:widowControl/>
      <w:tabs>
        <w:tab w:val="left" w:pos="1152"/>
      </w:tabs>
      <w:spacing w:line="276" w:lineRule="auto"/>
      <w:jc w:val="center"/>
    </w:pPr>
    <w:rPr>
      <w:rFonts w:ascii="宋体" w:hAnsi="宋体" w:eastAsia="华文楷体"/>
      <w:bCs/>
      <w:kern w:val="0"/>
      <w:sz w:val="20"/>
      <w:szCs w:val="20"/>
      <w:lang w:bidi="en-US"/>
    </w:rPr>
  </w:style>
  <w:style w:type="paragraph" w:customStyle="1" w:styleId="110">
    <w:name w:val="无间隔11"/>
    <w:qFormat/>
    <w:uiPriority w:val="1"/>
    <w:rPr>
      <w:rFonts w:ascii="Calibri" w:hAnsi="Calibri" w:eastAsia="宋体" w:cs="Calibri"/>
      <w:sz w:val="22"/>
      <w:szCs w:val="22"/>
      <w:lang w:val="en-US" w:eastAsia="en-US" w:bidi="en-US"/>
    </w:rPr>
  </w:style>
  <w:style w:type="paragraph" w:customStyle="1" w:styleId="111">
    <w:name w:val="引用1"/>
    <w:basedOn w:val="1"/>
    <w:next w:val="1"/>
    <w:link w:val="140"/>
    <w:qFormat/>
    <w:uiPriority w:val="29"/>
    <w:pPr>
      <w:widowControl/>
      <w:spacing w:line="276" w:lineRule="auto"/>
      <w:jc w:val="left"/>
    </w:pPr>
    <w:rPr>
      <w:rFonts w:ascii="Calibri" w:hAnsi="Calibri" w:eastAsia="华文楷体" w:cs="Times New Roman"/>
      <w:i/>
      <w:iCs/>
      <w:color w:val="000000"/>
      <w:kern w:val="0"/>
      <w:sz w:val="20"/>
      <w:lang w:eastAsia="en-US" w:bidi="en-US"/>
    </w:rPr>
  </w:style>
  <w:style w:type="paragraph" w:customStyle="1" w:styleId="112">
    <w:name w:val="明显引用1"/>
    <w:basedOn w:val="1"/>
    <w:next w:val="1"/>
    <w:link w:val="141"/>
    <w:qFormat/>
    <w:uiPriority w:val="30"/>
    <w:pPr>
      <w:widowControl/>
      <w:pBdr>
        <w:bottom w:val="single" w:color="4F81BD" w:sz="4" w:space="4"/>
      </w:pBdr>
      <w:spacing w:before="200" w:after="280" w:line="276" w:lineRule="auto"/>
      <w:ind w:left="936" w:right="936"/>
      <w:jc w:val="left"/>
    </w:pPr>
    <w:rPr>
      <w:rFonts w:ascii="Calibri" w:hAnsi="Calibri" w:eastAsia="华文楷体" w:cs="Times New Roman"/>
      <w:b/>
      <w:bCs/>
      <w:i/>
      <w:iCs/>
      <w:color w:val="4F81BD"/>
      <w:kern w:val="0"/>
      <w:sz w:val="20"/>
      <w:lang w:eastAsia="en-US" w:bidi="en-US"/>
    </w:rPr>
  </w:style>
  <w:style w:type="paragraph" w:customStyle="1" w:styleId="113">
    <w:name w:val="正文-report"/>
    <w:basedOn w:val="1"/>
    <w:qFormat/>
    <w:uiPriority w:val="0"/>
    <w:pPr>
      <w:widowControl/>
      <w:spacing w:line="276" w:lineRule="auto"/>
      <w:jc w:val="left"/>
    </w:pPr>
    <w:rPr>
      <w:rFonts w:ascii="Times New Roman" w:hAnsi="Times New Roman" w:eastAsia="华文楷体" w:cs="Times New Roman"/>
      <w:kern w:val="0"/>
      <w:sz w:val="20"/>
      <w:lang w:bidi="en-US"/>
    </w:rPr>
  </w:style>
  <w:style w:type="paragraph" w:customStyle="1" w:styleId="114">
    <w:name w:val="标题8-附录2"/>
    <w:basedOn w:val="1"/>
    <w:qFormat/>
    <w:uiPriority w:val="0"/>
    <w:pPr>
      <w:widowControl/>
      <w:spacing w:line="276" w:lineRule="auto"/>
      <w:jc w:val="left"/>
    </w:pPr>
    <w:rPr>
      <w:rFonts w:ascii="Calibri" w:hAnsi="Calibri" w:eastAsia="华文楷体" w:cs="Times New Roman"/>
      <w:kern w:val="0"/>
      <w:sz w:val="20"/>
      <w:lang w:eastAsia="en-US" w:bidi="en-US"/>
    </w:rPr>
  </w:style>
  <w:style w:type="paragraph" w:customStyle="1" w:styleId="115">
    <w:name w:val="标题 2-附录"/>
    <w:basedOn w:val="3"/>
    <w:qFormat/>
    <w:uiPriority w:val="0"/>
    <w:pPr>
      <w:widowControl/>
      <w:numPr>
        <w:numId w:val="0"/>
      </w:numPr>
      <w:spacing w:before="200" w:after="0" w:line="276" w:lineRule="auto"/>
      <w:jc w:val="left"/>
    </w:pPr>
    <w:rPr>
      <w:rFonts w:ascii="Times New Roman" w:hAnsi="Times New Roman" w:eastAsia="华文楷体"/>
      <w:color w:val="4F81BD"/>
      <w:kern w:val="0"/>
      <w:sz w:val="26"/>
      <w:szCs w:val="26"/>
      <w:lang w:bidi="en-US"/>
    </w:rPr>
  </w:style>
  <w:style w:type="paragraph" w:customStyle="1" w:styleId="116">
    <w:name w:val="标题 1-附录"/>
    <w:basedOn w:val="2"/>
    <w:qFormat/>
    <w:uiPriority w:val="0"/>
    <w:pPr>
      <w:widowControl/>
      <w:numPr>
        <w:numId w:val="0"/>
      </w:numPr>
      <w:spacing w:before="480" w:after="0" w:line="276" w:lineRule="auto"/>
      <w:jc w:val="left"/>
    </w:pPr>
    <w:rPr>
      <w:rFonts w:eastAsia="华文楷体"/>
      <w:color w:val="365F91"/>
      <w:kern w:val="0"/>
      <w:sz w:val="28"/>
      <w:szCs w:val="28"/>
      <w:lang w:bidi="en-US"/>
    </w:rPr>
  </w:style>
  <w:style w:type="paragraph" w:customStyle="1" w:styleId="117">
    <w:name w:val="题注-表注"/>
    <w:basedOn w:val="9"/>
    <w:qFormat/>
    <w:uiPriority w:val="0"/>
    <w:pPr>
      <w:spacing w:before="100" w:after="100"/>
    </w:pPr>
    <w:rPr>
      <w:sz w:val="21"/>
      <w:lang w:eastAsia="zh-CN"/>
    </w:rPr>
  </w:style>
  <w:style w:type="paragraph" w:customStyle="1" w:styleId="118">
    <w:name w:val="题注-图注"/>
    <w:basedOn w:val="12"/>
    <w:qFormat/>
    <w:uiPriority w:val="0"/>
    <w:pPr>
      <w:widowControl/>
      <w:jc w:val="center"/>
    </w:pPr>
    <w:rPr>
      <w:rFonts w:ascii="Calibri" w:hAnsi="Calibri" w:eastAsia="华文楷体"/>
      <w:b/>
      <w:bCs/>
      <w:color w:val="4F81BD"/>
      <w:kern w:val="0"/>
      <w:sz w:val="21"/>
      <w:szCs w:val="18"/>
      <w:lang w:eastAsia="en-US" w:bidi="en-US"/>
    </w:rPr>
  </w:style>
  <w:style w:type="paragraph" w:customStyle="1" w:styleId="119">
    <w:name w:val="列出段落3"/>
    <w:basedOn w:val="1"/>
    <w:qFormat/>
    <w:uiPriority w:val="34"/>
    <w:pPr>
      <w:ind w:firstLine="420" w:firstLineChars="200"/>
    </w:pPr>
    <w:rPr>
      <w:rFonts w:ascii="Times New Roman" w:hAnsi="Times New Roman" w:eastAsia="宋体" w:cs="Times New Roman"/>
      <w:szCs w:val="24"/>
    </w:rPr>
  </w:style>
  <w:style w:type="character" w:customStyle="1" w:styleId="120">
    <w:name w:val="我的正文 Char"/>
    <w:basedOn w:val="41"/>
    <w:link w:val="79"/>
    <w:qFormat/>
    <w:uiPriority w:val="0"/>
    <w:rPr>
      <w:rFonts w:ascii="Times New Roman" w:hAnsi="Times New Roman" w:eastAsia="宋体" w:cs="Times New Roman"/>
      <w:sz w:val="24"/>
      <w:szCs w:val="24"/>
    </w:rPr>
  </w:style>
  <w:style w:type="character" w:customStyle="1" w:styleId="121">
    <w:name w:val="一级条标题 Char Char"/>
    <w:link w:val="84"/>
    <w:qFormat/>
    <w:uiPriority w:val="0"/>
    <w:rPr>
      <w:rFonts w:ascii="Times New Roman" w:hAnsi="Times New Roman" w:eastAsia="黑体" w:cs="Calibri"/>
      <w:kern w:val="0"/>
      <w:szCs w:val="20"/>
    </w:rPr>
  </w:style>
  <w:style w:type="character" w:customStyle="1" w:styleId="122">
    <w:name w:val="二级条标题 Char"/>
    <w:link w:val="85"/>
    <w:qFormat/>
    <w:uiPriority w:val="0"/>
    <w:rPr>
      <w:rFonts w:ascii="Times New Roman" w:hAnsi="Times New Roman" w:eastAsia="黑体" w:cs="Times New Roman"/>
      <w:kern w:val="0"/>
      <w:szCs w:val="20"/>
    </w:rPr>
  </w:style>
  <w:style w:type="character" w:customStyle="1" w:styleId="123">
    <w:name w:val="占位符文本1"/>
    <w:basedOn w:val="41"/>
    <w:semiHidden/>
    <w:qFormat/>
    <w:uiPriority w:val="99"/>
    <w:rPr>
      <w:color w:val="808080"/>
    </w:rPr>
  </w:style>
  <w:style w:type="character" w:customStyle="1" w:styleId="124">
    <w:name w:val="国网标准正文 Char"/>
    <w:basedOn w:val="41"/>
    <w:link w:val="87"/>
    <w:qFormat/>
    <w:uiPriority w:val="0"/>
    <w:rPr>
      <w:rFonts w:ascii="宋体" w:hAnsi="宋体" w:eastAsia="宋体" w:cs="Times New Roman"/>
      <w:szCs w:val="28"/>
    </w:rPr>
  </w:style>
  <w:style w:type="character" w:customStyle="1" w:styleId="125">
    <w:name w:val="zt Char Char"/>
    <w:basedOn w:val="41"/>
    <w:link w:val="88"/>
    <w:qFormat/>
    <w:uiPriority w:val="0"/>
    <w:rPr>
      <w:rFonts w:ascii="EU-F1" w:hAnsi="Calibri" w:eastAsia="EU-F1" w:cs="Times New Roman"/>
      <w:bCs/>
      <w:szCs w:val="21"/>
    </w:rPr>
  </w:style>
  <w:style w:type="character" w:customStyle="1" w:styleId="126">
    <w:name w:val="段 Char Char"/>
    <w:link w:val="90"/>
    <w:qFormat/>
    <w:uiPriority w:val="0"/>
    <w:rPr>
      <w:rFonts w:ascii="宋体" w:hAnsi="Times New Roman" w:eastAsia="宋体" w:cs="Calibri"/>
    </w:rPr>
  </w:style>
  <w:style w:type="character" w:customStyle="1" w:styleId="127">
    <w:name w:val="表标题 Char"/>
    <w:link w:val="91"/>
    <w:qFormat/>
    <w:uiPriority w:val="0"/>
    <w:rPr>
      <w:rFonts w:ascii="Times New Roman" w:hAnsi="Times New Roman" w:eastAsia="宋体" w:cs="Times New Roman"/>
      <w:kern w:val="0"/>
      <w:sz w:val="20"/>
      <w:szCs w:val="20"/>
    </w:rPr>
  </w:style>
  <w:style w:type="character" w:customStyle="1" w:styleId="128">
    <w:name w:val="表内容 Char"/>
    <w:link w:val="92"/>
    <w:qFormat/>
    <w:uiPriority w:val="0"/>
    <w:rPr>
      <w:rFonts w:ascii="仿宋_GB2312" w:hAnsi="华文中宋" w:eastAsia="仿宋_GB2312" w:cs="Times New Roman"/>
      <w:kern w:val="0"/>
      <w:sz w:val="20"/>
      <w:szCs w:val="24"/>
    </w:rPr>
  </w:style>
  <w:style w:type="character" w:customStyle="1" w:styleId="129">
    <w:name w:val="公式 Char"/>
    <w:link w:val="95"/>
    <w:qFormat/>
    <w:uiPriority w:val="0"/>
    <w:rPr>
      <w:rFonts w:ascii="仿宋_GB2312" w:hAnsi="Times New Roman" w:eastAsia="仿宋_GB2312" w:cs="Times New Roman"/>
      <w:kern w:val="0"/>
      <w:sz w:val="28"/>
      <w:szCs w:val="24"/>
    </w:rPr>
  </w:style>
  <w:style w:type="character" w:customStyle="1" w:styleId="130">
    <w:name w:val="报告图题 Char"/>
    <w:link w:val="97"/>
    <w:qFormat/>
    <w:uiPriority w:val="0"/>
    <w:rPr>
      <w:rFonts w:ascii="Times New Roman" w:hAnsi="Times New Roman" w:eastAsia="宋体" w:cs="Times New Roman"/>
      <w:kern w:val="0"/>
      <w:sz w:val="20"/>
      <w:szCs w:val="21"/>
    </w:rPr>
  </w:style>
  <w:style w:type="character" w:customStyle="1" w:styleId="131">
    <w:name w:val="报告图 Char"/>
    <w:link w:val="96"/>
    <w:qFormat/>
    <w:uiPriority w:val="0"/>
    <w:rPr>
      <w:rFonts w:ascii="仿宋_GB2312" w:hAnsi="Times New Roman" w:eastAsia="仿宋_GB2312" w:cs="Times New Roman"/>
      <w:kern w:val="0"/>
      <w:sz w:val="28"/>
      <w:szCs w:val="24"/>
    </w:rPr>
  </w:style>
  <w:style w:type="character" w:customStyle="1" w:styleId="132">
    <w:name w:val="参考文献 Char"/>
    <w:link w:val="98"/>
    <w:qFormat/>
    <w:uiPriority w:val="0"/>
    <w:rPr>
      <w:rFonts w:ascii="Times New Roman" w:hAnsi="Times New Roman" w:eastAsia="宋体" w:cs="Times New Roman"/>
      <w:kern w:val="0"/>
      <w:sz w:val="20"/>
      <w:szCs w:val="20"/>
    </w:rPr>
  </w:style>
  <w:style w:type="character" w:customStyle="1" w:styleId="133">
    <w:name w:val="标题4 Char"/>
    <w:basedOn w:val="59"/>
    <w:link w:val="103"/>
    <w:qFormat/>
    <w:uiPriority w:val="0"/>
    <w:rPr>
      <w:rFonts w:ascii="仿宋_GB2312" w:hAnsi="Times New Roman" w:eastAsia="仿宋_GB2312" w:cs="Times New Roman"/>
      <w:b w:val="0"/>
      <w:bCs w:val="0"/>
      <w:sz w:val="28"/>
      <w:szCs w:val="28"/>
    </w:rPr>
  </w:style>
  <w:style w:type="character" w:customStyle="1" w:styleId="134">
    <w:name w:val="页脚 Char1"/>
    <w:qFormat/>
    <w:uiPriority w:val="0"/>
    <w:rPr>
      <w:sz w:val="18"/>
      <w:szCs w:val="18"/>
    </w:rPr>
  </w:style>
  <w:style w:type="character" w:customStyle="1" w:styleId="135">
    <w:name w:val="批注引用1"/>
    <w:qFormat/>
    <w:uiPriority w:val="0"/>
    <w:rPr>
      <w:sz w:val="21"/>
      <w:szCs w:val="21"/>
    </w:rPr>
  </w:style>
  <w:style w:type="character" w:customStyle="1" w:styleId="136">
    <w:name w:val="文档结构图 Char1"/>
    <w:qFormat/>
    <w:uiPriority w:val="0"/>
    <w:rPr>
      <w:rFonts w:ascii="宋体"/>
      <w:kern w:val="2"/>
      <w:sz w:val="18"/>
      <w:szCs w:val="18"/>
    </w:rPr>
  </w:style>
  <w:style w:type="character" w:customStyle="1" w:styleId="137">
    <w:name w:val="Char Char Char"/>
    <w:qFormat/>
    <w:uiPriority w:val="0"/>
    <w:rPr>
      <w:rFonts w:eastAsia="宋体"/>
      <w:b/>
      <w:bCs/>
      <w:kern w:val="44"/>
      <w:sz w:val="44"/>
      <w:szCs w:val="44"/>
      <w:lang w:val="en-US" w:eastAsia="zh-CN"/>
    </w:rPr>
  </w:style>
  <w:style w:type="character" w:customStyle="1" w:styleId="138">
    <w:name w:val="Message Header Label"/>
    <w:qFormat/>
    <w:uiPriority w:val="0"/>
    <w:rPr>
      <w:rFonts w:ascii="Arial Black" w:hAnsi="Arial Black"/>
      <w:spacing w:val="-10"/>
      <w:sz w:val="18"/>
    </w:rPr>
  </w:style>
  <w:style w:type="character" w:customStyle="1" w:styleId="139">
    <w:name w:val="style51"/>
    <w:basedOn w:val="41"/>
    <w:qFormat/>
    <w:uiPriority w:val="0"/>
    <w:rPr>
      <w:b/>
      <w:bCs/>
      <w:color w:val="3366FF"/>
    </w:rPr>
  </w:style>
  <w:style w:type="character" w:customStyle="1" w:styleId="140">
    <w:name w:val="Quote Char"/>
    <w:basedOn w:val="41"/>
    <w:link w:val="111"/>
    <w:qFormat/>
    <w:uiPriority w:val="29"/>
    <w:rPr>
      <w:rFonts w:ascii="Calibri" w:hAnsi="Calibri" w:eastAsia="华文楷体" w:cs="Times New Roman"/>
      <w:i/>
      <w:iCs/>
      <w:color w:val="000000"/>
      <w:kern w:val="0"/>
      <w:sz w:val="20"/>
      <w:lang w:eastAsia="en-US" w:bidi="en-US"/>
    </w:rPr>
  </w:style>
  <w:style w:type="character" w:customStyle="1" w:styleId="141">
    <w:name w:val="Intense Quote Char"/>
    <w:basedOn w:val="41"/>
    <w:link w:val="112"/>
    <w:qFormat/>
    <w:uiPriority w:val="30"/>
    <w:rPr>
      <w:rFonts w:ascii="Calibri" w:hAnsi="Calibri" w:eastAsia="华文楷体" w:cs="Times New Roman"/>
      <w:b/>
      <w:bCs/>
      <w:i/>
      <w:iCs/>
      <w:color w:val="4F81BD"/>
      <w:kern w:val="0"/>
      <w:sz w:val="20"/>
      <w:lang w:eastAsia="en-US" w:bidi="en-US"/>
    </w:rPr>
  </w:style>
  <w:style w:type="character" w:customStyle="1" w:styleId="142">
    <w:name w:val="不明显强调1"/>
    <w:basedOn w:val="41"/>
    <w:qFormat/>
    <w:uiPriority w:val="19"/>
    <w:rPr>
      <w:i/>
      <w:iCs/>
      <w:color w:val="808080"/>
    </w:rPr>
  </w:style>
  <w:style w:type="character" w:customStyle="1" w:styleId="143">
    <w:name w:val="明显强调1"/>
    <w:basedOn w:val="41"/>
    <w:qFormat/>
    <w:uiPriority w:val="21"/>
    <w:rPr>
      <w:b/>
      <w:bCs/>
      <w:i/>
      <w:iCs/>
      <w:color w:val="4F81BD"/>
    </w:rPr>
  </w:style>
  <w:style w:type="character" w:customStyle="1" w:styleId="144">
    <w:name w:val="不明显参考1"/>
    <w:basedOn w:val="41"/>
    <w:qFormat/>
    <w:uiPriority w:val="31"/>
    <w:rPr>
      <w:smallCaps/>
      <w:color w:val="C0504D"/>
      <w:u w:val="single"/>
    </w:rPr>
  </w:style>
  <w:style w:type="character" w:customStyle="1" w:styleId="145">
    <w:name w:val="明显参考1"/>
    <w:basedOn w:val="41"/>
    <w:qFormat/>
    <w:uiPriority w:val="32"/>
    <w:rPr>
      <w:b/>
      <w:bCs/>
      <w:smallCaps/>
      <w:color w:val="C0504D"/>
      <w:spacing w:val="5"/>
      <w:u w:val="single"/>
    </w:rPr>
  </w:style>
  <w:style w:type="character" w:customStyle="1" w:styleId="146">
    <w:name w:val="书籍标题1"/>
    <w:basedOn w:val="41"/>
    <w:qFormat/>
    <w:uiPriority w:val="33"/>
    <w:rPr>
      <w:b/>
      <w:bCs/>
      <w:smallCaps/>
      <w:spacing w:val="5"/>
    </w:rPr>
  </w:style>
  <w:style w:type="character" w:customStyle="1" w:styleId="147">
    <w:name w:val="无间隔 Char"/>
    <w:link w:val="94"/>
    <w:qFormat/>
    <w:uiPriority w:val="1"/>
    <w:rPr>
      <w:rFonts w:ascii="Calibri" w:hAnsi="Calibri" w:eastAsia="宋体" w:cs="Times New Roman"/>
    </w:rPr>
  </w:style>
  <w:style w:type="paragraph" w:customStyle="1" w:styleId="148">
    <w:name w:val="p0"/>
    <w:basedOn w:val="1"/>
    <w:qFormat/>
    <w:uiPriority w:val="0"/>
    <w:pPr>
      <w:widowControl/>
    </w:pPr>
    <w:rPr>
      <w:rFonts w:ascii="Times New Roman" w:hAnsi="Times New Roman" w:eastAsia="宋体" w:cs="Times New Roman"/>
      <w:kern w:val="0"/>
      <w:szCs w:val="21"/>
    </w:rPr>
  </w:style>
  <w:style w:type="character" w:customStyle="1" w:styleId="149">
    <w:name w:val="HTML 预设格式 Char"/>
    <w:link w:val="150"/>
    <w:qFormat/>
    <w:uiPriority w:val="0"/>
    <w:rPr>
      <w:rFonts w:ascii="Courier New" w:hAnsi="Courier New" w:cs="Courier New"/>
    </w:rPr>
  </w:style>
  <w:style w:type="paragraph" w:customStyle="1" w:styleId="150">
    <w:name w:val="HTML 预设格式1"/>
    <w:basedOn w:val="1"/>
    <w:link w:val="149"/>
    <w:qFormat/>
    <w:uiPriority w:val="0"/>
    <w:rPr>
      <w:rFonts w:ascii="Courier New" w:hAnsi="Courier New" w:cs="Courier New"/>
    </w:rPr>
  </w:style>
  <w:style w:type="paragraph" w:customStyle="1" w:styleId="151">
    <w:name w:val="三级条标题"/>
    <w:basedOn w:val="85"/>
    <w:next w:val="1"/>
    <w:qFormat/>
    <w:uiPriority w:val="0"/>
    <w:pPr>
      <w:ind w:left="420"/>
      <w:outlineLvl w:val="4"/>
    </w:pPr>
  </w:style>
  <w:style w:type="character" w:customStyle="1" w:styleId="152">
    <w:name w:val="列出段落1 Char"/>
    <w:link w:val="81"/>
    <w:qFormat/>
    <w:uiPriority w:val="0"/>
    <w:rPr>
      <w:rFonts w:ascii="Times New Roman" w:hAnsi="Times New Roman" w:eastAsia="宋体" w:cs="Times New Roman"/>
      <w:szCs w:val="24"/>
    </w:rPr>
  </w:style>
  <w:style w:type="paragraph" w:customStyle="1" w:styleId="153">
    <w:name w:val="三级标题"/>
    <w:basedOn w:val="1"/>
    <w:qFormat/>
    <w:uiPriority w:val="0"/>
    <w:pPr>
      <w:keepNext/>
      <w:keepLines/>
      <w:spacing w:line="580" w:lineRule="exact"/>
      <w:outlineLvl w:val="2"/>
    </w:pPr>
    <w:rPr>
      <w:rFonts w:ascii="Times New Roman" w:hAnsi="Times New Roman"/>
      <w:bCs/>
      <w:sz w:val="28"/>
      <w:szCs w:val="32"/>
    </w:rPr>
  </w:style>
  <w:style w:type="character" w:styleId="154">
    <w:name w:val="Placeholder Text"/>
    <w:basedOn w:val="41"/>
    <w:semiHidden/>
    <w:qFormat/>
    <w:uiPriority w:val="99"/>
    <w:rPr>
      <w:color w:val="808080"/>
    </w:rPr>
  </w:style>
  <w:style w:type="table" w:customStyle="1" w:styleId="155">
    <w:name w:val="网格型1"/>
    <w:basedOn w:val="3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6">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57">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58">
    <w:name w:val="小标题_ADPSS报告"/>
    <w:basedOn w:val="1"/>
    <w:qFormat/>
    <w:uiPriority w:val="0"/>
    <w:pPr>
      <w:spacing w:before="120"/>
      <w:outlineLvl w:val="2"/>
    </w:pPr>
    <w:rPr>
      <w:b/>
      <w:sz w:val="24"/>
    </w:rPr>
  </w:style>
  <w:style w:type="paragraph" w:customStyle="1" w:styleId="159">
    <w:name w:val="图标题_ADPSS报告"/>
    <w:basedOn w:val="1"/>
    <w:qFormat/>
    <w:uiPriority w:val="0"/>
    <w:pPr>
      <w:jc w:val="center"/>
    </w:pPr>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package" Target="embeddings/Microsoft_Visio___1.vsdx"/><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chart" Target="charts/chart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30984\Documents\WeChat%20Files\wxid_6cyp71eri3bg\FileStorage\File\2021-12\&#37329;&#38451;&#39118;&#20809;&#20648;&#21151;&#29575;&#26354;&#3244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F080</a:t>
            </a:r>
            <a:endParaRPr lang="en-US" altLang="zh-CN"/>
          </a:p>
        </c:rich>
      </c:tx>
      <c:layout/>
      <c:overlay val="0"/>
      <c:spPr>
        <a:noFill/>
        <a:ln>
          <a:noFill/>
        </a:ln>
        <a:effectLst/>
      </c:spPr>
    </c:title>
    <c:autoTitleDeleted val="0"/>
    <c:plotArea>
      <c:layout/>
      <c:lineChart>
        <c:grouping val="standard"/>
        <c:varyColors val="0"/>
        <c:ser>
          <c:idx val="0"/>
          <c:order val="0"/>
          <c:tx>
            <c:strRef>
              <c:f>'\Users\LENOVO\Desktop\冀北相关文档合并2021-08-11\[各场站理论风功率曲线（厂家提供）.xlsx]Sheet34'!$E$1</c:f>
              <c:strCache>
                <c:ptCount val="1"/>
                <c:pt idx="0">
                  <c:v>实际功率曲线</c:v>
                </c:pt>
              </c:strCache>
            </c:strRef>
          </c:tx>
          <c:spPr>
            <a:ln w="28575" cap="rnd">
              <a:solidFill>
                <a:schemeClr val="accent2"/>
              </a:solidFill>
              <a:round/>
            </a:ln>
            <a:effectLst/>
          </c:spPr>
          <c:marker>
            <c:symbol val="none"/>
          </c:marker>
          <c:dLbls>
            <c:delete val="1"/>
          </c:dLbls>
          <c:cat>
            <c:numRef>
              <c:f>'\Users\LENOVO\Desktop\冀北相关文档合并2021-08-11\[各场站理论风功率曲线（厂家提供）.xlsx]Sheet34'!$D$2:$D$32</c:f>
              <c:numCache>
                <c:formatCode>General</c:formatCode>
                <c:ptCount val="3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numCache>
            </c:numRef>
          </c:cat>
          <c:val>
            <c:numRef>
              <c:f>'\Users\LENOVO\Desktop\冀北相关文档合并2021-08-11\[各场站理论风功率曲线（厂家提供）.xlsx]Sheet34'!$E$2:$E$32</c:f>
              <c:numCache>
                <c:formatCode>General</c:formatCode>
                <c:ptCount val="31"/>
                <c:pt idx="0">
                  <c:v>0</c:v>
                </c:pt>
                <c:pt idx="1">
                  <c:v>19.6</c:v>
                </c:pt>
                <c:pt idx="2">
                  <c:v>44.04</c:v>
                </c:pt>
                <c:pt idx="3">
                  <c:v>57.54</c:v>
                </c:pt>
                <c:pt idx="4">
                  <c:v>109.31</c:v>
                </c:pt>
                <c:pt idx="5">
                  <c:v>73.31</c:v>
                </c:pt>
                <c:pt idx="6">
                  <c:v>113.19</c:v>
                </c:pt>
                <c:pt idx="7">
                  <c:v>161.09</c:v>
                </c:pt>
                <c:pt idx="8">
                  <c:v>203.49</c:v>
                </c:pt>
                <c:pt idx="9">
                  <c:v>283.7</c:v>
                </c:pt>
                <c:pt idx="10">
                  <c:v>415.02</c:v>
                </c:pt>
                <c:pt idx="11">
                  <c:v>542.72</c:v>
                </c:pt>
                <c:pt idx="12">
                  <c:v>703.68</c:v>
                </c:pt>
                <c:pt idx="13">
                  <c:v>877.78</c:v>
                </c:pt>
                <c:pt idx="14">
                  <c:v>1071.43</c:v>
                </c:pt>
                <c:pt idx="15">
                  <c:v>1265.35</c:v>
                </c:pt>
                <c:pt idx="16">
                  <c:v>1396.55</c:v>
                </c:pt>
                <c:pt idx="17">
                  <c:v>1520.55</c:v>
                </c:pt>
                <c:pt idx="18">
                  <c:v>1686.46</c:v>
                </c:pt>
                <c:pt idx="19">
                  <c:v>2035.8</c:v>
                </c:pt>
                <c:pt idx="20">
                  <c:v>2217.99</c:v>
                </c:pt>
                <c:pt idx="21">
                  <c:v>2346.51</c:v>
                </c:pt>
                <c:pt idx="22">
                  <c:v>2468.22</c:v>
                </c:pt>
                <c:pt idx="23">
                  <c:v>2491.58</c:v>
                </c:pt>
                <c:pt idx="24">
                  <c:v>2502.41</c:v>
                </c:pt>
                <c:pt idx="25">
                  <c:v>2516.06</c:v>
                </c:pt>
                <c:pt idx="26">
                  <c:v>2516.12</c:v>
                </c:pt>
                <c:pt idx="27">
                  <c:v>2520.2</c:v>
                </c:pt>
                <c:pt idx="28">
                  <c:v>2519.19</c:v>
                </c:pt>
                <c:pt idx="29">
                  <c:v>2522.42</c:v>
                </c:pt>
                <c:pt idx="30">
                  <c:v>2521.4</c:v>
                </c:pt>
              </c:numCache>
            </c:numRef>
          </c:val>
          <c:smooth val="0"/>
        </c:ser>
        <c:ser>
          <c:idx val="1"/>
          <c:order val="1"/>
          <c:tx>
            <c:strRef>
              <c:f>'\Users\LENOVO\Desktop\冀北相关文档合并2021-08-11\[各场站理论风功率曲线（厂家提供）.xlsx]Sheet34'!$F$1</c:f>
              <c:strCache>
                <c:ptCount val="1"/>
                <c:pt idx="0">
                  <c:v>标准化功率曲线</c:v>
                </c:pt>
              </c:strCache>
            </c:strRef>
          </c:tx>
          <c:spPr>
            <a:ln w="28575" cap="rnd">
              <a:solidFill>
                <a:schemeClr val="accent1"/>
              </a:solidFill>
              <a:round/>
            </a:ln>
            <a:effectLst/>
          </c:spPr>
          <c:marker>
            <c:symbol val="none"/>
          </c:marker>
          <c:dLbls>
            <c:delete val="1"/>
          </c:dLbls>
          <c:cat>
            <c:numRef>
              <c:f>'\Users\LENOVO\Desktop\冀北相关文档合并2021-08-11\[各场站理论风功率曲线（厂家提供）.xlsx]Sheet34'!$D$2:$D$32</c:f>
              <c:numCache>
                <c:formatCode>General</c:formatCode>
                <c:ptCount val="3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numCache>
            </c:numRef>
          </c:cat>
          <c:val>
            <c:numRef>
              <c:f>'\Users\LENOVO\Desktop\冀北相关文档合并2021-08-11\[各场站理论风功率曲线（厂家提供）.xlsx]Sheet34'!$F$2:$F$32</c:f>
              <c:numCache>
                <c:formatCode>General</c:formatCode>
                <c:ptCount val="31"/>
                <c:pt idx="0">
                  <c:v>0</c:v>
                </c:pt>
                <c:pt idx="1">
                  <c:v>19.6</c:v>
                </c:pt>
                <c:pt idx="2">
                  <c:v>44.04</c:v>
                </c:pt>
                <c:pt idx="3">
                  <c:v>57.54</c:v>
                </c:pt>
                <c:pt idx="4">
                  <c:v>57.89</c:v>
                </c:pt>
                <c:pt idx="5">
                  <c:v>74.83</c:v>
                </c:pt>
                <c:pt idx="6">
                  <c:v>114.89</c:v>
                </c:pt>
                <c:pt idx="7">
                  <c:v>154.27</c:v>
                </c:pt>
                <c:pt idx="8">
                  <c:v>210.05</c:v>
                </c:pt>
                <c:pt idx="9">
                  <c:v>294.92</c:v>
                </c:pt>
                <c:pt idx="10">
                  <c:v>408.67</c:v>
                </c:pt>
                <c:pt idx="11">
                  <c:v>539.58</c:v>
                </c:pt>
                <c:pt idx="12">
                  <c:v>705.79</c:v>
                </c:pt>
                <c:pt idx="13">
                  <c:v>871.6</c:v>
                </c:pt>
                <c:pt idx="14">
                  <c:v>1068.18</c:v>
                </c:pt>
                <c:pt idx="15">
                  <c:v>1263.54</c:v>
                </c:pt>
                <c:pt idx="16">
                  <c:v>1433.17</c:v>
                </c:pt>
                <c:pt idx="17">
                  <c:v>1638.34</c:v>
                </c:pt>
                <c:pt idx="18">
                  <c:v>1852.27</c:v>
                </c:pt>
                <c:pt idx="19">
                  <c:v>2024.79</c:v>
                </c:pt>
                <c:pt idx="20">
                  <c:v>2214.79</c:v>
                </c:pt>
                <c:pt idx="21">
                  <c:v>2346.93</c:v>
                </c:pt>
                <c:pt idx="22">
                  <c:v>2463.63</c:v>
                </c:pt>
                <c:pt idx="23">
                  <c:v>2495.2</c:v>
                </c:pt>
                <c:pt idx="24">
                  <c:v>2510.36</c:v>
                </c:pt>
                <c:pt idx="25">
                  <c:v>2515.64</c:v>
                </c:pt>
                <c:pt idx="26">
                  <c:v>2517.11</c:v>
                </c:pt>
                <c:pt idx="27">
                  <c:v>2519.38</c:v>
                </c:pt>
                <c:pt idx="28">
                  <c:v>2518.72</c:v>
                </c:pt>
                <c:pt idx="29">
                  <c:v>2518.69</c:v>
                </c:pt>
                <c:pt idx="30">
                  <c:v>2519.57</c:v>
                </c:pt>
              </c:numCache>
            </c:numRef>
          </c:val>
          <c:smooth val="0"/>
        </c:ser>
        <c:dLbls>
          <c:showLegendKey val="0"/>
          <c:showVal val="0"/>
          <c:showCatName val="0"/>
          <c:showSerName val="0"/>
          <c:showPercent val="0"/>
          <c:showBubbleSize val="0"/>
        </c:dLbls>
        <c:marker val="0"/>
        <c:smooth val="0"/>
        <c:axId val="123772693"/>
        <c:axId val="726664991"/>
      </c:lineChart>
      <c:catAx>
        <c:axId val="123772693"/>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风速（</a:t>
                </a:r>
                <a:r>
                  <a:rPr lang="en-US" altLang="zh-CN"/>
                  <a:t>m/s</a:t>
                </a:r>
                <a:r>
                  <a:rPr lang="zh-CN" altLang="en-US"/>
                  <a:t>）</a:t>
                </a:r>
                <a:endParaRPr lang="zh-CN" altLang="en-US"/>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6664991"/>
        <c:crosses val="autoZero"/>
        <c:auto val="1"/>
        <c:lblAlgn val="ctr"/>
        <c:lblOffset val="100"/>
        <c:noMultiLvlLbl val="0"/>
      </c:catAx>
      <c:valAx>
        <c:axId val="72666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功率（</a:t>
                </a:r>
                <a:r>
                  <a:rPr lang="en-US" altLang="zh-CN"/>
                  <a:t>kW</a:t>
                </a:r>
                <a:r>
                  <a:rPr lang="zh-CN" altLang="en-US"/>
                  <a:t>）</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377269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E13C5-8305-44CE-81A3-976A66D9B863}">
  <ds:schemaRefs/>
</ds:datastoreItem>
</file>

<file path=docProps/app.xml><?xml version="1.0" encoding="utf-8"?>
<Properties xmlns="http://schemas.openxmlformats.org/officeDocument/2006/extended-properties" xmlns:vt="http://schemas.openxmlformats.org/officeDocument/2006/docPropsVTypes">
  <Template>Normal</Template>
  <Pages>40</Pages>
  <Words>9936</Words>
  <Characters>17703</Characters>
  <Lines>123</Lines>
  <Paragraphs>34</Paragraphs>
  <TotalTime>6</TotalTime>
  <ScaleCrop>false</ScaleCrop>
  <LinksUpToDate>false</LinksUpToDate>
  <CharactersWithSpaces>17907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2022-01-20T01:24:00Z</dcterms:created>
  <dc:creator>群菱李杰</dc:creator>
  <cp:lastModifiedBy>Administrator</cp:lastModifiedBy>
  <cp:lastPrinted>2016-08-31T15:57:00Z</cp:lastPrinted>
  <dcterms:modified xsi:type="dcterms:W3CDTF">2022-05-22T10:05:20Z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509E254E9C7649B6908CC15E0630E5F6</vt:lpwstr>
  </property>
</Properties>
</file>