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Рецензия</w:t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 xml:space="preserve">Образовательная программа: </w:t>
      </w:r>
      <w:r>
        <w:rPr>
          <w:rFonts w:ascii="Times New Roman" w:hAnsi="Times New Roman"/>
          <w:b w:val="0"/>
          <w:i w:val="0"/>
          <w:sz w:val="24"/>
        </w:rPr>
        <w:t>6B06301 «Кибербезопасность»</w:t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 xml:space="preserve">Тема дипломного проекта: </w:t>
      </w:r>
      <w:r>
        <w:rPr>
          <w:rFonts w:ascii="Times New Roman" w:hAnsi="Times New Roman"/>
          <w:b w:val="0"/>
          <w:i w:val="0"/>
          <w:sz w:val="24"/>
        </w:rPr>
        <w:t>Разработка метода внешнего тестирования веб-приложения на уязвимости</w:t>
      </w:r>
    </w:p>
    <w:p>
      <w:pPr>
        <w:spacing w:after="80"/>
      </w:pPr>
      <w:r>
        <w:rPr>
          <w:rFonts w:ascii="Times New Roman" w:hAnsi="Times New Roman"/>
          <w:b/>
          <w:i w:val="0"/>
          <w:sz w:val="24"/>
        </w:rPr>
        <w:t xml:space="preserve">Студент: </w:t>
      </w:r>
      <w:r>
        <w:rPr>
          <w:rFonts w:ascii="Times New Roman" w:hAnsi="Times New Roman"/>
          <w:b w:val="0"/>
          <w:i w:val="0"/>
          <w:sz w:val="24"/>
        </w:rPr>
        <w:t>Мавланов Шахрух</w:t>
      </w:r>
    </w:p>
    <w:p>
      <w:pPr>
        <w:spacing w:after="240"/>
      </w:pPr>
      <w:r>
        <w:rPr>
          <w:rFonts w:ascii="Times New Roman" w:hAnsi="Times New Roman"/>
          <w:b/>
          <w:i w:val="0"/>
          <w:sz w:val="24"/>
        </w:rPr>
        <w:t xml:space="preserve">Научный руководитель: </w:t>
      </w:r>
      <w:r>
        <w:rPr>
          <w:rFonts w:ascii="Times New Roman" w:hAnsi="Times New Roman"/>
          <w:b w:val="0"/>
          <w:i w:val="0"/>
          <w:sz w:val="24"/>
        </w:rPr>
        <w:t>PhD Амирова Акжибек</w:t>
      </w:r>
    </w:p>
    <w:p>
      <w:pPr>
        <w:spacing w:after="120"/>
        <w:ind w:firstLine="709"/>
      </w:pPr>
      <w:r>
        <w:rPr>
          <w:rFonts w:ascii="Times New Roman" w:hAnsi="Times New Roman"/>
          <w:sz w:val="24"/>
        </w:rPr>
        <w:t>Рецензируемый дипломный проект на тему «Разработка метода внешнего тестирования веб-приложения на уязвимости» представляет собой технически глубокую и инженерно зрелую работу, посвящённую актуальной задаче автоматизации внешнего пентеста современных веб-приложений. Актуальность темы обусловлена устойчивым ростом поверхности атаки веб-приложений, повторяющейся ручной природой большей части работы тестировщика и появлением открытых языковых моделей, пригодных для использования в составе инструментов безопасности.</w:t>
      </w:r>
    </w:p>
    <w:p>
      <w:pPr>
        <w:spacing w:after="120"/>
        <w:ind w:firstLine="709"/>
      </w:pPr>
      <w:r>
        <w:rPr>
          <w:rFonts w:ascii="Times New Roman" w:hAnsi="Times New Roman"/>
          <w:sz w:val="24"/>
        </w:rPr>
        <w:t>Основным результатом работы является фреймворк ReconX — модульный конвейер на языке Python 3, состоящий из 46 специализированных модулей, организованных в 15 последовательно выполняемых групп с многопоточным параллелизмом внутри каждой группы. Модули разведки выполняют перечисление поддоменов из девяти независимых источников, аудит DNS-записей, сканирование портов и определение технологического стека. Модули анализа конфигурации проверяют TLS, заголовки безопасности, CORS, аутентификационные cookie, JWT-токены и спецификации OpenAPI. Активные пробы охватывают наиболее значимые категории OWASP Top 10 (2021): отражённый XSS, SQL-инъекции, IDOR, инъекции в заголовок Host, отравление веб-кэша, server-side prototype pollution, open redirect, SSRF, SSTI, XXE, HTTP request smuggling, состояния гонки и нарушения авторизации в GraphQL. Достигнутая в рамках одной чёрной коробки широта покрытия классов уязвимостей — один из сильнейших инженерных аспектов работы.</w:t>
      </w:r>
    </w:p>
    <w:p>
      <w:pPr>
        <w:spacing w:after="120"/>
        <w:ind w:firstLine="709"/>
      </w:pPr>
      <w:r>
        <w:rPr>
          <w:rFonts w:ascii="Times New Roman" w:hAnsi="Times New Roman"/>
          <w:sz w:val="24"/>
        </w:rPr>
        <w:t>Заслуживает отдельного внимания центральный элемент архитектуры — реестр находок (finding registry), который приводит выходные данные каждой пробы к единой схеме, содержащей стабильные идентификаторы, severity, confidence, exploitability, метаданные CWE / CVSS / OWASP / MITRE ATT&amp;CK и явный verdict (confirmed или candidate). Поверх реестра реализованы коррелятор с правилами межпробного анализа и модуль asset-risk, ранжирующий обнаруженные активы по четырём уровням риска. В совокупности это даёт ориентированную на актив, приоритизированную картину результатов, которая повторяет ход рассуждений живого аналитика при чтении длинного отчёта о пентесте. Интеграция локальной языковой модели (Ollama с DeepSeek-R1) для пост-сканового аналитического отчёта — современное и обоснованное архитектурное решение, демонстрирующее владение автором актуальным инструментарием на стыке ИИ и информационной безопасности.</w:t>
      </w:r>
    </w:p>
    <w:p>
      <w:pPr>
        <w:spacing w:after="120"/>
        <w:ind w:firstLine="709"/>
      </w:pPr>
      <w:r>
        <w:rPr>
          <w:rFonts w:ascii="Times New Roman" w:hAnsi="Times New Roman"/>
          <w:sz w:val="24"/>
        </w:rPr>
        <w:t>Экспериментальная часть работы выполнена в двух взаимодополняющих режимах: контролируемый лабораторный запуск против заведомо уязвимого приложения OWASP Juice Shop и авторизованное реальное тематическое исследование на системе академического управления miras.app. На реальной цели фреймворк выполнил полный конвейер примерно за 1 минуту 43 секунды, выдал 721 уникальную находку, распределённую по категориям OWASP Top 10, проранжировал 49 обнаруженных активов по четырём уровням риска, а также корректно заблокировал единственный запрос вне области авторизации, обнаруженный на этапе разведки. Этот результат подтверждает, что механизм контроля области тестирования работает на уровне ниже каждой пробы и в реальных условиях, а не только на лабораторном стенде.</w:t>
      </w:r>
    </w:p>
    <w:p>
      <w:pPr>
        <w:spacing w:after="120"/>
        <w:ind w:firstLine="709"/>
      </w:pPr>
      <w:r>
        <w:rPr>
          <w:rFonts w:ascii="Times New Roman" w:hAnsi="Times New Roman"/>
          <w:sz w:val="24"/>
        </w:rPr>
        <w:t>Качество реализации высокое: конвейер допускает возобновление после прерывания, каждый отправленный HTTP-запрос фиксируется в append-only журнале аудита, а фреймворк корректно деградирует при отсутствии внешних утилит или провайдера языковой модели. HTML-отчёт, JSON-выгрузка для SIEM-систем и поток уведомлений в Telegram демонстрируют внимание автора к практическому опыту оператора.</w:t>
      </w:r>
    </w:p>
    <w:p>
      <w:pPr>
        <w:spacing w:after="120"/>
        <w:ind w:firstLine="709"/>
      </w:pPr>
      <w:r>
        <w:rPr>
          <w:rFonts w:ascii="Times New Roman" w:hAnsi="Times New Roman"/>
          <w:sz w:val="24"/>
        </w:rPr>
        <w:t>Основные ограничения — отсутствие отдельного слоя DAST на основе headless-браузера и делегирование подтверждения out-of-band уязвимостей механизму interactsh из состава Nuclei — автором честно обозначены и являются разумным сужением объёма для одногодичного дипломного проекта. Указанные ограничения не снижают технических достоинств работы и составляют естественный задел для дальнейшего развития системы.</w:t>
      </w:r>
    </w:p>
    <w:p>
      <w:pPr>
        <w:spacing w:after="120"/>
        <w:ind w:firstLine="709"/>
      </w:pPr>
      <w:r>
        <w:rPr>
          <w:rFonts w:ascii="Times New Roman" w:hAnsi="Times New Roman"/>
          <w:sz w:val="24"/>
        </w:rPr>
        <w:t>Работа демонстрирует самостоятельность исследования, инженерную дисциплину и зрелое понимание современной методологии наступательной безопасности веб-приложений. Дипломный проект в полной мере отвечает требованиям, предъявляемым к выпускной квалификационной работе бакалавра по направлению «Кибербезопасность», и рекомендуется к защите с присвоением наивысшей оценки.</w:t>
      </w:r>
    </w:p>
    <w:p>
      <w:pPr>
        <w:spacing w:after="240"/>
      </w:pPr>
    </w:p>
    <w:p>
      <w:pPr>
        <w:spacing w:after="360"/>
      </w:pPr>
      <w:r>
        <w:rPr>
          <w:rFonts w:ascii="Times New Roman" w:hAnsi="Times New Roman"/>
          <w:b/>
          <w:i w:val="0"/>
          <w:sz w:val="24"/>
        </w:rPr>
        <w:t xml:space="preserve">Рекомендуемая оценка: </w:t>
      </w:r>
      <w:r>
        <w:rPr>
          <w:rFonts w:ascii="Times New Roman" w:hAnsi="Times New Roman"/>
          <w:b w:val="0"/>
          <w:i w:val="0"/>
          <w:sz w:val="24"/>
        </w:rPr>
        <w:t>________ / 100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Рецензент:</w:t>
      </w:r>
    </w:p>
    <w:p>
      <w:pPr>
        <w:spacing w:after="0"/>
      </w:pPr>
      <w:r>
        <w:rPr>
          <w:rFonts w:ascii="Times New Roman" w:hAnsi="Times New Roman"/>
          <w:b w:val="0"/>
          <w:sz w:val="24"/>
        </w:rPr>
        <w:t>________________________________________</w:t>
      </w:r>
    </w:p>
    <w:p>
      <w:pPr>
        <w:spacing w:after="200"/>
      </w:pPr>
      <w:r>
        <w:rPr>
          <w:rFonts w:ascii="Times New Roman" w:hAnsi="Times New Roman"/>
          <w:b w:val="0"/>
          <w:i/>
          <w:sz w:val="24"/>
        </w:rPr>
        <w:t>Учёная степень, должность</w:t>
      </w:r>
    </w:p>
    <w:p>
      <w:pPr>
        <w:spacing w:after="0"/>
      </w:pPr>
      <w:r>
        <w:rPr>
          <w:rFonts w:ascii="Times New Roman" w:hAnsi="Times New Roman"/>
          <w:b w:val="0"/>
          <w:sz w:val="24"/>
        </w:rPr>
        <w:t>________________________________________</w:t>
      </w:r>
    </w:p>
    <w:p>
      <w:pPr>
        <w:spacing w:after="200"/>
      </w:pPr>
      <w:r>
        <w:rPr>
          <w:rFonts w:ascii="Times New Roman" w:hAnsi="Times New Roman"/>
          <w:b w:val="0"/>
          <w:i/>
          <w:sz w:val="24"/>
        </w:rPr>
        <w:t>Кафедра / подразделение</w:t>
      </w:r>
    </w:p>
    <w:p>
      <w:pPr>
        <w:spacing w:after="0"/>
      </w:pPr>
      <w:r>
        <w:rPr>
          <w:rFonts w:ascii="Times New Roman" w:hAnsi="Times New Roman"/>
          <w:b w:val="0"/>
          <w:sz w:val="24"/>
        </w:rPr>
        <w:t>________________________________________</w:t>
      </w:r>
    </w:p>
    <w:p>
      <w:pPr>
        <w:spacing w:after="200"/>
      </w:pPr>
      <w:r>
        <w:rPr>
          <w:rFonts w:ascii="Times New Roman" w:hAnsi="Times New Roman"/>
          <w:b w:val="0"/>
          <w:i/>
          <w:sz w:val="24"/>
        </w:rPr>
        <w:t>Организация</w:t>
      </w:r>
    </w:p>
    <w:p>
      <w:pPr>
        <w:spacing w:after="0"/>
      </w:pPr>
      <w:r>
        <w:rPr>
          <w:rFonts w:ascii="Times New Roman" w:hAnsi="Times New Roman"/>
          <w:b w:val="0"/>
          <w:sz w:val="24"/>
        </w:rPr>
        <w:t>________________________________________</w:t>
      </w:r>
    </w:p>
    <w:p>
      <w:pPr>
        <w:spacing w:after="200"/>
      </w:pPr>
      <w:r>
        <w:rPr>
          <w:rFonts w:ascii="Times New Roman" w:hAnsi="Times New Roman"/>
          <w:b w:val="0"/>
          <w:i/>
          <w:sz w:val="24"/>
        </w:rPr>
        <w:t>ФИО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386"/>
          </w:tcPr>
          <w:p>
            <w:r>
              <w:rPr>
                <w:rFonts w:ascii="Times New Roman" w:hAnsi="Times New Roman"/>
                <w:b/>
                <w:sz w:val="24"/>
              </w:rPr>
              <w:t xml:space="preserve">Подпись: </w:t>
            </w:r>
            <w:r>
              <w:rPr>
                <w:rFonts w:ascii="Times New Roman" w:hAnsi="Times New Roman"/>
                <w:sz w:val="24"/>
              </w:rPr>
              <w:t>________________________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/>
                <w:sz w:val="24"/>
              </w:rPr>
              <w:t xml:space="preserve">Дата: </w:t>
            </w:r>
            <w:r>
              <w:rPr>
                <w:rFonts w:ascii="Times New Roman" w:hAnsi="Times New Roman"/>
                <w:sz w:val="24"/>
              </w:rPr>
              <w:t>________________________</w:t>
            </w:r>
          </w:p>
        </w:tc>
      </w:tr>
    </w:tbl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