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D5D" w:rsidRDefault="00634F66">
      <w:pPr>
        <w:rPr>
          <w:lang w:val="en-US"/>
        </w:rPr>
      </w:pPr>
      <w:r>
        <w:rPr>
          <w:noProof/>
          <w:lang w:eastAsia="en-IN"/>
        </w:rPr>
        <w:drawing>
          <wp:inline distT="0" distB="0" distL="0" distR="0">
            <wp:extent cx="9210040" cy="6819462"/>
            <wp:effectExtent l="0" t="0" r="0" b="635"/>
            <wp:docPr id="1" name="Picture 1" descr="https://www.ccacoalition.org/sites/default/files/styles/full_content_width/public/hfcs_large_0.jpg?itok=eibKOc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cacoalition.org/sites/default/files/styles/full_content_width/public/hfcs_large_0.jpg?itok=eibKOc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15222" cy="6823299"/>
                    </a:xfrm>
                    <a:prstGeom prst="rect">
                      <a:avLst/>
                    </a:prstGeom>
                    <a:noFill/>
                    <a:ln>
                      <a:noFill/>
                    </a:ln>
                  </pic:spPr>
                </pic:pic>
              </a:graphicData>
            </a:graphic>
          </wp:inline>
        </w:drawing>
      </w:r>
    </w:p>
    <w:p w:rsidR="00634F66" w:rsidRPr="00634F66" w:rsidRDefault="00634F66" w:rsidP="00634F66">
      <w:pPr>
        <w:shd w:val="clear" w:color="auto" w:fill="FFFFFF"/>
        <w:spacing w:after="525" w:line="300" w:lineRule="atLeast"/>
        <w:jc w:val="center"/>
        <w:textAlignment w:val="baseline"/>
        <w:outlineLvl w:val="0"/>
        <w:rPr>
          <w:rFonts w:ascii="Arial" w:eastAsia="Times New Roman" w:hAnsi="Arial" w:cs="Arial"/>
          <w:b/>
          <w:bCs/>
          <w:color w:val="3BABE2"/>
          <w:spacing w:val="5"/>
          <w:kern w:val="36"/>
          <w:sz w:val="75"/>
          <w:szCs w:val="75"/>
          <w:lang w:eastAsia="en-IN"/>
        </w:rPr>
      </w:pPr>
      <w:r w:rsidRPr="00634F66">
        <w:rPr>
          <w:rFonts w:ascii="Arial" w:eastAsia="Times New Roman" w:hAnsi="Arial" w:cs="Arial"/>
          <w:b/>
          <w:bCs/>
          <w:color w:val="3BABE2"/>
          <w:spacing w:val="5"/>
          <w:kern w:val="36"/>
          <w:sz w:val="75"/>
          <w:szCs w:val="75"/>
          <w:lang w:eastAsia="en-IN"/>
        </w:rPr>
        <w:lastRenderedPageBreak/>
        <w:t>Hydrofluorocarbons (HFC)</w:t>
      </w:r>
    </w:p>
    <w:p w:rsidR="00634F66" w:rsidRDefault="00634F66" w:rsidP="00634F66">
      <w:pPr>
        <w:pStyle w:val="NormalWeb"/>
        <w:shd w:val="clear" w:color="auto" w:fill="FFFFFF"/>
        <w:spacing w:before="0" w:beforeAutospacing="0" w:after="360" w:afterAutospacing="0"/>
        <w:textAlignment w:val="baseline"/>
        <w:rPr>
          <w:rFonts w:ascii="Arial" w:hAnsi="Arial" w:cs="Arial"/>
          <w:color w:val="4A4C50"/>
        </w:rPr>
      </w:pPr>
      <w:r>
        <w:rPr>
          <w:rFonts w:ascii="Arial" w:hAnsi="Arial" w:cs="Arial"/>
          <w:color w:val="4A4C50"/>
        </w:rPr>
        <w:t>Hydrofluorocarbons (HFCs) are a group of industrial chemicals primarily used for cooling and refrigeration. HFCs were developed to replace stratospheric ozone-depleting substances that are currently being phased out under the Montreal Protocol on Substances that Deplete the Ozone Layer.</w:t>
      </w:r>
    </w:p>
    <w:p w:rsidR="00634F66" w:rsidRDefault="00634F66" w:rsidP="00634F66">
      <w:pPr>
        <w:pStyle w:val="NormalWeb"/>
        <w:shd w:val="clear" w:color="auto" w:fill="FFFFFF"/>
        <w:spacing w:before="0" w:beforeAutospacing="0" w:after="360" w:afterAutospacing="0"/>
        <w:textAlignment w:val="baseline"/>
        <w:rPr>
          <w:rFonts w:ascii="Arial" w:hAnsi="Arial" w:cs="Arial"/>
          <w:color w:val="4A4C50"/>
        </w:rPr>
      </w:pPr>
      <w:r>
        <w:rPr>
          <w:rFonts w:ascii="Arial" w:hAnsi="Arial" w:cs="Arial"/>
          <w:color w:val="4A4C50"/>
        </w:rPr>
        <w:t>Many HFCs are very powerful greenhouse gases and a substantial number are short-lived climate pollutants with a lifetime of between 15 and 29 years in the atmosphere.</w:t>
      </w:r>
    </w:p>
    <w:p w:rsidR="00634F66" w:rsidRDefault="00634F66" w:rsidP="00634F66">
      <w:pPr>
        <w:pStyle w:val="NormalWeb"/>
        <w:shd w:val="clear" w:color="auto" w:fill="FFFFFF"/>
        <w:spacing w:before="0" w:beforeAutospacing="0" w:after="360" w:afterAutospacing="0"/>
        <w:textAlignment w:val="baseline"/>
        <w:rPr>
          <w:rFonts w:ascii="Arial" w:hAnsi="Arial" w:cs="Arial"/>
          <w:color w:val="4A4C50"/>
        </w:rPr>
      </w:pPr>
      <w:r>
        <w:rPr>
          <w:rFonts w:ascii="Arial" w:hAnsi="Arial" w:cs="Arial"/>
          <w:color w:val="4A4C50"/>
        </w:rPr>
        <w:t>Though HFCs currently represent around 1% of total greenhouse gases, their impact on global warming can be hundreds to thousands of times greater than that of carbon dioxide per unit of mass. Assuming no new regulation, HFC consumption is projected to double by 2020, and emissions could contribute substantially to radiative forcing in the atmosphere by the middle of the century.</w:t>
      </w:r>
    </w:p>
    <w:p w:rsidR="00634F66" w:rsidRPr="00634F66" w:rsidRDefault="00634F66" w:rsidP="00634F66">
      <w:pPr>
        <w:shd w:val="clear" w:color="auto" w:fill="FFFFFF"/>
        <w:spacing w:after="131" w:line="360" w:lineRule="atLeast"/>
        <w:textAlignment w:val="baseline"/>
        <w:rPr>
          <w:rFonts w:ascii="Arial" w:eastAsia="Times New Roman" w:hAnsi="Arial" w:cs="Arial"/>
          <w:b/>
          <w:bCs/>
          <w:caps/>
          <w:color w:val="7E7E7E"/>
          <w:spacing w:val="24"/>
          <w:sz w:val="27"/>
          <w:szCs w:val="27"/>
          <w:lang w:eastAsia="en-IN"/>
        </w:rPr>
      </w:pPr>
      <w:r w:rsidRPr="00634F66">
        <w:rPr>
          <w:rFonts w:ascii="Arial" w:eastAsia="Times New Roman" w:hAnsi="Arial" w:cs="Arial"/>
          <w:b/>
          <w:bCs/>
          <w:caps/>
          <w:color w:val="7E7E7E"/>
          <w:spacing w:val="24"/>
          <w:sz w:val="27"/>
          <w:szCs w:val="27"/>
          <w:lang w:eastAsia="en-IN"/>
        </w:rPr>
        <w:t>KEY FIGURES</w:t>
      </w:r>
    </w:p>
    <w:tbl>
      <w:tblPr>
        <w:tblW w:w="5000" w:type="pct"/>
        <w:shd w:val="clear" w:color="auto" w:fill="FFFFFF"/>
        <w:tblCellMar>
          <w:left w:w="0" w:type="dxa"/>
          <w:right w:w="0" w:type="dxa"/>
        </w:tblCellMar>
        <w:tblLook w:val="04A0" w:firstRow="1" w:lastRow="0" w:firstColumn="1" w:lastColumn="0" w:noHBand="0" w:noVBand="1"/>
      </w:tblPr>
      <w:tblGrid>
        <w:gridCol w:w="3780"/>
        <w:gridCol w:w="2529"/>
        <w:gridCol w:w="2323"/>
        <w:gridCol w:w="5280"/>
      </w:tblGrid>
      <w:tr w:rsidR="00634F66" w:rsidRPr="00634F66" w:rsidTr="00634F66">
        <w:tc>
          <w:tcPr>
            <w:tcW w:w="2955" w:type="dxa"/>
            <w:tcBorders>
              <w:top w:val="single" w:sz="18" w:space="0" w:color="FFFFFF"/>
              <w:left w:val="single" w:sz="18" w:space="0" w:color="FFFFFF"/>
              <w:bottom w:val="single" w:sz="18" w:space="0" w:color="FFFFFF"/>
              <w:right w:val="single" w:sz="18" w:space="0" w:color="FFFFFF"/>
            </w:tcBorders>
            <w:shd w:val="clear" w:color="auto" w:fill="F0EFE9"/>
            <w:tcMar>
              <w:top w:w="75" w:type="dxa"/>
              <w:left w:w="75" w:type="dxa"/>
              <w:bottom w:w="75" w:type="dxa"/>
              <w:right w:w="75" w:type="dxa"/>
            </w:tcMar>
            <w:hideMark/>
          </w:tcPr>
          <w:p w:rsidR="00634F66" w:rsidRPr="00634F66" w:rsidRDefault="00634F66" w:rsidP="00634F66">
            <w:pPr>
              <w:spacing w:after="0" w:line="240" w:lineRule="auto"/>
              <w:jc w:val="center"/>
              <w:rPr>
                <w:rFonts w:ascii="inherit" w:eastAsia="Times New Roman" w:hAnsi="inherit" w:cs="Arial"/>
                <w:color w:val="4A4C50"/>
                <w:sz w:val="24"/>
                <w:szCs w:val="24"/>
                <w:lang w:eastAsia="en-IN"/>
              </w:rPr>
            </w:pPr>
            <w:r w:rsidRPr="00634F66">
              <w:rPr>
                <w:rFonts w:ascii="inherit" w:eastAsia="Times New Roman" w:hAnsi="inherit" w:cs="Arial"/>
                <w:b/>
                <w:bCs/>
                <w:color w:val="4A4C50"/>
                <w:sz w:val="24"/>
                <w:szCs w:val="24"/>
                <w:bdr w:val="none" w:sz="0" w:space="0" w:color="auto" w:frame="1"/>
                <w:lang w:eastAsia="en-IN"/>
              </w:rPr>
              <w:t>1,430x</w:t>
            </w:r>
          </w:p>
        </w:tc>
        <w:tc>
          <w:tcPr>
            <w:tcW w:w="2955" w:type="dxa"/>
            <w:tcBorders>
              <w:top w:val="single" w:sz="18" w:space="0" w:color="FFFFFF"/>
              <w:left w:val="single" w:sz="18" w:space="0" w:color="FFFFFF"/>
              <w:bottom w:val="single" w:sz="18" w:space="0" w:color="FFFFFF"/>
              <w:right w:val="single" w:sz="18" w:space="0" w:color="FFFFFF"/>
            </w:tcBorders>
            <w:shd w:val="clear" w:color="auto" w:fill="F0EFE9"/>
            <w:tcMar>
              <w:top w:w="75" w:type="dxa"/>
              <w:left w:w="75" w:type="dxa"/>
              <w:bottom w:w="75" w:type="dxa"/>
              <w:right w:w="75" w:type="dxa"/>
            </w:tcMar>
            <w:hideMark/>
          </w:tcPr>
          <w:p w:rsidR="00634F66" w:rsidRPr="00634F66" w:rsidRDefault="00634F66" w:rsidP="00634F66">
            <w:pPr>
              <w:spacing w:after="0" w:line="240" w:lineRule="auto"/>
              <w:jc w:val="center"/>
              <w:rPr>
                <w:rFonts w:ascii="inherit" w:eastAsia="Times New Roman" w:hAnsi="inherit" w:cs="Arial"/>
                <w:color w:val="4A4C50"/>
                <w:sz w:val="24"/>
                <w:szCs w:val="24"/>
                <w:lang w:eastAsia="en-IN"/>
              </w:rPr>
            </w:pPr>
            <w:r w:rsidRPr="00634F66">
              <w:rPr>
                <w:rFonts w:ascii="inherit" w:eastAsia="Times New Roman" w:hAnsi="inherit" w:cs="Arial"/>
                <w:b/>
                <w:bCs/>
                <w:color w:val="4A4C50"/>
                <w:sz w:val="24"/>
                <w:szCs w:val="24"/>
                <w:bdr w:val="none" w:sz="0" w:space="0" w:color="auto" w:frame="1"/>
                <w:lang w:eastAsia="en-IN"/>
              </w:rPr>
              <w:t>10-15%</w:t>
            </w:r>
          </w:p>
        </w:tc>
        <w:tc>
          <w:tcPr>
            <w:tcW w:w="2955" w:type="dxa"/>
            <w:tcBorders>
              <w:top w:val="single" w:sz="18" w:space="0" w:color="FFFFFF"/>
              <w:left w:val="single" w:sz="18" w:space="0" w:color="FFFFFF"/>
              <w:bottom w:val="single" w:sz="18" w:space="0" w:color="FFFFFF"/>
              <w:right w:val="single" w:sz="18" w:space="0" w:color="FFFFFF"/>
            </w:tcBorders>
            <w:shd w:val="clear" w:color="auto" w:fill="F0EFE9"/>
            <w:tcMar>
              <w:top w:w="75" w:type="dxa"/>
              <w:left w:w="75" w:type="dxa"/>
              <w:bottom w:w="75" w:type="dxa"/>
              <w:right w:w="75" w:type="dxa"/>
            </w:tcMar>
            <w:hideMark/>
          </w:tcPr>
          <w:p w:rsidR="00634F66" w:rsidRPr="00634F66" w:rsidRDefault="00634F66" w:rsidP="00634F66">
            <w:pPr>
              <w:spacing w:after="0" w:line="240" w:lineRule="auto"/>
              <w:jc w:val="center"/>
              <w:rPr>
                <w:rFonts w:ascii="inherit" w:eastAsia="Times New Roman" w:hAnsi="inherit" w:cs="Arial"/>
                <w:color w:val="4A4C50"/>
                <w:sz w:val="24"/>
                <w:szCs w:val="24"/>
                <w:lang w:eastAsia="en-IN"/>
              </w:rPr>
            </w:pPr>
            <w:r w:rsidRPr="00634F66">
              <w:rPr>
                <w:rFonts w:ascii="inherit" w:eastAsia="Times New Roman" w:hAnsi="inherit" w:cs="Arial"/>
                <w:b/>
                <w:bCs/>
                <w:color w:val="4A4C50"/>
                <w:sz w:val="24"/>
                <w:szCs w:val="24"/>
                <w:bdr w:val="none" w:sz="0" w:space="0" w:color="auto" w:frame="1"/>
                <w:lang w:eastAsia="en-IN"/>
              </w:rPr>
              <w:t>29 years</w:t>
            </w:r>
          </w:p>
        </w:tc>
        <w:tc>
          <w:tcPr>
            <w:tcW w:w="2955" w:type="dxa"/>
            <w:tcBorders>
              <w:top w:val="single" w:sz="18" w:space="0" w:color="FFFFFF"/>
              <w:left w:val="single" w:sz="18" w:space="0" w:color="FFFFFF"/>
              <w:bottom w:val="single" w:sz="18" w:space="0" w:color="FFFFFF"/>
              <w:right w:val="single" w:sz="18" w:space="0" w:color="FFFFFF"/>
            </w:tcBorders>
            <w:shd w:val="clear" w:color="auto" w:fill="F0EFE9"/>
            <w:tcMar>
              <w:top w:w="75" w:type="dxa"/>
              <w:left w:w="75" w:type="dxa"/>
              <w:bottom w:w="75" w:type="dxa"/>
              <w:right w:w="75" w:type="dxa"/>
            </w:tcMar>
            <w:hideMark/>
          </w:tcPr>
          <w:p w:rsidR="00634F66" w:rsidRPr="00634F66" w:rsidRDefault="00634F66" w:rsidP="00634F66">
            <w:pPr>
              <w:spacing w:after="0" w:line="240" w:lineRule="auto"/>
              <w:jc w:val="center"/>
              <w:rPr>
                <w:rFonts w:ascii="inherit" w:eastAsia="Times New Roman" w:hAnsi="inherit" w:cs="Arial"/>
                <w:color w:val="4A4C50"/>
                <w:sz w:val="24"/>
                <w:szCs w:val="24"/>
                <w:lang w:eastAsia="en-IN"/>
              </w:rPr>
            </w:pPr>
            <w:r w:rsidRPr="00634F66">
              <w:rPr>
                <w:rFonts w:ascii="inherit" w:eastAsia="Times New Roman" w:hAnsi="inherit" w:cs="Arial"/>
                <w:b/>
                <w:bCs/>
                <w:color w:val="4A4C50"/>
                <w:sz w:val="24"/>
                <w:szCs w:val="24"/>
                <w:bdr w:val="none" w:sz="0" w:space="0" w:color="auto" w:frame="1"/>
                <w:lang w:eastAsia="en-IN"/>
              </w:rPr>
              <w:t>5.6 billion</w:t>
            </w:r>
          </w:p>
        </w:tc>
      </w:tr>
      <w:tr w:rsidR="00634F66" w:rsidRPr="00634F66" w:rsidTr="00634F66">
        <w:tc>
          <w:tcPr>
            <w:tcW w:w="0" w:type="auto"/>
            <w:tcBorders>
              <w:top w:val="single" w:sz="6" w:space="0" w:color="F0EFE9"/>
              <w:left w:val="single" w:sz="6" w:space="0" w:color="F0EFE9"/>
              <w:bottom w:val="single" w:sz="6" w:space="0" w:color="F0EFE9"/>
              <w:right w:val="single" w:sz="6" w:space="0" w:color="F0EFE9"/>
            </w:tcBorders>
            <w:shd w:val="clear" w:color="auto" w:fill="FFFFFF"/>
            <w:tcMar>
              <w:top w:w="75" w:type="dxa"/>
              <w:left w:w="75" w:type="dxa"/>
              <w:bottom w:w="75" w:type="dxa"/>
              <w:right w:w="75" w:type="dxa"/>
            </w:tcMar>
            <w:hideMark/>
          </w:tcPr>
          <w:p w:rsidR="00634F66" w:rsidRPr="00634F66" w:rsidRDefault="00634F66" w:rsidP="00634F66">
            <w:pPr>
              <w:spacing w:after="0" w:line="240" w:lineRule="auto"/>
              <w:rPr>
                <w:rFonts w:ascii="inherit" w:eastAsia="Times New Roman" w:hAnsi="inherit" w:cs="Arial"/>
                <w:color w:val="4A4C50"/>
                <w:sz w:val="24"/>
                <w:szCs w:val="24"/>
                <w:lang w:eastAsia="en-IN"/>
              </w:rPr>
            </w:pPr>
            <w:r w:rsidRPr="00634F66">
              <w:rPr>
                <w:rFonts w:ascii="inherit" w:eastAsia="Times New Roman" w:hAnsi="inherit" w:cs="Arial"/>
                <w:color w:val="4A4C50"/>
                <w:sz w:val="24"/>
                <w:szCs w:val="24"/>
                <w:lang w:eastAsia="en-IN"/>
              </w:rPr>
              <w:t>The most abundant HFC is 1,430 times more damaging to the climate than carbon dioxide per unit of mass</w:t>
            </w:r>
          </w:p>
        </w:tc>
        <w:tc>
          <w:tcPr>
            <w:tcW w:w="0" w:type="auto"/>
            <w:tcBorders>
              <w:top w:val="single" w:sz="6" w:space="0" w:color="F0EFE9"/>
              <w:left w:val="single" w:sz="6" w:space="0" w:color="F0EFE9"/>
              <w:bottom w:val="single" w:sz="6" w:space="0" w:color="F0EFE9"/>
              <w:right w:val="single" w:sz="6" w:space="0" w:color="F0EFE9"/>
            </w:tcBorders>
            <w:shd w:val="clear" w:color="auto" w:fill="FFFFFF"/>
            <w:tcMar>
              <w:top w:w="75" w:type="dxa"/>
              <w:left w:w="75" w:type="dxa"/>
              <w:bottom w:w="75" w:type="dxa"/>
              <w:right w:w="75" w:type="dxa"/>
            </w:tcMar>
            <w:hideMark/>
          </w:tcPr>
          <w:p w:rsidR="00634F66" w:rsidRPr="00634F66" w:rsidRDefault="00634F66" w:rsidP="00634F66">
            <w:pPr>
              <w:spacing w:after="0" w:line="240" w:lineRule="auto"/>
              <w:textAlignment w:val="baseline"/>
              <w:rPr>
                <w:rFonts w:ascii="inherit" w:eastAsia="Times New Roman" w:hAnsi="inherit" w:cs="Arial"/>
                <w:color w:val="4A4C50"/>
                <w:sz w:val="24"/>
                <w:szCs w:val="24"/>
                <w:lang w:eastAsia="en-IN"/>
              </w:rPr>
            </w:pPr>
            <w:r w:rsidRPr="00634F66">
              <w:rPr>
                <w:rFonts w:ascii="inherit" w:eastAsia="Times New Roman" w:hAnsi="inherit" w:cs="Arial"/>
                <w:color w:val="4A4C50"/>
                <w:sz w:val="24"/>
                <w:szCs w:val="24"/>
                <w:lang w:eastAsia="en-IN"/>
              </w:rPr>
              <w:t>Emissions of HFCs are growing at a rate of 10-15% per year</w:t>
            </w:r>
          </w:p>
        </w:tc>
        <w:tc>
          <w:tcPr>
            <w:tcW w:w="0" w:type="auto"/>
            <w:tcBorders>
              <w:top w:val="single" w:sz="6" w:space="0" w:color="F0EFE9"/>
              <w:left w:val="single" w:sz="6" w:space="0" w:color="F0EFE9"/>
              <w:bottom w:val="single" w:sz="6" w:space="0" w:color="F0EFE9"/>
              <w:right w:val="single" w:sz="6" w:space="0" w:color="F0EFE9"/>
            </w:tcBorders>
            <w:shd w:val="clear" w:color="auto" w:fill="FFFFFF"/>
            <w:tcMar>
              <w:top w:w="75" w:type="dxa"/>
              <w:left w:w="75" w:type="dxa"/>
              <w:bottom w:w="75" w:type="dxa"/>
              <w:right w:w="75" w:type="dxa"/>
            </w:tcMar>
            <w:hideMark/>
          </w:tcPr>
          <w:p w:rsidR="00634F66" w:rsidRPr="00634F66" w:rsidRDefault="00634F66" w:rsidP="00634F66">
            <w:pPr>
              <w:spacing w:after="0" w:line="240" w:lineRule="auto"/>
              <w:rPr>
                <w:rFonts w:ascii="inherit" w:eastAsia="Times New Roman" w:hAnsi="inherit" w:cs="Arial"/>
                <w:color w:val="4A4C50"/>
                <w:sz w:val="24"/>
                <w:szCs w:val="24"/>
                <w:lang w:eastAsia="en-IN"/>
              </w:rPr>
            </w:pPr>
            <w:r w:rsidRPr="00634F66">
              <w:rPr>
                <w:rFonts w:ascii="inherit" w:eastAsia="Times New Roman" w:hAnsi="inherit" w:cs="Arial"/>
                <w:color w:val="4A4C50"/>
                <w:sz w:val="24"/>
                <w:szCs w:val="24"/>
                <w:lang w:eastAsia="en-IN"/>
              </w:rPr>
              <w:t>HFCs remain in the atmosphere for up to 29 years</w:t>
            </w:r>
          </w:p>
        </w:tc>
        <w:tc>
          <w:tcPr>
            <w:tcW w:w="0" w:type="auto"/>
            <w:tcBorders>
              <w:top w:val="single" w:sz="6" w:space="0" w:color="F0EFE9"/>
              <w:left w:val="single" w:sz="6" w:space="0" w:color="F0EFE9"/>
              <w:bottom w:val="single" w:sz="6" w:space="0" w:color="F0EFE9"/>
              <w:right w:val="single" w:sz="6" w:space="0" w:color="F0EFE9"/>
            </w:tcBorders>
            <w:shd w:val="clear" w:color="auto" w:fill="FFFFFF"/>
            <w:tcMar>
              <w:top w:w="75" w:type="dxa"/>
              <w:left w:w="75" w:type="dxa"/>
              <w:bottom w:w="75" w:type="dxa"/>
              <w:right w:w="75" w:type="dxa"/>
            </w:tcMar>
            <w:hideMark/>
          </w:tcPr>
          <w:p w:rsidR="00634F66" w:rsidRPr="00634F66" w:rsidRDefault="00634F66" w:rsidP="00634F66">
            <w:pPr>
              <w:spacing w:after="0" w:line="240" w:lineRule="auto"/>
              <w:rPr>
                <w:rFonts w:ascii="inherit" w:eastAsia="Times New Roman" w:hAnsi="inherit" w:cs="Arial"/>
                <w:color w:val="4A4C50"/>
                <w:sz w:val="24"/>
                <w:szCs w:val="24"/>
                <w:lang w:eastAsia="en-IN"/>
              </w:rPr>
            </w:pPr>
            <w:r w:rsidRPr="00634F66">
              <w:rPr>
                <w:rFonts w:ascii="inherit" w:eastAsia="Times New Roman" w:hAnsi="inherit" w:cs="Arial"/>
                <w:color w:val="4A4C50"/>
                <w:sz w:val="24"/>
                <w:szCs w:val="24"/>
                <w:lang w:eastAsia="en-IN"/>
              </w:rPr>
              <w:t>The global stock of air conditioners in buildings will grow to 5.6 billion by 2050,  which amounts to 10 new units sold every second for the next 30 years</w:t>
            </w:r>
          </w:p>
        </w:tc>
      </w:tr>
    </w:tbl>
    <w:p w:rsidR="00634F66" w:rsidRDefault="00634F66">
      <w:pPr>
        <w:rPr>
          <w:lang w:val="en-US"/>
        </w:rPr>
      </w:pPr>
    </w:p>
    <w:p w:rsidR="00634F66" w:rsidRPr="00634F66" w:rsidRDefault="00634F66" w:rsidP="00634F66">
      <w:pPr>
        <w:shd w:val="clear" w:color="auto" w:fill="FFFFFF"/>
        <w:spacing w:line="420" w:lineRule="atLeast"/>
        <w:textAlignment w:val="baseline"/>
        <w:rPr>
          <w:rFonts w:ascii="Arial" w:eastAsia="Times New Roman" w:hAnsi="Arial" w:cs="Arial"/>
          <w:b/>
          <w:bCs/>
          <w:caps/>
          <w:color w:val="2B509A"/>
          <w:sz w:val="42"/>
          <w:szCs w:val="42"/>
          <w:lang w:eastAsia="en-IN"/>
        </w:rPr>
      </w:pPr>
      <w:r w:rsidRPr="00634F66">
        <w:rPr>
          <w:rFonts w:ascii="Arial" w:eastAsia="Times New Roman" w:hAnsi="Arial" w:cs="Arial"/>
          <w:b/>
          <w:bCs/>
          <w:caps/>
          <w:color w:val="2B509A"/>
          <w:sz w:val="42"/>
          <w:szCs w:val="42"/>
          <w:lang w:eastAsia="en-IN"/>
        </w:rPr>
        <w:t>PRIMARY HFC SOURCES</w:t>
      </w:r>
    </w:p>
    <w:p w:rsidR="00634F66" w:rsidRPr="00634F66" w:rsidRDefault="00634F66" w:rsidP="00634F66">
      <w:pPr>
        <w:shd w:val="clear" w:color="auto" w:fill="FFFFFF"/>
        <w:spacing w:after="360" w:line="240" w:lineRule="auto"/>
        <w:textAlignment w:val="baseline"/>
        <w:rPr>
          <w:rFonts w:ascii="Arial" w:eastAsia="Times New Roman" w:hAnsi="Arial" w:cs="Arial"/>
          <w:color w:val="4A4C50"/>
          <w:sz w:val="24"/>
          <w:szCs w:val="24"/>
          <w:lang w:eastAsia="en-IN"/>
        </w:rPr>
      </w:pPr>
      <w:r w:rsidRPr="00634F66">
        <w:rPr>
          <w:rFonts w:ascii="Arial" w:eastAsia="Times New Roman" w:hAnsi="Arial" w:cs="Arial"/>
          <w:color w:val="4A4C50"/>
          <w:sz w:val="24"/>
          <w:szCs w:val="24"/>
          <w:lang w:eastAsia="en-IN"/>
        </w:rPr>
        <w:t>HFCs are entirely man-made. They are primarily produced for use in refrigeration, air-conditioning, insulating foams and aerosol propellants, with minor uses as solvents and for fire protection. Most HFCs are contained within equipment, so emissions are the result of wear, faulty maintenance, or leakage at the end of a product’s lifetime.</w:t>
      </w:r>
    </w:p>
    <w:p w:rsidR="00634F66" w:rsidRPr="00634F66" w:rsidRDefault="00634F66" w:rsidP="00634F66">
      <w:pPr>
        <w:shd w:val="clear" w:color="auto" w:fill="FFFFFF"/>
        <w:spacing w:after="0" w:line="240" w:lineRule="auto"/>
        <w:textAlignment w:val="baseline"/>
        <w:rPr>
          <w:rFonts w:ascii="Arial" w:eastAsia="Times New Roman" w:hAnsi="Arial" w:cs="Arial"/>
          <w:color w:val="4A4C50"/>
          <w:sz w:val="24"/>
          <w:szCs w:val="24"/>
          <w:lang w:eastAsia="en-IN"/>
        </w:rPr>
      </w:pPr>
      <w:r w:rsidRPr="00634F66">
        <w:rPr>
          <w:rFonts w:ascii="Arial" w:eastAsia="Times New Roman" w:hAnsi="Arial" w:cs="Arial"/>
          <w:color w:val="4A4C50"/>
          <w:sz w:val="24"/>
          <w:szCs w:val="24"/>
          <w:lang w:eastAsia="en-IN"/>
        </w:rPr>
        <w:lastRenderedPageBreak/>
        <w:t>HFCs have only been commercialized since the early 1990s, and their abundance in the atmosphere is currently small. They are, however, among the fastest growing greenhouse gases, largely as a result of increasing demand for refrigeration and air-conditioning, particularly in developing countries. Emissions of these gases are growing at a rate of 10-15% per year, which will cause a </w:t>
      </w:r>
      <w:hyperlink r:id="rId6" w:history="1">
        <w:r w:rsidRPr="00634F66">
          <w:rPr>
            <w:rFonts w:ascii="inherit" w:eastAsia="Times New Roman" w:hAnsi="inherit" w:cs="Arial"/>
            <w:color w:val="3BABE2"/>
            <w:sz w:val="24"/>
            <w:szCs w:val="24"/>
            <w:u w:val="single"/>
            <w:bdr w:val="none" w:sz="0" w:space="0" w:color="auto" w:frame="1"/>
            <w:lang w:eastAsia="en-IN"/>
          </w:rPr>
          <w:t>doubling every five to seven years</w:t>
        </w:r>
      </w:hyperlink>
      <w:r w:rsidRPr="00634F66">
        <w:rPr>
          <w:rFonts w:ascii="Arial" w:eastAsia="Times New Roman" w:hAnsi="Arial" w:cs="Arial"/>
          <w:color w:val="4A4C50"/>
          <w:sz w:val="24"/>
          <w:szCs w:val="24"/>
          <w:lang w:eastAsia="en-IN"/>
        </w:rPr>
        <w:t>.</w:t>
      </w:r>
    </w:p>
    <w:p w:rsidR="00634F66" w:rsidRDefault="00634F66">
      <w:pPr>
        <w:rPr>
          <w:lang w:val="en-US"/>
        </w:rPr>
      </w:pPr>
    </w:p>
    <w:p w:rsidR="00634F66" w:rsidRDefault="00634F66">
      <w:pPr>
        <w:rPr>
          <w:lang w:val="en-US"/>
        </w:rPr>
      </w:pPr>
      <w:r>
        <w:rPr>
          <w:noProof/>
          <w:lang w:eastAsia="en-IN"/>
        </w:rPr>
        <w:drawing>
          <wp:inline distT="0" distB="0" distL="0" distR="0">
            <wp:extent cx="4772463" cy="4255135"/>
            <wp:effectExtent l="0" t="0" r="9525" b="0"/>
            <wp:docPr id="2" name="Picture 2" descr="HFC emissions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C emissions tr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573" cy="4258800"/>
                    </a:xfrm>
                    <a:prstGeom prst="rect">
                      <a:avLst/>
                    </a:prstGeom>
                    <a:noFill/>
                    <a:ln>
                      <a:noFill/>
                    </a:ln>
                  </pic:spPr>
                </pic:pic>
              </a:graphicData>
            </a:graphic>
          </wp:inline>
        </w:drawing>
      </w:r>
    </w:p>
    <w:p w:rsidR="00634F66" w:rsidRDefault="00634F66">
      <w:pPr>
        <w:rPr>
          <w:lang w:val="en-US"/>
        </w:rPr>
      </w:pPr>
    </w:p>
    <w:p w:rsidR="00634F66" w:rsidRDefault="00634F66" w:rsidP="00634F66">
      <w:pPr>
        <w:pStyle w:val="NormalWeb"/>
        <w:shd w:val="clear" w:color="auto" w:fill="FFFFFF"/>
        <w:spacing w:before="0" w:beforeAutospacing="0" w:after="360" w:afterAutospacing="0"/>
        <w:textAlignment w:val="baseline"/>
        <w:rPr>
          <w:rFonts w:ascii="Arial" w:hAnsi="Arial" w:cs="Arial"/>
          <w:color w:val="4A4C50"/>
        </w:rPr>
      </w:pPr>
      <w:r>
        <w:rPr>
          <w:rFonts w:ascii="Arial" w:hAnsi="Arial" w:cs="Arial"/>
          <w:color w:val="4A4C50"/>
        </w:rPr>
        <w:lastRenderedPageBreak/>
        <w:t>HFCs can be most effectively controlled through a phase down of their production and consumption.</w:t>
      </w:r>
    </w:p>
    <w:p w:rsidR="00634F66" w:rsidRDefault="00634F66" w:rsidP="00634F66">
      <w:pPr>
        <w:pStyle w:val="NormalWeb"/>
        <w:shd w:val="clear" w:color="auto" w:fill="FFFFFF"/>
        <w:spacing w:before="0" w:beforeAutospacing="0" w:after="0" w:afterAutospacing="0"/>
        <w:textAlignment w:val="baseline"/>
        <w:rPr>
          <w:rFonts w:ascii="Arial" w:hAnsi="Arial" w:cs="Arial"/>
          <w:color w:val="4A4C50"/>
        </w:rPr>
      </w:pPr>
      <w:r>
        <w:rPr>
          <w:rFonts w:ascii="Arial" w:hAnsi="Arial" w:cs="Arial"/>
          <w:color w:val="4A4C50"/>
        </w:rPr>
        <w:t>In addition to the direct climate benefits from HFC mitigation, a global HFC phase down could also provide </w:t>
      </w:r>
      <w:hyperlink r:id="rId8" w:history="1">
        <w:r>
          <w:rPr>
            <w:rStyle w:val="Hyperlink"/>
            <w:rFonts w:ascii="inherit" w:hAnsi="inherit" w:cs="Arial"/>
            <w:color w:val="3BABE2"/>
            <w:bdr w:val="none" w:sz="0" w:space="0" w:color="auto" w:frame="1"/>
          </w:rPr>
          <w:t>indirect benefits</w:t>
        </w:r>
      </w:hyperlink>
      <w:r>
        <w:rPr>
          <w:rFonts w:ascii="Arial" w:hAnsi="Arial" w:cs="Arial"/>
          <w:color w:val="4A4C50"/>
        </w:rPr>
        <w:t> through improvements in the energy efficiency of the refrigerators, air conditioners, and other products and equipment that use these chemicals. These efficiency gains could also lead to reduced emissions of CO</w:t>
      </w:r>
      <w:r>
        <w:rPr>
          <w:rFonts w:ascii="inherit" w:hAnsi="inherit" w:cs="Arial"/>
          <w:color w:val="4A4C50"/>
          <w:sz w:val="18"/>
          <w:szCs w:val="18"/>
          <w:bdr w:val="none" w:sz="0" w:space="0" w:color="auto" w:frame="1"/>
          <w:vertAlign w:val="subscript"/>
        </w:rPr>
        <w:t>2</w:t>
      </w:r>
      <w:r>
        <w:rPr>
          <w:rFonts w:ascii="Arial" w:hAnsi="Arial" w:cs="Arial"/>
          <w:color w:val="4A4C50"/>
        </w:rPr>
        <w:t> and other air pollutants.</w:t>
      </w:r>
    </w:p>
    <w:p w:rsidR="00634F66" w:rsidRDefault="00634F66">
      <w:pPr>
        <w:rPr>
          <w:lang w:val="en-US"/>
        </w:rPr>
      </w:pPr>
    </w:p>
    <w:p w:rsidR="00A837EB" w:rsidRDefault="00A837EB">
      <w:pPr>
        <w:rPr>
          <w:lang w:val="en-US"/>
        </w:rPr>
      </w:pPr>
    </w:p>
    <w:p w:rsidR="00A837EB" w:rsidRDefault="00A837EB" w:rsidP="00A837EB">
      <w:pPr>
        <w:numPr>
          <w:ilvl w:val="0"/>
          <w:numId w:val="1"/>
        </w:numPr>
        <w:shd w:val="clear" w:color="auto" w:fill="FFFFFF"/>
        <w:spacing w:before="100" w:beforeAutospacing="1" w:after="60" w:line="240" w:lineRule="auto"/>
        <w:rPr>
          <w:rFonts w:ascii="Helvetica" w:hAnsi="Helvetica"/>
          <w:color w:val="212121"/>
          <w:sz w:val="26"/>
          <w:szCs w:val="26"/>
        </w:rPr>
      </w:pPr>
      <w:hyperlink r:id="rId9" w:anchor="methane" w:history="1">
        <w:r>
          <w:rPr>
            <w:rStyle w:val="Strong"/>
            <w:rFonts w:ascii="Helvetica" w:hAnsi="Helvetica"/>
            <w:color w:val="4C2C92"/>
            <w:sz w:val="26"/>
            <w:szCs w:val="26"/>
            <w:u w:val="single"/>
          </w:rPr>
          <w:t>Methane (CH</w:t>
        </w:r>
        <w:r>
          <w:rPr>
            <w:rStyle w:val="Strong"/>
            <w:rFonts w:ascii="Helvetica" w:hAnsi="Helvetica"/>
            <w:color w:val="4C2C92"/>
            <w:sz w:val="19"/>
            <w:szCs w:val="19"/>
            <w:u w:val="single"/>
            <w:vertAlign w:val="subscript"/>
          </w:rPr>
          <w:t>4</w:t>
        </w:r>
        <w:r>
          <w:rPr>
            <w:rStyle w:val="Strong"/>
            <w:rFonts w:ascii="Helvetica" w:hAnsi="Helvetica"/>
            <w:color w:val="4C2C92"/>
            <w:sz w:val="26"/>
            <w:szCs w:val="26"/>
            <w:u w:val="single"/>
          </w:rPr>
          <w:t>)</w:t>
        </w:r>
      </w:hyperlink>
      <w:r>
        <w:rPr>
          <w:rFonts w:ascii="Helvetica" w:hAnsi="Helvetica"/>
          <w:color w:val="212121"/>
          <w:sz w:val="26"/>
          <w:szCs w:val="26"/>
        </w:rPr>
        <w:t>: Methane is emitted during the production and transport of coal, natural gas, and oil. Methane emissions also result from livestock and other agricultural practices and by the decay of organic waste in municipal solid waste landfills.</w:t>
      </w:r>
    </w:p>
    <w:p w:rsidR="00A837EB" w:rsidRDefault="00A837EB" w:rsidP="00A837EB">
      <w:pPr>
        <w:numPr>
          <w:ilvl w:val="0"/>
          <w:numId w:val="1"/>
        </w:numPr>
        <w:shd w:val="clear" w:color="auto" w:fill="FFFFFF"/>
        <w:spacing w:before="100" w:beforeAutospacing="1" w:after="60" w:line="240" w:lineRule="auto"/>
        <w:rPr>
          <w:rFonts w:ascii="Helvetica" w:hAnsi="Helvetica"/>
          <w:color w:val="212121"/>
          <w:sz w:val="26"/>
          <w:szCs w:val="26"/>
        </w:rPr>
      </w:pPr>
      <w:hyperlink r:id="rId10" w:anchor="nitrous-oxide" w:history="1">
        <w:r>
          <w:rPr>
            <w:rStyle w:val="Strong"/>
            <w:rFonts w:ascii="Helvetica" w:hAnsi="Helvetica"/>
            <w:color w:val="4C2C92"/>
            <w:sz w:val="26"/>
            <w:szCs w:val="26"/>
            <w:u w:val="single"/>
          </w:rPr>
          <w:t>Nitrous oxide (N</w:t>
        </w:r>
        <w:r>
          <w:rPr>
            <w:rStyle w:val="Strong"/>
            <w:rFonts w:ascii="Helvetica" w:hAnsi="Helvetica"/>
            <w:color w:val="4C2C92"/>
            <w:sz w:val="19"/>
            <w:szCs w:val="19"/>
            <w:u w:val="single"/>
            <w:vertAlign w:val="subscript"/>
          </w:rPr>
          <w:t>2</w:t>
        </w:r>
        <w:r>
          <w:rPr>
            <w:rStyle w:val="Strong"/>
            <w:rFonts w:ascii="Helvetica" w:hAnsi="Helvetica"/>
            <w:color w:val="4C2C92"/>
            <w:sz w:val="26"/>
            <w:szCs w:val="26"/>
            <w:u w:val="single"/>
          </w:rPr>
          <w:t>O)</w:t>
        </w:r>
      </w:hyperlink>
      <w:r>
        <w:rPr>
          <w:rFonts w:ascii="Helvetica" w:hAnsi="Helvetica"/>
          <w:color w:val="212121"/>
          <w:sz w:val="26"/>
          <w:szCs w:val="26"/>
        </w:rPr>
        <w:t>: Nitrous oxide is emitted during agricultural and industrial activities, combustion of fossil fuels and solid waste, as well as during treatment of wastewater.</w:t>
      </w:r>
    </w:p>
    <w:p w:rsidR="00A837EB" w:rsidRDefault="00A837EB" w:rsidP="00A837EB">
      <w:pPr>
        <w:numPr>
          <w:ilvl w:val="0"/>
          <w:numId w:val="1"/>
        </w:numPr>
        <w:shd w:val="clear" w:color="auto" w:fill="FFFFFF"/>
        <w:spacing w:before="100" w:beforeAutospacing="1" w:after="60" w:line="240" w:lineRule="auto"/>
        <w:rPr>
          <w:rFonts w:ascii="Helvetica" w:hAnsi="Helvetica"/>
          <w:color w:val="212121"/>
          <w:sz w:val="26"/>
          <w:szCs w:val="26"/>
        </w:rPr>
      </w:pPr>
      <w:hyperlink r:id="rId11" w:anchor="f-gases" w:history="1">
        <w:r>
          <w:rPr>
            <w:rStyle w:val="Strong"/>
            <w:rFonts w:ascii="Helvetica" w:hAnsi="Helvetica"/>
            <w:color w:val="4C2C92"/>
            <w:sz w:val="26"/>
            <w:szCs w:val="26"/>
            <w:u w:val="single"/>
          </w:rPr>
          <w:t>Fluorinated gases</w:t>
        </w:r>
      </w:hyperlink>
      <w:r>
        <w:rPr>
          <w:rFonts w:ascii="Helvetica" w:hAnsi="Helvetica"/>
          <w:color w:val="212121"/>
          <w:sz w:val="26"/>
          <w:szCs w:val="26"/>
        </w:rPr>
        <w:t xml:space="preserve">: Hydrofluorocarbons, perfluorocarbons, </w:t>
      </w:r>
      <w:proofErr w:type="spellStart"/>
      <w:r>
        <w:rPr>
          <w:rFonts w:ascii="Helvetica" w:hAnsi="Helvetica"/>
          <w:color w:val="212121"/>
          <w:sz w:val="26"/>
          <w:szCs w:val="26"/>
        </w:rPr>
        <w:t>sulfur</w:t>
      </w:r>
      <w:proofErr w:type="spellEnd"/>
      <w:r>
        <w:rPr>
          <w:rFonts w:ascii="Helvetica" w:hAnsi="Helvetica"/>
          <w:color w:val="212121"/>
          <w:sz w:val="26"/>
          <w:szCs w:val="26"/>
        </w:rPr>
        <w:t xml:space="preserve"> hexafluoride, and nitrogen </w:t>
      </w:r>
      <w:proofErr w:type="spellStart"/>
      <w:r>
        <w:rPr>
          <w:rFonts w:ascii="Helvetica" w:hAnsi="Helvetica"/>
          <w:color w:val="212121"/>
          <w:sz w:val="26"/>
          <w:szCs w:val="26"/>
        </w:rPr>
        <w:t>trifluoride</w:t>
      </w:r>
      <w:proofErr w:type="spellEnd"/>
      <w:r>
        <w:rPr>
          <w:rFonts w:ascii="Helvetica" w:hAnsi="Helvetica"/>
          <w:color w:val="212121"/>
          <w:sz w:val="26"/>
          <w:szCs w:val="26"/>
        </w:rPr>
        <w:t xml:space="preserve"> are synthetic, powerful greenhouse gases that are emitted from a variety of industrial processes. Fluorinated gases are sometimes used as substitutes for stratospheric </w:t>
      </w:r>
      <w:hyperlink r:id="rId12" w:history="1">
        <w:r>
          <w:rPr>
            <w:rStyle w:val="Hyperlink"/>
            <w:rFonts w:ascii="Helvetica" w:hAnsi="Helvetica"/>
            <w:color w:val="4C2C92"/>
            <w:sz w:val="26"/>
            <w:szCs w:val="26"/>
          </w:rPr>
          <w:t>ozone-depleting substances</w:t>
        </w:r>
      </w:hyperlink>
      <w:r>
        <w:rPr>
          <w:rFonts w:ascii="Helvetica" w:hAnsi="Helvetica"/>
          <w:color w:val="212121"/>
          <w:sz w:val="26"/>
          <w:szCs w:val="26"/>
        </w:rPr>
        <w:t xml:space="preserve"> (e.g., chlorofluorocarbons, </w:t>
      </w:r>
      <w:proofErr w:type="spellStart"/>
      <w:r>
        <w:rPr>
          <w:rFonts w:ascii="Helvetica" w:hAnsi="Helvetica"/>
          <w:color w:val="212121"/>
          <w:sz w:val="26"/>
          <w:szCs w:val="26"/>
        </w:rPr>
        <w:t>hydrochlorofluorocarbons</w:t>
      </w:r>
      <w:proofErr w:type="spellEnd"/>
      <w:r>
        <w:rPr>
          <w:rFonts w:ascii="Helvetica" w:hAnsi="Helvetica"/>
          <w:color w:val="212121"/>
          <w:sz w:val="26"/>
          <w:szCs w:val="26"/>
        </w:rPr>
        <w:t>, and halons). These gases are typically emitted in smaller quantities, but because they are potent greenhouse gases, they are sometimes referred to as High </w:t>
      </w:r>
      <w:hyperlink r:id="rId13" w:history="1">
        <w:r>
          <w:rPr>
            <w:rStyle w:val="Hyperlink"/>
            <w:rFonts w:ascii="Helvetica" w:hAnsi="Helvetica"/>
            <w:color w:val="4C2C92"/>
            <w:sz w:val="26"/>
            <w:szCs w:val="26"/>
          </w:rPr>
          <w:t>Global Warming Potential</w:t>
        </w:r>
      </w:hyperlink>
      <w:r>
        <w:rPr>
          <w:rFonts w:ascii="Helvetica" w:hAnsi="Helvetica"/>
          <w:color w:val="212121"/>
          <w:sz w:val="26"/>
          <w:szCs w:val="26"/>
        </w:rPr>
        <w:t> gases ("High GWP gases").</w:t>
      </w:r>
    </w:p>
    <w:p w:rsidR="00A837EB" w:rsidRPr="00634F66" w:rsidRDefault="00A837EB">
      <w:pPr>
        <w:rPr>
          <w:lang w:val="en-US"/>
        </w:rPr>
      </w:pPr>
      <w:bookmarkStart w:id="0" w:name="_GoBack"/>
      <w:bookmarkEnd w:id="0"/>
    </w:p>
    <w:sectPr w:rsidR="00A837EB" w:rsidRPr="00634F66" w:rsidSect="00634F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F2B20"/>
    <w:multiLevelType w:val="multilevel"/>
    <w:tmpl w:val="5A1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66"/>
    <w:rsid w:val="00634F66"/>
    <w:rsid w:val="00A837EB"/>
    <w:rsid w:val="00E0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49AB"/>
  <w15:chartTrackingRefBased/>
  <w15:docId w15:val="{A8623218-584E-45AC-8CDF-A699E7F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F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6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34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4F66"/>
    <w:rPr>
      <w:b/>
      <w:bCs/>
    </w:rPr>
  </w:style>
  <w:style w:type="character" w:styleId="Hyperlink">
    <w:name w:val="Hyperlink"/>
    <w:basedOn w:val="DefaultParagraphFont"/>
    <w:uiPriority w:val="99"/>
    <w:semiHidden/>
    <w:unhideWhenUsed/>
    <w:rsid w:val="00634F66"/>
    <w:rPr>
      <w:color w:val="0000FF"/>
      <w:u w:val="single"/>
    </w:rPr>
  </w:style>
  <w:style w:type="character" w:customStyle="1" w:styleId="menu-internal">
    <w:name w:val="menu-internal"/>
    <w:basedOn w:val="DefaultParagraphFont"/>
    <w:rsid w:val="00A83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9257">
      <w:bodyDiv w:val="1"/>
      <w:marLeft w:val="0"/>
      <w:marRight w:val="0"/>
      <w:marTop w:val="0"/>
      <w:marBottom w:val="0"/>
      <w:divBdr>
        <w:top w:val="none" w:sz="0" w:space="0" w:color="auto"/>
        <w:left w:val="none" w:sz="0" w:space="0" w:color="auto"/>
        <w:bottom w:val="none" w:sz="0" w:space="0" w:color="auto"/>
        <w:right w:val="none" w:sz="0" w:space="0" w:color="auto"/>
      </w:divBdr>
    </w:div>
    <w:div w:id="831524429">
      <w:bodyDiv w:val="1"/>
      <w:marLeft w:val="0"/>
      <w:marRight w:val="0"/>
      <w:marTop w:val="0"/>
      <w:marBottom w:val="0"/>
      <w:divBdr>
        <w:top w:val="none" w:sz="0" w:space="0" w:color="auto"/>
        <w:left w:val="none" w:sz="0" w:space="0" w:color="auto"/>
        <w:bottom w:val="none" w:sz="0" w:space="0" w:color="auto"/>
        <w:right w:val="none" w:sz="0" w:space="0" w:color="auto"/>
      </w:divBdr>
    </w:div>
    <w:div w:id="1407218696">
      <w:bodyDiv w:val="1"/>
      <w:marLeft w:val="0"/>
      <w:marRight w:val="0"/>
      <w:marTop w:val="0"/>
      <w:marBottom w:val="0"/>
      <w:divBdr>
        <w:top w:val="none" w:sz="0" w:space="0" w:color="auto"/>
        <w:left w:val="none" w:sz="0" w:space="0" w:color="auto"/>
        <w:bottom w:val="none" w:sz="0" w:space="0" w:color="auto"/>
        <w:right w:val="none" w:sz="0" w:space="0" w:color="auto"/>
      </w:divBdr>
    </w:div>
    <w:div w:id="1803687503">
      <w:bodyDiv w:val="1"/>
      <w:marLeft w:val="0"/>
      <w:marRight w:val="0"/>
      <w:marTop w:val="0"/>
      <w:marBottom w:val="0"/>
      <w:divBdr>
        <w:top w:val="none" w:sz="0" w:space="0" w:color="auto"/>
        <w:left w:val="none" w:sz="0" w:space="0" w:color="auto"/>
        <w:bottom w:val="none" w:sz="0" w:space="0" w:color="auto"/>
        <w:right w:val="none" w:sz="0" w:space="0" w:color="auto"/>
      </w:divBdr>
    </w:div>
    <w:div w:id="1916473599">
      <w:bodyDiv w:val="1"/>
      <w:marLeft w:val="0"/>
      <w:marRight w:val="0"/>
      <w:marTop w:val="0"/>
      <w:marBottom w:val="0"/>
      <w:divBdr>
        <w:top w:val="none" w:sz="0" w:space="0" w:color="auto"/>
        <w:left w:val="none" w:sz="0" w:space="0" w:color="auto"/>
        <w:bottom w:val="none" w:sz="0" w:space="0" w:color="auto"/>
        <w:right w:val="none" w:sz="0" w:space="0" w:color="auto"/>
      </w:divBdr>
      <w:divsChild>
        <w:div w:id="469523108">
          <w:marLeft w:val="0"/>
          <w:marRight w:val="0"/>
          <w:marTop w:val="0"/>
          <w:marBottom w:val="450"/>
          <w:divBdr>
            <w:top w:val="none" w:sz="0" w:space="0" w:color="auto"/>
            <w:left w:val="none" w:sz="0" w:space="0" w:color="auto"/>
            <w:bottom w:val="none" w:sz="0" w:space="0" w:color="auto"/>
            <w:right w:val="none" w:sz="0" w:space="0" w:color="auto"/>
          </w:divBdr>
        </w:div>
      </w:divsChild>
    </w:div>
    <w:div w:id="2073767962">
      <w:bodyDiv w:val="1"/>
      <w:marLeft w:val="0"/>
      <w:marRight w:val="0"/>
      <w:marTop w:val="0"/>
      <w:marBottom w:val="0"/>
      <w:divBdr>
        <w:top w:val="none" w:sz="0" w:space="0" w:color="auto"/>
        <w:left w:val="none" w:sz="0" w:space="0" w:color="auto"/>
        <w:bottom w:val="none" w:sz="0" w:space="0" w:color="auto"/>
        <w:right w:val="none" w:sz="0" w:space="0" w:color="auto"/>
      </w:divBdr>
      <w:divsChild>
        <w:div w:id="77754517">
          <w:marLeft w:val="0"/>
          <w:marRight w:val="0"/>
          <w:marTop w:val="131"/>
          <w:marBottom w:val="13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acoalition.org/en/resources/low-gwp-alternatives-commercial-refrigeration-propane-co2-and-hfo-case-studies" TargetMode="External"/><Relationship Id="rId13" Type="http://schemas.openxmlformats.org/officeDocument/2006/relationships/hyperlink" Target="https://www.epa.gov/ghgemissions/understanding-global-warming-potential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pa.gov/ozone-layer-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nce.sciencemag.org/content/335/6071/922.summary?sid=59449fa3-6f4c-48f6-8a5d-57c6b1ebcf11" TargetMode="External"/><Relationship Id="rId11" Type="http://schemas.openxmlformats.org/officeDocument/2006/relationships/hyperlink" Target="https://www.epa.gov/ghgemissions/overview-greenhouse-gas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epa.gov/ghgemissions/overview-greenhouse-gases" TargetMode="External"/><Relationship Id="rId4" Type="http://schemas.openxmlformats.org/officeDocument/2006/relationships/webSettings" Target="webSettings.xml"/><Relationship Id="rId9" Type="http://schemas.openxmlformats.org/officeDocument/2006/relationships/hyperlink" Target="https://www.epa.gov/ghgemissions/overview-greenhouse-g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dc:creator>
  <cp:keywords/>
  <dc:description/>
  <cp:lastModifiedBy>Ritik</cp:lastModifiedBy>
  <cp:revision>2</cp:revision>
  <dcterms:created xsi:type="dcterms:W3CDTF">2020-11-02T11:17:00Z</dcterms:created>
  <dcterms:modified xsi:type="dcterms:W3CDTF">2020-11-02T11:49:00Z</dcterms:modified>
</cp:coreProperties>
</file>