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Perferendis suscipit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Ad eaque rerum sed 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.Quis temporibus anim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Suscipit suscipit cu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Doloremque eius saep, Jum'at, 31 Mei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In aut numquam proid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Delectus est dolore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Quod quam ea et earu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Animi id odit vel v</w:t>
      </w:r>
    </w:p>
    <w:p>
      <w:pPr/>
      <w:r>
        <w:rPr>
          <w:rStyle w:val="firstStyle"/>
        </w:rPr>
        <w:t xml:space="preserve">Magni fugiat omnis 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2024-05-31T14:55:38+08:00</dcterms:created>
  <dcterms:modified xsi:type="dcterms:W3CDTF">2024-05-31T14:55:38+08:00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