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"/>
        <w:gridCol w:w="443"/>
        <w:gridCol w:w="358"/>
        <w:gridCol w:w="5196"/>
        <w:gridCol w:w="952"/>
        <w:gridCol w:w="952"/>
        <w:gridCol w:w="952"/>
        <w:gridCol w:w="952"/>
      </w:tblGrid>
      <w:tr>
        <w:trPr>
          <w:trHeight w:val="207" w:hRule="atLeast"/>
        </w:trPr>
        <w:tc>
          <w:tcPr>
            <w:tcW w:w="10229" w:type="dxa"/>
            <w:gridSpan w:val="8"/>
          </w:tcPr>
          <w:p>
            <w:pPr>
              <w:pStyle w:val="TableParagraph"/>
              <w:spacing w:before="26"/>
              <w:ind w:left="2803" w:right="280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CHECK</w:t>
            </w:r>
            <w:r>
              <w:rPr>
                <w:rFonts w:ascii="Arial"/>
                <w:b/>
                <w:spacing w:val="-8"/>
                <w:w w:val="105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LIST</w:t>
            </w:r>
            <w:r>
              <w:rPr>
                <w:rFonts w:ascii="Arial"/>
                <w:b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EVALUASI</w:t>
            </w:r>
            <w:r>
              <w:rPr>
                <w:rFonts w:ascii="Arial"/>
                <w:b/>
                <w:spacing w:val="-8"/>
                <w:w w:val="105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WEBSITE</w:t>
            </w:r>
            <w:r>
              <w:rPr>
                <w:rFonts w:ascii="Arial"/>
                <w:b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KANWIL</w:t>
            </w:r>
            <w:r>
              <w:rPr>
                <w:rFonts w:ascii="Arial"/>
                <w:b/>
                <w:spacing w:val="-9"/>
                <w:w w:val="105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KEMENKUMHAM</w:t>
            </w:r>
            <w:r>
              <w:rPr>
                <w:rFonts w:ascii="Arial"/>
                <w:b/>
                <w:spacing w:val="-8"/>
                <w:w w:val="105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2023</w:t>
            </w:r>
          </w:p>
        </w:tc>
      </w:tr>
      <w:tr>
        <w:trPr>
          <w:trHeight w:val="187" w:hRule="atLeast"/>
        </w:trPr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225" w:type="dxa"/>
            <w:gridSpan w:val="3"/>
          </w:tcPr>
          <w:p>
            <w:pPr>
              <w:pStyle w:val="TableParagraph"/>
              <w:spacing w:line="138" w:lineRule="exact" w:before="31"/>
              <w:ind w:left="3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KANWIL</w:t>
            </w:r>
          </w:p>
        </w:tc>
        <w:tc>
          <w:tcPr>
            <w:tcW w:w="5196" w:type="dxa"/>
          </w:tcPr>
          <w:p>
            <w:pPr>
              <w:pStyle w:val="TableParagraph"/>
              <w:spacing w:line="138" w:lineRule="exact" w:before="31"/>
              <w:ind w:left="3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2"/>
                <w:sz w:val="12"/>
              </w:rPr>
              <w:t>: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1225" w:type="dxa"/>
            <w:gridSpan w:val="3"/>
          </w:tcPr>
          <w:p>
            <w:pPr>
              <w:pStyle w:val="TableParagraph"/>
              <w:spacing w:line="138" w:lineRule="exact" w:before="30"/>
              <w:ind w:left="3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Triwulan</w:t>
            </w:r>
          </w:p>
        </w:tc>
        <w:tc>
          <w:tcPr>
            <w:tcW w:w="5196" w:type="dxa"/>
          </w:tcPr>
          <w:p>
            <w:pPr>
              <w:pStyle w:val="TableParagraph"/>
              <w:spacing w:line="138" w:lineRule="exact" w:before="30"/>
              <w:ind w:left="3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2"/>
                <w:sz w:val="12"/>
              </w:rPr>
              <w:t>: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86" w:hRule="atLeast"/>
        </w:trPr>
        <w:tc>
          <w:tcPr>
            <w:tcW w:w="1225" w:type="dxa"/>
            <w:gridSpan w:val="3"/>
            <w:shd w:val="clear" w:color="auto" w:fill="B6D7A8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49" w:lineRule="exact"/>
              <w:ind w:left="494" w:right="49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No</w:t>
            </w:r>
          </w:p>
        </w:tc>
        <w:tc>
          <w:tcPr>
            <w:tcW w:w="5196" w:type="dxa"/>
            <w:shd w:val="clear" w:color="auto" w:fill="B6D7A8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49" w:lineRule="exact"/>
              <w:ind w:left="2063" w:right="2055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Aspek</w:t>
            </w:r>
            <w:r>
              <w:rPr>
                <w:rFonts w:ascii="Arial"/>
                <w:b/>
                <w:spacing w:val="-6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Penilaian</w:t>
            </w:r>
          </w:p>
        </w:tc>
        <w:tc>
          <w:tcPr>
            <w:tcW w:w="952" w:type="dxa"/>
            <w:shd w:val="clear" w:color="auto" w:fill="B6D7A8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49" w:lineRule="exact"/>
              <w:ind w:left="5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Ketersediaan</w:t>
            </w:r>
          </w:p>
        </w:tc>
        <w:tc>
          <w:tcPr>
            <w:tcW w:w="952" w:type="dxa"/>
            <w:shd w:val="clear" w:color="auto" w:fill="B6D7A8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49" w:lineRule="exact"/>
              <w:ind w:left="7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Keterbaruan</w:t>
            </w:r>
          </w:p>
        </w:tc>
        <w:tc>
          <w:tcPr>
            <w:tcW w:w="952" w:type="dxa"/>
            <w:shd w:val="clear" w:color="auto" w:fill="B6D7A8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49" w:lineRule="exact"/>
              <w:ind w:left="2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Tautan</w:t>
            </w:r>
          </w:p>
        </w:tc>
        <w:tc>
          <w:tcPr>
            <w:tcW w:w="952" w:type="dxa"/>
            <w:shd w:val="clear" w:color="auto" w:fill="B6D7A8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49" w:lineRule="exact"/>
              <w:ind w:left="3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Keterangan</w:t>
            </w:r>
          </w:p>
        </w:tc>
      </w:tr>
      <w:tr>
        <w:trPr>
          <w:trHeight w:val="188" w:hRule="atLeast"/>
        </w:trPr>
        <w:tc>
          <w:tcPr>
            <w:tcW w:w="10229" w:type="dxa"/>
            <w:gridSpan w:val="8"/>
          </w:tcPr>
          <w:p>
            <w:pPr>
              <w:pStyle w:val="TableParagraph"/>
              <w:spacing w:line="145" w:lineRule="exact" w:before="23"/>
              <w:ind w:left="3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Kelengkapan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Konten</w:t>
            </w:r>
          </w:p>
        </w:tc>
      </w:tr>
      <w:tr>
        <w:trPr>
          <w:trHeight w:val="188" w:hRule="atLeast"/>
        </w:trPr>
        <w:tc>
          <w:tcPr>
            <w:tcW w:w="424" w:type="dxa"/>
            <w:vMerge w:val="restart"/>
          </w:tcPr>
          <w:p>
            <w:pPr>
              <w:pStyle w:val="TableParagraph"/>
              <w:spacing w:before="23"/>
              <w:ind w:left="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3"/>
                <w:sz w:val="13"/>
              </w:rPr>
              <w:t>1</w:t>
            </w:r>
          </w:p>
        </w:tc>
        <w:tc>
          <w:tcPr>
            <w:tcW w:w="9805" w:type="dxa"/>
            <w:gridSpan w:val="7"/>
            <w:shd w:val="clear" w:color="auto" w:fill="CEE1F3"/>
          </w:tcPr>
          <w:p>
            <w:pPr>
              <w:pStyle w:val="TableParagraph"/>
              <w:spacing w:line="145" w:lineRule="exact" w:before="23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Profil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Profil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Pejabat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 w:val="restart"/>
            <w:shd w:val="clear" w:color="auto" w:fill="CEE1F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Struktur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Organisasi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Tugas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Pokok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Fungsi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Visi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dan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Misi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Tata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Nilai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Sekilas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Kantor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Wilayah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Kepala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Kantor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Wilayah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dari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Masa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Masa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Kontak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 w:val="restart"/>
          </w:tcPr>
          <w:p>
            <w:pPr>
              <w:pStyle w:val="TableParagraph"/>
              <w:spacing w:before="23"/>
              <w:ind w:left="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3"/>
                <w:sz w:val="13"/>
              </w:rPr>
              <w:t>2</w:t>
            </w:r>
          </w:p>
        </w:tc>
        <w:tc>
          <w:tcPr>
            <w:tcW w:w="9805" w:type="dxa"/>
            <w:gridSpan w:val="7"/>
            <w:shd w:val="clear" w:color="auto" w:fill="CEE1F3"/>
          </w:tcPr>
          <w:p>
            <w:pPr>
              <w:pStyle w:val="TableParagraph"/>
              <w:spacing w:line="145" w:lineRule="exact" w:before="23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Satuan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w w:val="105"/>
                <w:sz w:val="13"/>
              </w:rPr>
              <w:t>Kerja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Daftar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satuan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kerja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 w:val="restart"/>
            <w:shd w:val="clear" w:color="auto" w:fill="CEE1F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Kontak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 w:val="restart"/>
          </w:tcPr>
          <w:p>
            <w:pPr>
              <w:pStyle w:val="TableParagraph"/>
              <w:spacing w:before="23"/>
              <w:ind w:left="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3"/>
                <w:sz w:val="13"/>
              </w:rPr>
              <w:t>3</w:t>
            </w:r>
          </w:p>
        </w:tc>
        <w:tc>
          <w:tcPr>
            <w:tcW w:w="9805" w:type="dxa"/>
            <w:gridSpan w:val="7"/>
            <w:shd w:val="clear" w:color="auto" w:fill="CEE1F3"/>
          </w:tcPr>
          <w:p>
            <w:pPr>
              <w:pStyle w:val="TableParagraph"/>
              <w:spacing w:line="145" w:lineRule="exact" w:before="23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Produk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Hukum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UU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RI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Tahun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1945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 w:val="restart"/>
            <w:shd w:val="clear" w:color="auto" w:fill="CEE1F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Undang-Undang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PERPPU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Peraturan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Pemerintah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Peraturan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Presiden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Peraturan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Menteri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Peraturan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Daerah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Produk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Kepegawaian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Produk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Keuangan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Produk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Perlengkapan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MoU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 w:val="restart"/>
          </w:tcPr>
          <w:p>
            <w:pPr>
              <w:pStyle w:val="TableParagraph"/>
              <w:spacing w:before="23"/>
              <w:ind w:left="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3"/>
                <w:sz w:val="13"/>
              </w:rPr>
              <w:t>4</w:t>
            </w:r>
          </w:p>
        </w:tc>
        <w:tc>
          <w:tcPr>
            <w:tcW w:w="9805" w:type="dxa"/>
            <w:gridSpan w:val="7"/>
            <w:shd w:val="clear" w:color="auto" w:fill="CEE1F3"/>
          </w:tcPr>
          <w:p>
            <w:pPr>
              <w:pStyle w:val="TableParagraph"/>
              <w:spacing w:line="145" w:lineRule="exact" w:before="23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Pusat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Informasi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5" w:lineRule="exact" w:before="23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PPID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5" w:lineRule="exact" w:before="23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DIPA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5" w:lineRule="exact" w:before="23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Laporan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Keuangan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5" w:lineRule="exact" w:before="23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Renstra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5" w:lineRule="exact" w:before="23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IKU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5" w:lineRule="exact" w:before="23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LKIP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5" w:lineRule="exact" w:before="23"/>
              <w:ind w:left="33"/>
              <w:rPr>
                <w:sz w:val="13"/>
              </w:rPr>
            </w:pPr>
            <w:r>
              <w:rPr>
                <w:sz w:val="13"/>
              </w:rPr>
              <w:t>Laporan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Tahunan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 w:val="restart"/>
          </w:tcPr>
          <w:p>
            <w:pPr>
              <w:pStyle w:val="TableParagraph"/>
              <w:spacing w:before="23"/>
              <w:ind w:left="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3"/>
                <w:sz w:val="13"/>
              </w:rPr>
              <w:t>5</w:t>
            </w:r>
          </w:p>
        </w:tc>
        <w:tc>
          <w:tcPr>
            <w:tcW w:w="9805" w:type="dxa"/>
            <w:gridSpan w:val="7"/>
            <w:shd w:val="clear" w:color="auto" w:fill="CEE1F3"/>
          </w:tcPr>
          <w:p>
            <w:pPr>
              <w:pStyle w:val="TableParagraph"/>
              <w:spacing w:line="145" w:lineRule="exact" w:before="23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Survey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54" w:type="dxa"/>
            <w:gridSpan w:val="2"/>
          </w:tcPr>
          <w:p>
            <w:pPr>
              <w:pStyle w:val="TableParagraph"/>
              <w:spacing w:line="145" w:lineRule="exact" w:before="23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Survey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IKM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23"/>
              <w:ind w:left="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3"/>
                <w:sz w:val="13"/>
              </w:rPr>
              <w:t>6</w:t>
            </w:r>
          </w:p>
        </w:tc>
        <w:tc>
          <w:tcPr>
            <w:tcW w:w="9805" w:type="dxa"/>
            <w:gridSpan w:val="7"/>
            <w:shd w:val="clear" w:color="auto" w:fill="CEE1F3"/>
          </w:tcPr>
          <w:p>
            <w:pPr>
              <w:pStyle w:val="TableParagraph"/>
              <w:spacing w:line="145" w:lineRule="exact" w:before="23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Layanan</w:t>
            </w:r>
            <w:r>
              <w:rPr>
                <w:rFonts w:ascii="Arial"/>
                <w:b/>
                <w:spacing w:val="-9"/>
                <w:w w:val="105"/>
                <w:sz w:val="13"/>
              </w:rPr>
              <w:t> </w:t>
            </w:r>
            <w:r>
              <w:rPr>
                <w:rFonts w:ascii="Arial"/>
                <w:b/>
                <w:w w:val="105"/>
                <w:sz w:val="13"/>
              </w:rPr>
              <w:t>Publik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 w:val="restart"/>
          </w:tcPr>
          <w:p>
            <w:pPr>
              <w:pStyle w:val="TableParagraph"/>
              <w:spacing w:before="23"/>
              <w:ind w:right="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3"/>
                <w:sz w:val="13"/>
              </w:rPr>
              <w:t>A</w:t>
            </w:r>
          </w:p>
        </w:tc>
        <w:tc>
          <w:tcPr>
            <w:tcW w:w="9362" w:type="dxa"/>
            <w:gridSpan w:val="6"/>
          </w:tcPr>
          <w:p>
            <w:pPr>
              <w:pStyle w:val="TableParagraph"/>
              <w:spacing w:line="149" w:lineRule="exact" w:before="19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Pelayanan</w:t>
            </w:r>
            <w:r>
              <w:rPr>
                <w:rFonts w:ascii="Arial"/>
                <w:b/>
                <w:spacing w:val="-9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Hukum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w w:val="105"/>
                <w:sz w:val="13"/>
              </w:rPr>
              <w:t>Umum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Pendaftaran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Sumpah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Notaris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Baru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(SIPPENDIKS)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z w:val="13"/>
              </w:rPr>
              <w:t>Pendaftaran</w:t>
            </w:r>
            <w:r>
              <w:rPr>
                <w:spacing w:val="17"/>
                <w:sz w:val="13"/>
              </w:rPr>
              <w:t> </w:t>
            </w:r>
            <w:r>
              <w:rPr>
                <w:sz w:val="13"/>
              </w:rPr>
              <w:t>Pelantikan</w:t>
            </w:r>
            <w:r>
              <w:rPr>
                <w:spacing w:val="17"/>
                <w:sz w:val="13"/>
              </w:rPr>
              <w:t> </w:t>
            </w:r>
            <w:r>
              <w:rPr>
                <w:sz w:val="13"/>
              </w:rPr>
              <w:t>PPNS</w:t>
            </w:r>
            <w:r>
              <w:rPr>
                <w:spacing w:val="18"/>
                <w:sz w:val="13"/>
              </w:rPr>
              <w:t> </w:t>
            </w:r>
            <w:r>
              <w:rPr>
                <w:sz w:val="13"/>
              </w:rPr>
              <w:t>(SIPPENDIKS)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Pengangkatan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PPNS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z w:val="13"/>
              </w:rPr>
              <w:t>Panduan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Penggunaan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AHU</w:t>
            </w:r>
            <w:r>
              <w:rPr>
                <w:spacing w:val="13"/>
                <w:sz w:val="13"/>
              </w:rPr>
              <w:t> </w:t>
            </w:r>
            <w:r>
              <w:rPr>
                <w:sz w:val="13"/>
              </w:rPr>
              <w:t>Online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Fidusia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z w:val="13"/>
              </w:rPr>
              <w:t>AHU</w:t>
            </w:r>
            <w:r>
              <w:rPr>
                <w:spacing w:val="15"/>
                <w:sz w:val="13"/>
              </w:rPr>
              <w:t> </w:t>
            </w:r>
            <w:r>
              <w:rPr>
                <w:sz w:val="13"/>
              </w:rPr>
              <w:t>Kewarganegaraan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z w:val="13"/>
              </w:rPr>
              <w:t>Perseroan</w:t>
            </w:r>
            <w:r>
              <w:rPr>
                <w:spacing w:val="13"/>
                <w:sz w:val="13"/>
              </w:rPr>
              <w:t> </w:t>
            </w:r>
            <w:r>
              <w:rPr>
                <w:sz w:val="13"/>
              </w:rPr>
              <w:t>Perorangan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z w:val="13"/>
              </w:rPr>
              <w:t>AHU</w:t>
            </w:r>
            <w:r>
              <w:rPr>
                <w:spacing w:val="15"/>
                <w:sz w:val="13"/>
              </w:rPr>
              <w:t> </w:t>
            </w:r>
            <w:r>
              <w:rPr>
                <w:sz w:val="13"/>
              </w:rPr>
              <w:t>Pewarganegaraan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AHU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Partai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Politik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Wasiat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AHU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Pemilik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Manfaat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AHU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Perkumpulan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3"/>
                <w:w w:val="105"/>
                <w:sz w:val="13"/>
              </w:rPr>
              <w:t>AHU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Yayasan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AHU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Perseroan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Terbatas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Pendaftaran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Notaris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z w:val="13"/>
              </w:rPr>
              <w:t>Legalisasi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Apostille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BHP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MEREK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PATEN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DESAIN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INDUSTRI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HAK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CIPTA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INDIKASI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GEOGRAFIS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DTLST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z w:val="13"/>
              </w:rPr>
              <w:t>RAHASIA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DAGANG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KI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KOMUNAL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SIMAS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HAM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Bantuan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Hukum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 w:val="restart"/>
          </w:tcPr>
          <w:p>
            <w:pPr>
              <w:pStyle w:val="TableParagraph"/>
              <w:spacing w:before="23"/>
              <w:ind w:right="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3"/>
                <w:sz w:val="13"/>
              </w:rPr>
              <w:t>B</w:t>
            </w:r>
          </w:p>
        </w:tc>
        <w:tc>
          <w:tcPr>
            <w:tcW w:w="9362" w:type="dxa"/>
            <w:gridSpan w:val="6"/>
          </w:tcPr>
          <w:p>
            <w:pPr>
              <w:pStyle w:val="TableParagraph"/>
              <w:spacing w:line="149" w:lineRule="exact" w:before="19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Keimigrasian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spacing w:line="149" w:lineRule="exact" w:before="19"/>
              <w:ind w:left="90" w:right="8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a.</w:t>
            </w: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Aplikasi</w:t>
            </w:r>
            <w:r>
              <w:rPr>
                <w:rFonts w:ascii="Arial"/>
                <w:b/>
                <w:spacing w:val="12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Pelaporan</w:t>
            </w:r>
            <w:r>
              <w:rPr>
                <w:rFonts w:ascii="Arial"/>
                <w:b/>
                <w:spacing w:val="11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Orang</w:t>
            </w:r>
            <w:r>
              <w:rPr>
                <w:rFonts w:ascii="Arial"/>
                <w:b/>
                <w:spacing w:val="6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Asing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spacing w:line="149" w:lineRule="exact" w:before="19"/>
              <w:ind w:left="97" w:right="8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b.</w:t>
            </w:r>
          </w:p>
        </w:tc>
        <w:tc>
          <w:tcPr>
            <w:tcW w:w="9004" w:type="dxa"/>
            <w:gridSpan w:val="5"/>
          </w:tcPr>
          <w:p>
            <w:pPr>
              <w:pStyle w:val="TableParagraph"/>
              <w:spacing w:line="149" w:lineRule="exact" w:before="19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Layanan</w:t>
            </w:r>
            <w:r>
              <w:rPr>
                <w:rFonts w:ascii="Arial"/>
                <w:b/>
                <w:spacing w:val="-10"/>
                <w:w w:val="105"/>
                <w:sz w:val="13"/>
              </w:rPr>
              <w:t> </w:t>
            </w:r>
            <w:r>
              <w:rPr>
                <w:rFonts w:ascii="Arial"/>
                <w:b/>
                <w:w w:val="105"/>
                <w:sz w:val="13"/>
              </w:rPr>
              <w:t>untuk</w:t>
            </w:r>
            <w:r>
              <w:rPr>
                <w:rFonts w:ascii="Arial"/>
                <w:b/>
                <w:spacing w:val="-9"/>
                <w:w w:val="105"/>
                <w:sz w:val="13"/>
              </w:rPr>
              <w:t> </w:t>
            </w:r>
            <w:r>
              <w:rPr>
                <w:rFonts w:ascii="Arial"/>
                <w:b/>
                <w:w w:val="105"/>
                <w:sz w:val="13"/>
              </w:rPr>
              <w:t>WNI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Paspor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Surat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Perjalanan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Laksana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Paspor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Untuk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WNI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 w:val="restart"/>
            <w:shd w:val="clear" w:color="auto" w:fill="CEE1F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Surat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Perjalanan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Lintas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Batas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atau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Lintas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Batas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Rekomendasi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Visa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Bekerja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dan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Berlibur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(Work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Holiday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Visa)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Penarikan,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Pembatalan,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Pencabutan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dan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Penggantian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Paspor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Biasa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APEC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Business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Travel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Card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(ABTC)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spacing w:line="149" w:lineRule="exact" w:before="19"/>
              <w:ind w:left="90" w:right="8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c.</w:t>
            </w:r>
          </w:p>
        </w:tc>
        <w:tc>
          <w:tcPr>
            <w:tcW w:w="9004" w:type="dxa"/>
            <w:gridSpan w:val="5"/>
          </w:tcPr>
          <w:p>
            <w:pPr>
              <w:pStyle w:val="TableParagraph"/>
              <w:spacing w:line="149" w:lineRule="exact" w:before="19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Layanan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w w:val="105"/>
                <w:sz w:val="13"/>
              </w:rPr>
              <w:t>untuk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w w:val="105"/>
                <w:sz w:val="13"/>
              </w:rPr>
              <w:t>WNA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z w:val="13"/>
              </w:rPr>
              <w:t>a.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Alih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Status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Izin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Tinggal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b.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Bebas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Visa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Kunjungan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z w:val="13"/>
              </w:rPr>
              <w:t>c.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VISA Kunjungan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d.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Visa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Tinggal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Terbatas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e.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Izin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Tinggal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Kunjungan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f.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Izin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Tinggal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Terbatas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g.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Izin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Tinggal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Terbatas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/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Izin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Tinggal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Tetap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Bagi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Subyek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Perkawinan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Campur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149" w:lineRule="exact" w:before="19"/>
              <w:ind w:left="33"/>
              <w:rPr>
                <w:sz w:val="13"/>
              </w:rPr>
            </w:pPr>
            <w:r>
              <w:rPr>
                <w:sz w:val="13"/>
              </w:rPr>
              <w:t>h.</w:t>
            </w:r>
            <w:r>
              <w:rPr>
                <w:spacing w:val="10"/>
                <w:sz w:val="13"/>
              </w:rPr>
              <w:t> </w:t>
            </w:r>
            <w:r>
              <w:rPr>
                <w:sz w:val="13"/>
              </w:rPr>
              <w:t>Surat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Perjalanan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Laksana</w:t>
            </w:r>
            <w:r>
              <w:rPr>
                <w:spacing w:val="10"/>
                <w:sz w:val="13"/>
              </w:rPr>
              <w:t> </w:t>
            </w:r>
            <w:r>
              <w:rPr>
                <w:sz w:val="13"/>
              </w:rPr>
              <w:t>Paspor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untuk</w:t>
            </w:r>
            <w:r>
              <w:rPr>
                <w:spacing w:val="10"/>
                <w:sz w:val="13"/>
              </w:rPr>
              <w:t> </w:t>
            </w:r>
            <w:r>
              <w:rPr>
                <w:sz w:val="13"/>
              </w:rPr>
              <w:t>Orang Asing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shd w:val="clear" w:color="auto" w:fill="CEE1F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tcBorders>
              <w:bottom w:val="nil"/>
            </w:tcBorders>
          </w:tcPr>
          <w:p>
            <w:pPr>
              <w:pStyle w:val="TableParagraph"/>
              <w:spacing w:line="145" w:lineRule="exact" w:before="23"/>
              <w:ind w:right="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3"/>
                <w:sz w:val="13"/>
              </w:rPr>
              <w:t>C</w:t>
            </w:r>
          </w:p>
        </w:tc>
        <w:tc>
          <w:tcPr>
            <w:tcW w:w="9362" w:type="dxa"/>
            <w:gridSpan w:val="6"/>
          </w:tcPr>
          <w:p>
            <w:pPr>
              <w:pStyle w:val="TableParagraph"/>
              <w:spacing w:line="149" w:lineRule="exact" w:before="19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Pemasyarakatan</w:t>
            </w:r>
          </w:p>
        </w:tc>
      </w:tr>
    </w:tbl>
    <w:p>
      <w:pPr>
        <w:spacing w:after="0" w:line="149" w:lineRule="exact"/>
        <w:rPr>
          <w:rFonts w:ascii="Arial"/>
          <w:sz w:val="13"/>
        </w:rPr>
        <w:sectPr>
          <w:type w:val="continuous"/>
          <w:pgSz w:w="12240" w:h="20160"/>
          <w:pgMar w:top="1060" w:bottom="280" w:left="880" w:right="8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"/>
        <w:gridCol w:w="443"/>
        <w:gridCol w:w="358"/>
        <w:gridCol w:w="5196"/>
        <w:gridCol w:w="952"/>
        <w:gridCol w:w="952"/>
        <w:gridCol w:w="952"/>
        <w:gridCol w:w="952"/>
      </w:tblGrid>
      <w:tr>
        <w:trPr>
          <w:trHeight w:val="188" w:hRule="atLeast"/>
        </w:trPr>
        <w:tc>
          <w:tcPr>
            <w:tcW w:w="424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spacing w:before="9"/>
              <w:ind w:left="90" w:right="8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a.</w:t>
            </w:r>
          </w:p>
        </w:tc>
        <w:tc>
          <w:tcPr>
            <w:tcW w:w="9004" w:type="dxa"/>
            <w:gridSpan w:val="5"/>
          </w:tcPr>
          <w:p>
            <w:pPr>
              <w:pStyle w:val="TableParagraph"/>
              <w:spacing w:before="9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w w:val="105"/>
                <w:sz w:val="13"/>
              </w:rPr>
              <w:t>Layanan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Bidang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Pembinaan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Narapidana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dan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Pelayanan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Tahanan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Bimbingan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Kerja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 w:val="restart"/>
            <w:shd w:val="clear" w:color="auto" w:fill="CEE1F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Layanan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Bimbingan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Rohani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Konsultasi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Hukum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Di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Bidang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Pemasyarakatan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 Pembebasan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Bersyarat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Tindak Pidana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Tertentu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Pembebasan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Bersyarat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Tindak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Pidana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Umum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Layanan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Cuti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Bersyarat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Tindak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Pidana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Tertentu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Layanan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Cuti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Bersyarat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Tindak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Pidana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Umum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Layanan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Cuti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Menjelang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Bebas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Tindak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Pidana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Tertentu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Layanan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Cuti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Menjelang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Bebas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Tindak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Pidana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Umum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Layanan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Permohonan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Cuti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Mengunjungi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Keluarga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Layanan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Fasilitasi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Bantuan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Hukum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z w:val="13"/>
              </w:rPr>
              <w:t>Layanan</w:t>
            </w:r>
            <w:r>
              <w:rPr>
                <w:spacing w:val="16"/>
                <w:sz w:val="13"/>
              </w:rPr>
              <w:t> </w:t>
            </w:r>
            <w:r>
              <w:rPr>
                <w:sz w:val="13"/>
              </w:rPr>
              <w:t>Fasilitasi</w:t>
            </w:r>
            <w:r>
              <w:rPr>
                <w:spacing w:val="17"/>
                <w:sz w:val="13"/>
              </w:rPr>
              <w:t> </w:t>
            </w:r>
            <w:r>
              <w:rPr>
                <w:sz w:val="13"/>
              </w:rPr>
              <w:t>Keterlambatan</w:t>
            </w:r>
            <w:r>
              <w:rPr>
                <w:spacing w:val="15"/>
                <w:sz w:val="13"/>
              </w:rPr>
              <w:t> </w:t>
            </w:r>
            <w:r>
              <w:rPr>
                <w:sz w:val="13"/>
              </w:rPr>
              <w:t>Penerimaan</w:t>
            </w:r>
            <w:r>
              <w:rPr>
                <w:spacing w:val="15"/>
                <w:sz w:val="13"/>
              </w:rPr>
              <w:t> </w:t>
            </w:r>
            <w:r>
              <w:rPr>
                <w:sz w:val="13"/>
              </w:rPr>
              <w:t>Perpanjangan</w:t>
            </w:r>
            <w:r>
              <w:rPr>
                <w:spacing w:val="15"/>
                <w:sz w:val="13"/>
              </w:rPr>
              <w:t> </w:t>
            </w:r>
            <w:r>
              <w:rPr>
                <w:sz w:val="13"/>
              </w:rPr>
              <w:t>Penahanan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line="249" w:lineRule="auto" w:before="15"/>
              <w:ind w:left="33" w:right="1080"/>
              <w:rPr>
                <w:sz w:val="13"/>
              </w:rPr>
            </w:pPr>
            <w:r>
              <w:rPr>
                <w:sz w:val="13"/>
              </w:rPr>
              <w:t>Pemindahan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Atas</w:t>
            </w:r>
            <w:r>
              <w:rPr>
                <w:spacing w:val="13"/>
                <w:sz w:val="13"/>
              </w:rPr>
              <w:t> </w:t>
            </w:r>
            <w:r>
              <w:rPr>
                <w:sz w:val="13"/>
              </w:rPr>
              <w:t>Permintaan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Sendiri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/Keluarga/Kuasa</w:t>
            </w:r>
            <w:r>
              <w:rPr>
                <w:spacing w:val="15"/>
                <w:sz w:val="13"/>
              </w:rPr>
              <w:t> </w:t>
            </w:r>
            <w:r>
              <w:rPr>
                <w:sz w:val="13"/>
              </w:rPr>
              <w:t>Hukum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(Dalam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Wilayah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Dan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Antar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Wilayah)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Layanan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Permohonan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Izin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Luar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Biasa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Konsultasi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Hukum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Asimilasi Tindak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Pidana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Khusus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Asimilasi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Tindak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Pidana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Umum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Pameran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Hasil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Karya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Narapidana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Penyuluhan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Penyediaan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Bahan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Bacaan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Pendidikan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Kegiatan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Olahraga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Layanan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Kegiatan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Kesenian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spacing w:before="9"/>
              <w:ind w:left="97" w:right="8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b.</w:t>
            </w:r>
          </w:p>
        </w:tc>
        <w:tc>
          <w:tcPr>
            <w:tcW w:w="9004" w:type="dxa"/>
            <w:gridSpan w:val="5"/>
          </w:tcPr>
          <w:p>
            <w:pPr>
              <w:pStyle w:val="TableParagraph"/>
              <w:spacing w:before="9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Layanan</w:t>
            </w:r>
            <w:r>
              <w:rPr>
                <w:rFonts w:ascii="Arial"/>
                <w:b/>
                <w:spacing w:val="-9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Bidang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Keamanan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dan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w w:val="105"/>
                <w:sz w:val="13"/>
              </w:rPr>
              <w:t>Ketertiban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Kunjungan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WBP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 w:val="restart"/>
            <w:shd w:val="clear" w:color="auto" w:fill="CEE1F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Pengaduan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spacing w:before="9"/>
              <w:ind w:left="90" w:right="8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c.</w:t>
            </w:r>
          </w:p>
        </w:tc>
        <w:tc>
          <w:tcPr>
            <w:tcW w:w="9004" w:type="dxa"/>
            <w:gridSpan w:val="5"/>
          </w:tcPr>
          <w:p>
            <w:pPr>
              <w:pStyle w:val="TableParagraph"/>
              <w:spacing w:before="9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w w:val="105"/>
                <w:sz w:val="13"/>
              </w:rPr>
              <w:t>Layanan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3"/>
              </w:rPr>
              <w:t>Bidang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Kesehatan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dan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Perawatan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Narapidana/Tahanan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Lanjutan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Pengobatan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Methadone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Bagi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WBP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Pengguna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Napza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 w:val="restart"/>
            <w:shd w:val="clear" w:color="auto" w:fill="CEE1F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 Inisiasi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Terapi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ARV Bagi WBP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Permintaan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Rekomendasi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Medis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Rujukan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Perawatan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Lanjutan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Di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Luar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Lapas/Rutan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Pemberian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Makan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Kesehatan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Pemberian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Air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Bersih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Hiv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Aids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Pemberian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Pakaian,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Perlengkapan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Makan,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Mandi,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Cuci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Dan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Tidur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 TB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Dan TB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Kebal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Obat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Perawatan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Gangguan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Jiwa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Perawatan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Manusia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Usia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Lanjut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Perawaran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Wanita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Datang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Bulan,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Hamil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dan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Menyusui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Perawatan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Bayi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Sampai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Usia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2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Tahun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spacing w:before="9"/>
              <w:ind w:left="97" w:right="8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d.</w:t>
            </w:r>
          </w:p>
        </w:tc>
        <w:tc>
          <w:tcPr>
            <w:tcW w:w="9004" w:type="dxa"/>
            <w:gridSpan w:val="5"/>
          </w:tcPr>
          <w:p>
            <w:pPr>
              <w:pStyle w:val="TableParagraph"/>
              <w:spacing w:before="9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Layanan</w:t>
            </w:r>
            <w:r>
              <w:rPr>
                <w:rFonts w:ascii="Arial"/>
                <w:b/>
                <w:spacing w:val="15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Bidang</w:t>
            </w:r>
            <w:r>
              <w:rPr>
                <w:rFonts w:ascii="Arial"/>
                <w:b/>
                <w:spacing w:val="16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Bimbingan</w:t>
            </w:r>
            <w:r>
              <w:rPr>
                <w:rFonts w:ascii="Arial"/>
                <w:b/>
                <w:spacing w:val="16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Kemasyarakatan</w:t>
            </w:r>
            <w:r>
              <w:rPr>
                <w:rFonts w:ascii="Arial"/>
                <w:b/>
                <w:spacing w:val="15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dan</w:t>
            </w:r>
            <w:r>
              <w:rPr>
                <w:rFonts w:ascii="Arial"/>
                <w:b/>
                <w:spacing w:val="16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Pengentasan</w:t>
            </w:r>
            <w:r>
              <w:rPr>
                <w:rFonts w:ascii="Arial"/>
                <w:b/>
                <w:spacing w:val="7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Anak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Layanan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Bimbingan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Klien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Dewasa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 w:val="restart"/>
            <w:shd w:val="clear" w:color="auto" w:fill="CEE1F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Layanan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Pemberian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Izin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Luar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Kota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Layanan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Pelimpahan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Bimbingan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Klien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Pemasyarakatan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Layanan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Izin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Luar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Negeri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z w:val="13"/>
              </w:rPr>
              <w:t>Layanan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Pendampingan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Anak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Yang</w:t>
            </w:r>
            <w:r>
              <w:rPr>
                <w:spacing w:val="13"/>
                <w:sz w:val="13"/>
              </w:rPr>
              <w:t> </w:t>
            </w:r>
            <w:r>
              <w:rPr>
                <w:sz w:val="13"/>
              </w:rPr>
              <w:t>Berkonflik</w:t>
            </w:r>
            <w:r>
              <w:rPr>
                <w:spacing w:val="10"/>
                <w:sz w:val="13"/>
              </w:rPr>
              <w:t> </w:t>
            </w:r>
            <w:r>
              <w:rPr>
                <w:sz w:val="13"/>
              </w:rPr>
              <w:t>Dengan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Hukum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z w:val="13"/>
              </w:rPr>
              <w:t>Layanan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Konseling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Anak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z w:val="13"/>
              </w:rPr>
              <w:t>Layanan</w:t>
            </w:r>
            <w:r>
              <w:rPr>
                <w:spacing w:val="11"/>
                <w:sz w:val="13"/>
              </w:rPr>
              <w:t> </w:t>
            </w:r>
            <w:r>
              <w:rPr>
                <w:sz w:val="13"/>
              </w:rPr>
              <w:t>Bimbingan</w:t>
            </w:r>
            <w:r>
              <w:rPr>
                <w:spacing w:val="11"/>
                <w:sz w:val="13"/>
              </w:rPr>
              <w:t> </w:t>
            </w:r>
            <w:r>
              <w:rPr>
                <w:sz w:val="13"/>
              </w:rPr>
              <w:t>Kepada</w:t>
            </w:r>
            <w:r>
              <w:rPr>
                <w:spacing w:val="11"/>
                <w:sz w:val="13"/>
              </w:rPr>
              <w:t> </w:t>
            </w:r>
            <w:r>
              <w:rPr>
                <w:sz w:val="13"/>
              </w:rPr>
              <w:t>Klien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Anak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z w:val="13"/>
              </w:rPr>
              <w:t>Layanan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Pendidikan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Khusus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Anak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z w:val="13"/>
              </w:rPr>
              <w:t>Layanan</w:t>
            </w:r>
            <w:r>
              <w:rPr>
                <w:spacing w:val="15"/>
                <w:sz w:val="13"/>
              </w:rPr>
              <w:t> </w:t>
            </w:r>
            <w:r>
              <w:rPr>
                <w:sz w:val="13"/>
              </w:rPr>
              <w:t>Penelitian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Kemasyarakatan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Anak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z w:val="13"/>
              </w:rPr>
              <w:t>Layanan</w:t>
            </w:r>
            <w:r>
              <w:rPr>
                <w:spacing w:val="15"/>
                <w:sz w:val="13"/>
              </w:rPr>
              <w:t> </w:t>
            </w:r>
            <w:r>
              <w:rPr>
                <w:sz w:val="13"/>
              </w:rPr>
              <w:t>Penelitian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Kemasyarakatan</w:t>
            </w:r>
            <w:r>
              <w:rPr>
                <w:spacing w:val="15"/>
                <w:sz w:val="13"/>
              </w:rPr>
              <w:t> </w:t>
            </w:r>
            <w:r>
              <w:rPr>
                <w:sz w:val="13"/>
              </w:rPr>
              <w:t>Dewasa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9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Layanan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Pencabutan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Pembebasan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Besyarat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spacing w:before="9"/>
              <w:ind w:left="90" w:right="8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e.</w:t>
            </w:r>
          </w:p>
        </w:tc>
        <w:tc>
          <w:tcPr>
            <w:tcW w:w="9004" w:type="dxa"/>
            <w:gridSpan w:val="5"/>
          </w:tcPr>
          <w:p>
            <w:pPr>
              <w:pStyle w:val="TableParagraph"/>
              <w:spacing w:before="9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Layanan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Bidang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benda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Sitaan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dan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Barang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w w:val="105"/>
                <w:sz w:val="13"/>
              </w:rPr>
              <w:t>Rampasan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b/>
                <w:w w:val="105"/>
                <w:sz w:val="13"/>
              </w:rPr>
              <w:t>Negara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Peninjauan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Benda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Sitaan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Dan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Barang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Rampasan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Negara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 w:val="restart"/>
            <w:shd w:val="clear" w:color="auto" w:fill="CEE1F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Pengambilan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Benda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Sitaan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Dan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Barang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Rampasan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Negara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Pinjam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Pakai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Benda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Sitaan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Dan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Barang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Rampasan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Negara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Pelayanan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Informasi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Benda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Sitaan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Dan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Barang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Rampasan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Negara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spacing w:before="9"/>
              <w:ind w:left="97" w:right="8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f.</w:t>
            </w:r>
          </w:p>
        </w:tc>
        <w:tc>
          <w:tcPr>
            <w:tcW w:w="9004" w:type="dxa"/>
            <w:gridSpan w:val="5"/>
          </w:tcPr>
          <w:p>
            <w:pPr>
              <w:pStyle w:val="TableParagraph"/>
              <w:spacing w:before="9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Layanan</w:t>
            </w:r>
            <w:r>
              <w:rPr>
                <w:rFonts w:ascii="Arial"/>
                <w:b/>
                <w:spacing w:val="-9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Bidang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Informasi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dan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w w:val="105"/>
                <w:sz w:val="13"/>
              </w:rPr>
              <w:t>Komunikasi</w:t>
            </w: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Kerjasama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Dalam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Negeri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 w:val="restart"/>
            <w:shd w:val="clear" w:color="auto" w:fill="CEE1F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Kerjasama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Luar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Negeri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Izin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Peliputan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Informasi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Kepada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Publik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Informasi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Kepada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Media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Massa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</w:tcPr>
          <w:p>
            <w:pPr>
              <w:pStyle w:val="TableParagraph"/>
              <w:spacing w:before="21"/>
              <w:ind w:left="33"/>
              <w:rPr>
                <w:sz w:val="12"/>
              </w:rPr>
            </w:pPr>
            <w:r>
              <w:rPr>
                <w:sz w:val="12"/>
              </w:rPr>
              <w:t>Layanan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Izin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Penelitian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  <w:shd w:val="clear" w:color="auto" w:fill="CEE1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4" w:type="dxa"/>
          </w:tcPr>
          <w:p>
            <w:pPr>
              <w:pStyle w:val="TableParagraph"/>
              <w:spacing w:before="13"/>
              <w:ind w:left="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3"/>
                <w:sz w:val="13"/>
              </w:rPr>
              <w:t>7</w:t>
            </w:r>
          </w:p>
        </w:tc>
        <w:tc>
          <w:tcPr>
            <w:tcW w:w="5997" w:type="dxa"/>
            <w:gridSpan w:val="3"/>
          </w:tcPr>
          <w:p>
            <w:pPr>
              <w:pStyle w:val="TableParagraph"/>
              <w:spacing w:before="13"/>
              <w:ind w:left="3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Layanan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Pengaduan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pgSz w:w="12240" w:h="20160"/>
      <w:pgMar w:top="108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Evalweb TW2 2023</dc:title>
  <dcterms:created xsi:type="dcterms:W3CDTF">2023-11-27T02:31:54Z</dcterms:created>
  <dcterms:modified xsi:type="dcterms:W3CDTF">2023-11-27T02:31:54Z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