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87618" w14:textId="77777777" w:rsidR="003930E7" w:rsidRPr="00E262D2" w:rsidRDefault="003930E7">
      <w:pPr>
        <w:rPr>
          <w:rFonts w:ascii="Arial Narrow" w:hAnsi="Arial Narrow"/>
          <w:color w:val="000000" w:themeColor="text1"/>
          <w:lang w:val="es-ES_tradnl"/>
        </w:rPr>
      </w:pPr>
    </w:p>
    <w:p w14:paraId="1A956A69" w14:textId="6269E467" w:rsidR="00E262D2" w:rsidRPr="00E262D2" w:rsidRDefault="00E262D2" w:rsidP="00E262D2">
      <w:pPr>
        <w:jc w:val="center"/>
        <w:rPr>
          <w:rFonts w:ascii="Arial Narrow" w:hAnsi="Arial Narrow" w:cs="Open Sans"/>
          <w:b/>
          <w:bCs/>
          <w:color w:val="000000" w:themeColor="text1"/>
          <w:sz w:val="28"/>
          <w:szCs w:val="28"/>
        </w:rPr>
      </w:pPr>
      <w:r w:rsidRPr="00E262D2">
        <w:rPr>
          <w:rFonts w:ascii="Arial Narrow" w:hAnsi="Arial Narrow" w:cs="Open Sans"/>
          <w:b/>
          <w:bCs/>
          <w:color w:val="000000" w:themeColor="text1"/>
          <w:sz w:val="28"/>
          <w:szCs w:val="28"/>
        </w:rPr>
        <w:t>Ley 2570 de 2026. I</w:t>
      </w:r>
      <w:r w:rsidRPr="00E262D2">
        <w:rPr>
          <w:rFonts w:ascii="Arial Narrow" w:hAnsi="Arial Narrow" w:cs="Open Sans"/>
          <w:b/>
          <w:bCs/>
          <w:color w:val="000000" w:themeColor="text1"/>
          <w:sz w:val="28"/>
          <w:szCs w:val="28"/>
        </w:rPr>
        <w:t>ntegración y estructura de la jurisdicción agraria y rural</w:t>
      </w:r>
    </w:p>
    <w:p w14:paraId="29757850" w14:textId="77777777" w:rsidR="00E262D2" w:rsidRPr="00E262D2" w:rsidRDefault="00E262D2">
      <w:pPr>
        <w:rPr>
          <w:rFonts w:ascii="Arial Narrow" w:hAnsi="Arial Narrow"/>
          <w:color w:val="000000" w:themeColor="text1"/>
        </w:rPr>
      </w:pPr>
    </w:p>
    <w:p w14:paraId="666C06D0" w14:textId="77777777" w:rsidR="00E262D2" w:rsidRPr="00E262D2" w:rsidRDefault="00E262D2">
      <w:pPr>
        <w:rPr>
          <w:rFonts w:ascii="Arial Narrow" w:hAnsi="Arial Narrow"/>
          <w:color w:val="000000" w:themeColor="text1"/>
          <w:lang w:val="es-ES_tradnl"/>
        </w:rPr>
      </w:pPr>
    </w:p>
    <w:p w14:paraId="6C299334" w14:textId="10277414" w:rsidR="005F32F6" w:rsidRPr="00E262D2" w:rsidRDefault="005F32F6" w:rsidP="00E262D2">
      <w:pPr>
        <w:pStyle w:val="Prrafodelista"/>
        <w:numPr>
          <w:ilvl w:val="0"/>
          <w:numId w:val="15"/>
        </w:numPr>
        <w:jc w:val="both"/>
        <w:rPr>
          <w:rFonts w:ascii="Arial Narrow" w:hAnsi="Arial Narrow" w:cs="Open Sans"/>
          <w:color w:val="000000" w:themeColor="text1"/>
        </w:rPr>
      </w:pPr>
      <w:r w:rsidRPr="00E262D2">
        <w:rPr>
          <w:rFonts w:ascii="Arial Narrow" w:hAnsi="Arial Narrow"/>
          <w:color w:val="000000" w:themeColor="text1"/>
          <w:lang w:val="es-ES_tradnl"/>
        </w:rPr>
        <w:t xml:space="preserve">Ley 2570 de 2026: </w:t>
      </w:r>
      <w:r w:rsidRPr="00E262D2">
        <w:rPr>
          <w:rFonts w:ascii="Arial Narrow" w:hAnsi="Arial Narrow" w:cs="Open Sans"/>
          <w:color w:val="000000" w:themeColor="text1"/>
        </w:rPr>
        <w:t>Por medio de la cual se modifica la Ley </w:t>
      </w:r>
      <w:hyperlink r:id="rId7" w:anchor="0" w:history="1">
        <w:r w:rsidRPr="00E262D2">
          <w:rPr>
            <w:rStyle w:val="Hipervnculo"/>
            <w:rFonts w:ascii="Arial Narrow" w:hAnsi="Arial Narrow" w:cs="Open Sans"/>
            <w:color w:val="000000" w:themeColor="text1"/>
            <w:u w:val="none"/>
          </w:rPr>
          <w:t>270</w:t>
        </w:r>
      </w:hyperlink>
      <w:r w:rsidRPr="00E262D2">
        <w:rPr>
          <w:rFonts w:ascii="Arial Narrow" w:hAnsi="Arial Narrow" w:cs="Open Sans"/>
          <w:color w:val="000000" w:themeColor="text1"/>
        </w:rPr>
        <w:t> de 1996, se determina la integración y estructura de la jurisdicción agraria y rural, y se adoptan otras disposiciones</w:t>
      </w:r>
      <w:r w:rsidR="003930E7" w:rsidRPr="00E262D2">
        <w:rPr>
          <w:rFonts w:ascii="Arial Narrow" w:hAnsi="Arial Narrow" w:cs="Open Sans"/>
          <w:color w:val="000000" w:themeColor="text1"/>
        </w:rPr>
        <w:t>.</w:t>
      </w:r>
    </w:p>
    <w:p w14:paraId="6B817CCF" w14:textId="77777777" w:rsidR="003930E7" w:rsidRPr="00E262D2" w:rsidRDefault="003930E7" w:rsidP="00E262D2">
      <w:pPr>
        <w:jc w:val="both"/>
        <w:rPr>
          <w:rFonts w:ascii="Arial Narrow" w:hAnsi="Arial Narrow" w:cs="Open Sans"/>
          <w:color w:val="000000" w:themeColor="text1"/>
        </w:rPr>
      </w:pPr>
    </w:p>
    <w:p w14:paraId="388ABE47" w14:textId="48536EFA" w:rsidR="005F32F6" w:rsidRPr="00E262D2" w:rsidRDefault="003930E7" w:rsidP="00E262D2">
      <w:pPr>
        <w:pStyle w:val="Prrafodelista"/>
        <w:numPr>
          <w:ilvl w:val="0"/>
          <w:numId w:val="15"/>
        </w:numPr>
        <w:jc w:val="both"/>
        <w:rPr>
          <w:rFonts w:ascii="Arial Narrow" w:hAnsi="Arial Narrow" w:cs="Open Sans"/>
          <w:b/>
          <w:bCs/>
          <w:color w:val="000000" w:themeColor="text1"/>
        </w:rPr>
      </w:pPr>
      <w:r w:rsidRPr="00E262D2">
        <w:rPr>
          <w:rFonts w:ascii="Arial Narrow" w:hAnsi="Arial Narrow" w:cs="Open Sans"/>
          <w:color w:val="000000" w:themeColor="text1"/>
        </w:rPr>
        <w:t>En concordancia con el Acto Legislativo 03 de 2023 Por medio del cual se modifica la Constitución Política de Colombia y se establece la Jurisdicción Agraria y Rural.</w:t>
      </w:r>
    </w:p>
    <w:p w14:paraId="5E89903C" w14:textId="77777777" w:rsidR="003930E7" w:rsidRPr="00E262D2" w:rsidRDefault="003930E7">
      <w:pPr>
        <w:rPr>
          <w:rFonts w:ascii="Arial Narrow" w:hAnsi="Arial Narrow" w:cs="Open Sans"/>
          <w:b/>
          <w:bCs/>
          <w:color w:val="000000" w:themeColor="text1"/>
        </w:rPr>
      </w:pPr>
    </w:p>
    <w:p w14:paraId="051A47E6" w14:textId="14EFE467" w:rsidR="005F32F6" w:rsidRPr="00E262D2" w:rsidRDefault="005F32F6" w:rsidP="00E262D2">
      <w:pPr>
        <w:jc w:val="center"/>
        <w:rPr>
          <w:rFonts w:ascii="Arial Narrow" w:hAnsi="Arial Narrow" w:cs="Open Sans"/>
          <w:color w:val="000000" w:themeColor="text1"/>
        </w:rPr>
      </w:pPr>
      <w:r w:rsidRPr="00E262D2">
        <w:rPr>
          <w:rFonts w:ascii="Arial Narrow" w:hAnsi="Arial Narrow" w:cs="Open Sans"/>
          <w:b/>
          <w:bCs/>
          <w:color w:val="000000" w:themeColor="text1"/>
        </w:rPr>
        <w:t>Estructura orgánica de la jurisdicción</w:t>
      </w:r>
    </w:p>
    <w:p w14:paraId="2E2C9818" w14:textId="77777777" w:rsidR="005F32F6" w:rsidRPr="00E262D2" w:rsidRDefault="005F32F6">
      <w:pPr>
        <w:rPr>
          <w:rFonts w:ascii="Arial Narrow" w:hAnsi="Arial Narrow" w:cs="Open Sans"/>
          <w:color w:val="000000" w:themeColor="text1"/>
        </w:rPr>
      </w:pPr>
    </w:p>
    <w:p w14:paraId="73438426" w14:textId="3650AC49" w:rsidR="005F32F6" w:rsidRPr="00E262D2" w:rsidRDefault="005F32F6" w:rsidP="005F32F6">
      <w:pPr>
        <w:pStyle w:val="Prrafodelista"/>
        <w:numPr>
          <w:ilvl w:val="0"/>
          <w:numId w:val="2"/>
        </w:numPr>
        <w:rPr>
          <w:rFonts w:ascii="Arial Narrow" w:hAnsi="Arial Narrow" w:cs="Open Sans"/>
          <w:color w:val="000000" w:themeColor="text1"/>
        </w:rPr>
      </w:pPr>
      <w:r w:rsidRPr="00E262D2">
        <w:rPr>
          <w:rFonts w:ascii="Arial Narrow" w:hAnsi="Arial Narrow" w:cs="Open Sans"/>
          <w:color w:val="000000" w:themeColor="text1"/>
        </w:rPr>
        <w:t>Órganos de cierre</w:t>
      </w:r>
    </w:p>
    <w:p w14:paraId="32C32ECC" w14:textId="04E71716" w:rsidR="005F32F6" w:rsidRPr="00E262D2" w:rsidRDefault="005F32F6">
      <w:pPr>
        <w:rPr>
          <w:rFonts w:ascii="Arial Narrow" w:hAnsi="Arial Narrow" w:cs="Open Sans"/>
          <w:color w:val="000000" w:themeColor="text1"/>
        </w:rPr>
      </w:pPr>
      <w:r w:rsidRPr="00E262D2">
        <w:rPr>
          <w:rFonts w:ascii="Arial Narrow" w:hAnsi="Arial Narrow" w:cs="Open Sans"/>
          <w:color w:val="000000" w:themeColor="text1"/>
        </w:rPr>
        <w:tab/>
      </w:r>
    </w:p>
    <w:p w14:paraId="70C9A185" w14:textId="35DC9E04" w:rsidR="005F32F6" w:rsidRPr="00E262D2" w:rsidRDefault="005F32F6" w:rsidP="005F32F6">
      <w:pPr>
        <w:pStyle w:val="Prrafodelista"/>
        <w:numPr>
          <w:ilvl w:val="0"/>
          <w:numId w:val="1"/>
        </w:numPr>
        <w:rPr>
          <w:rFonts w:ascii="Arial Narrow" w:hAnsi="Arial Narrow"/>
          <w:color w:val="000000" w:themeColor="text1"/>
          <w:lang w:val="es-ES_tradnl"/>
        </w:rPr>
      </w:pPr>
      <w:r w:rsidRPr="00E262D2">
        <w:rPr>
          <w:rFonts w:ascii="Arial Narrow" w:hAnsi="Arial Narrow"/>
          <w:color w:val="000000" w:themeColor="text1"/>
          <w:lang w:val="es-ES_tradnl"/>
        </w:rPr>
        <w:t>Sala de casación Civil, agraria y rural (Corte suprema de Justicia)</w:t>
      </w:r>
    </w:p>
    <w:p w14:paraId="77FF858A" w14:textId="7CF9ECAB" w:rsidR="005F32F6" w:rsidRPr="00E262D2" w:rsidRDefault="005F32F6" w:rsidP="005F32F6">
      <w:pPr>
        <w:pStyle w:val="Prrafodelista"/>
        <w:numPr>
          <w:ilvl w:val="0"/>
          <w:numId w:val="1"/>
        </w:numPr>
        <w:rPr>
          <w:rFonts w:ascii="Arial Narrow" w:hAnsi="Arial Narrow"/>
          <w:color w:val="000000" w:themeColor="text1"/>
          <w:lang w:val="es-ES_tradnl"/>
        </w:rPr>
      </w:pPr>
      <w:r w:rsidRPr="00E262D2">
        <w:rPr>
          <w:rFonts w:ascii="Arial Narrow" w:hAnsi="Arial Narrow"/>
          <w:color w:val="000000" w:themeColor="text1"/>
          <w:lang w:val="es-ES_tradnl"/>
        </w:rPr>
        <w:t>Consejo de Estado</w:t>
      </w:r>
    </w:p>
    <w:p w14:paraId="696F03E2" w14:textId="77777777" w:rsidR="005F32F6" w:rsidRPr="00E262D2" w:rsidRDefault="005F32F6" w:rsidP="005F32F6">
      <w:pPr>
        <w:rPr>
          <w:rFonts w:ascii="Arial Narrow" w:hAnsi="Arial Narrow"/>
          <w:color w:val="000000" w:themeColor="text1"/>
          <w:lang w:val="es-ES_tradnl"/>
        </w:rPr>
      </w:pPr>
    </w:p>
    <w:p w14:paraId="50E6C50A" w14:textId="542CB52E" w:rsidR="005F32F6" w:rsidRPr="00E262D2" w:rsidRDefault="005F32F6" w:rsidP="005F32F6">
      <w:pPr>
        <w:pStyle w:val="Prrafodelista"/>
        <w:numPr>
          <w:ilvl w:val="0"/>
          <w:numId w:val="2"/>
        </w:numPr>
        <w:rPr>
          <w:rFonts w:ascii="Arial Narrow" w:hAnsi="Arial Narrow"/>
          <w:color w:val="000000" w:themeColor="text1"/>
          <w:lang w:val="es-ES_tradnl"/>
        </w:rPr>
      </w:pPr>
      <w:r w:rsidRPr="00E262D2">
        <w:rPr>
          <w:rFonts w:ascii="Arial Narrow" w:hAnsi="Arial Narrow"/>
          <w:color w:val="000000" w:themeColor="text1"/>
          <w:lang w:val="es-ES_tradnl"/>
        </w:rPr>
        <w:t>Tribunales agrarios y rurales: Conformados por la sala plena (mínimo 3 magistrados), sala de gobierno y salas especializadas</w:t>
      </w:r>
    </w:p>
    <w:p w14:paraId="17C12061" w14:textId="77777777" w:rsidR="005F32F6" w:rsidRPr="00E262D2" w:rsidRDefault="005F32F6" w:rsidP="005F32F6">
      <w:pPr>
        <w:rPr>
          <w:rFonts w:ascii="Arial Narrow" w:hAnsi="Arial Narrow"/>
          <w:color w:val="000000" w:themeColor="text1"/>
          <w:lang w:val="es-ES_tradnl"/>
        </w:rPr>
      </w:pPr>
    </w:p>
    <w:p w14:paraId="3EE66533" w14:textId="77777777" w:rsidR="004937E1" w:rsidRPr="00E262D2" w:rsidRDefault="005F32F6" w:rsidP="005F32F6">
      <w:pPr>
        <w:pStyle w:val="Prrafodelista"/>
        <w:numPr>
          <w:ilvl w:val="0"/>
          <w:numId w:val="2"/>
        </w:numPr>
        <w:rPr>
          <w:rFonts w:ascii="Arial Narrow" w:eastAsia="Times New Roman" w:hAnsi="Arial Narrow" w:cs="Times New Roman"/>
          <w:color w:val="000000" w:themeColor="text1"/>
          <w:kern w:val="0"/>
          <w:lang w:eastAsia="es-MX"/>
          <w14:ligatures w14:val="none"/>
        </w:rPr>
      </w:pPr>
      <w:r w:rsidRPr="00E262D2">
        <w:rPr>
          <w:rFonts w:ascii="Arial Narrow" w:hAnsi="Arial Narrow"/>
          <w:color w:val="000000" w:themeColor="text1"/>
          <w:lang w:val="es-ES_tradnl"/>
        </w:rPr>
        <w:t>Juzgados agrarios:</w:t>
      </w:r>
      <w:r w:rsidR="004937E1" w:rsidRPr="00E262D2">
        <w:rPr>
          <w:rFonts w:ascii="Arial Narrow" w:hAnsi="Arial Narrow"/>
          <w:color w:val="000000" w:themeColor="text1"/>
          <w:lang w:val="es-ES_tradnl"/>
        </w:rPr>
        <w:t xml:space="preserve"> Serán la célula básica para la implementación de la jurisdicción agraria y rural</w:t>
      </w:r>
    </w:p>
    <w:p w14:paraId="27C522B5" w14:textId="77777777" w:rsidR="004937E1" w:rsidRPr="00E262D2" w:rsidRDefault="004937E1" w:rsidP="004937E1">
      <w:pPr>
        <w:pStyle w:val="Prrafodelista"/>
        <w:rPr>
          <w:rFonts w:ascii="Arial Narrow" w:hAnsi="Arial Narrow"/>
          <w:color w:val="000000" w:themeColor="text1"/>
          <w:lang w:val="es-ES_tradnl"/>
        </w:rPr>
      </w:pPr>
    </w:p>
    <w:p w14:paraId="5169F989" w14:textId="77777777" w:rsidR="004937E1" w:rsidRPr="00E262D2" w:rsidRDefault="004937E1" w:rsidP="004937E1">
      <w:pPr>
        <w:rPr>
          <w:rFonts w:ascii="Arial Narrow" w:hAnsi="Arial Narrow"/>
          <w:color w:val="000000" w:themeColor="text1"/>
          <w:lang w:val="es-ES_tradnl"/>
        </w:rPr>
      </w:pPr>
    </w:p>
    <w:p w14:paraId="1595E789" w14:textId="5311780E" w:rsidR="00E262D2" w:rsidRPr="00E262D2" w:rsidRDefault="004937E1" w:rsidP="00E262D2">
      <w:pPr>
        <w:jc w:val="center"/>
        <w:rPr>
          <w:rFonts w:ascii="Arial Narrow" w:hAnsi="Arial Narrow"/>
          <w:color w:val="000000" w:themeColor="text1"/>
          <w:lang w:val="es-ES_tradnl"/>
        </w:rPr>
      </w:pPr>
      <w:r w:rsidRPr="00E262D2">
        <w:rPr>
          <w:rFonts w:ascii="Arial Narrow" w:hAnsi="Arial Narrow"/>
          <w:b/>
          <w:bCs/>
          <w:color w:val="000000" w:themeColor="text1"/>
          <w:lang w:val="es-ES_tradnl"/>
        </w:rPr>
        <w:t>Implementación territorial</w:t>
      </w:r>
    </w:p>
    <w:p w14:paraId="4F3DE7BC" w14:textId="77777777" w:rsidR="00E262D2" w:rsidRPr="00E262D2" w:rsidRDefault="00E262D2" w:rsidP="00E262D2">
      <w:pPr>
        <w:jc w:val="both"/>
        <w:rPr>
          <w:rFonts w:ascii="Arial Narrow" w:eastAsia="Times New Roman" w:hAnsi="Arial Narrow" w:cs="Times New Roman"/>
          <w:color w:val="000000" w:themeColor="text1"/>
          <w:kern w:val="0"/>
          <w:lang w:val="es-ES_tradnl" w:eastAsia="es-MX"/>
          <w14:ligatures w14:val="none"/>
        </w:rPr>
      </w:pPr>
    </w:p>
    <w:p w14:paraId="723F365C" w14:textId="60379437" w:rsidR="004937E1" w:rsidRPr="00E262D2" w:rsidRDefault="00E262D2" w:rsidP="00E262D2">
      <w:pPr>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val="es-ES_tradnl" w:eastAsia="es-MX"/>
          <w14:ligatures w14:val="none"/>
        </w:rPr>
        <w:t>L</w:t>
      </w:r>
      <w:r w:rsidR="005F32F6" w:rsidRPr="00E262D2">
        <w:rPr>
          <w:rFonts w:ascii="Arial Narrow" w:eastAsia="Times New Roman" w:hAnsi="Arial Narrow" w:cs="Times New Roman"/>
          <w:color w:val="000000" w:themeColor="text1"/>
          <w:kern w:val="0"/>
          <w:lang w:eastAsia="es-MX"/>
          <w14:ligatures w14:val="none"/>
        </w:rPr>
        <w:t xml:space="preserve">a ubicación de </w:t>
      </w:r>
      <w:r w:rsidR="004937E1" w:rsidRPr="00E262D2">
        <w:rPr>
          <w:rFonts w:ascii="Arial Narrow" w:eastAsia="Times New Roman" w:hAnsi="Arial Narrow" w:cs="Times New Roman"/>
          <w:color w:val="000000" w:themeColor="text1"/>
          <w:kern w:val="0"/>
          <w:lang w:eastAsia="es-MX"/>
          <w14:ligatures w14:val="none"/>
        </w:rPr>
        <w:t>los</w:t>
      </w:r>
      <w:r w:rsidR="005F32F6" w:rsidRPr="00E262D2">
        <w:rPr>
          <w:rFonts w:ascii="Arial Narrow" w:eastAsia="Times New Roman" w:hAnsi="Arial Narrow" w:cs="Times New Roman"/>
          <w:color w:val="000000" w:themeColor="text1"/>
          <w:kern w:val="0"/>
          <w:lang w:eastAsia="es-MX"/>
          <w14:ligatures w14:val="none"/>
        </w:rPr>
        <w:t xml:space="preserve"> juzgados </w:t>
      </w:r>
      <w:r w:rsidR="004937E1" w:rsidRPr="00E262D2">
        <w:rPr>
          <w:rFonts w:ascii="Arial Narrow" w:eastAsia="Times New Roman" w:hAnsi="Arial Narrow" w:cs="Times New Roman"/>
          <w:color w:val="000000" w:themeColor="text1"/>
          <w:kern w:val="0"/>
          <w:lang w:eastAsia="es-MX"/>
          <w14:ligatures w14:val="none"/>
        </w:rPr>
        <w:t>agrarios y l</w:t>
      </w:r>
      <w:r w:rsidR="005F32F6" w:rsidRPr="00E262D2">
        <w:rPr>
          <w:rFonts w:ascii="Arial Narrow" w:eastAsia="Times New Roman" w:hAnsi="Arial Narrow" w:cs="Times New Roman"/>
          <w:color w:val="000000" w:themeColor="text1"/>
          <w:kern w:val="0"/>
          <w:lang w:eastAsia="es-MX"/>
          <w14:ligatures w14:val="none"/>
        </w:rPr>
        <w:t>a</w:t>
      </w:r>
      <w:r w:rsidR="00EE56DD" w:rsidRPr="00E262D2">
        <w:rPr>
          <w:rFonts w:ascii="Arial Narrow" w:eastAsia="Times New Roman" w:hAnsi="Arial Narrow" w:cs="Times New Roman"/>
          <w:color w:val="000000" w:themeColor="text1"/>
          <w:kern w:val="0"/>
          <w:lang w:eastAsia="es-MX"/>
          <w14:ligatures w14:val="none"/>
        </w:rPr>
        <w:t xml:space="preserve"> </w:t>
      </w:r>
      <w:r w:rsidR="005F32F6" w:rsidRPr="00E262D2">
        <w:rPr>
          <w:rFonts w:ascii="Arial Narrow" w:eastAsia="Times New Roman" w:hAnsi="Arial Narrow" w:cs="Times New Roman"/>
          <w:color w:val="000000" w:themeColor="text1"/>
          <w:kern w:val="0"/>
          <w:lang w:eastAsia="es-MX"/>
          <w14:ligatures w14:val="none"/>
        </w:rPr>
        <w:t xml:space="preserve">creación de despachos debe priorizar zonas con características específicas: </w:t>
      </w:r>
    </w:p>
    <w:p w14:paraId="1266C2A4" w14:textId="77777777" w:rsidR="004937E1" w:rsidRPr="00E262D2" w:rsidRDefault="004937E1" w:rsidP="004937E1">
      <w:pPr>
        <w:rPr>
          <w:rFonts w:ascii="Arial Narrow" w:eastAsia="Times New Roman" w:hAnsi="Arial Narrow" w:cs="Times New Roman"/>
          <w:color w:val="000000" w:themeColor="text1"/>
          <w:kern w:val="0"/>
          <w:lang w:eastAsia="es-MX"/>
          <w14:ligatures w14:val="none"/>
        </w:rPr>
      </w:pPr>
    </w:p>
    <w:p w14:paraId="1061ECDC" w14:textId="77777777" w:rsidR="004937E1" w:rsidRPr="00E262D2" w:rsidRDefault="005F32F6" w:rsidP="00EE56DD">
      <w:pPr>
        <w:pStyle w:val="Prrafodelista"/>
        <w:numPr>
          <w:ilvl w:val="0"/>
          <w:numId w:val="6"/>
        </w:numPr>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Zonas PDET y núcleos de reforma agraria. </w:t>
      </w:r>
    </w:p>
    <w:p w14:paraId="0D86894A" w14:textId="77777777" w:rsidR="00EE56DD" w:rsidRPr="00E262D2" w:rsidRDefault="00EE56DD" w:rsidP="004937E1">
      <w:pPr>
        <w:rPr>
          <w:rFonts w:ascii="Arial Narrow" w:eastAsia="Times New Roman" w:hAnsi="Arial Narrow" w:cs="Times New Roman"/>
          <w:color w:val="000000" w:themeColor="text1"/>
          <w:kern w:val="0"/>
          <w:lang w:eastAsia="es-MX"/>
          <w14:ligatures w14:val="none"/>
        </w:rPr>
      </w:pPr>
    </w:p>
    <w:p w14:paraId="01E81B0E" w14:textId="1B405195" w:rsidR="004937E1" w:rsidRPr="00E262D2" w:rsidRDefault="005F32F6" w:rsidP="00EE56DD">
      <w:pPr>
        <w:pStyle w:val="Prrafodelista"/>
        <w:numPr>
          <w:ilvl w:val="0"/>
          <w:numId w:val="6"/>
        </w:numPr>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Lugares con alta informalidad en la tenencia de la tierra, concentración de propiedad y presencia de cultivos de uso ilícito. </w:t>
      </w:r>
    </w:p>
    <w:p w14:paraId="1F505383" w14:textId="77777777" w:rsidR="004937E1" w:rsidRPr="00E262D2" w:rsidRDefault="004937E1" w:rsidP="004937E1">
      <w:pPr>
        <w:rPr>
          <w:rFonts w:ascii="Arial Narrow" w:eastAsia="Times New Roman" w:hAnsi="Arial Narrow" w:cs="Times New Roman"/>
          <w:color w:val="000000" w:themeColor="text1"/>
          <w:kern w:val="0"/>
          <w:lang w:eastAsia="es-MX"/>
          <w14:ligatures w14:val="none"/>
        </w:rPr>
      </w:pPr>
    </w:p>
    <w:p w14:paraId="2BD10C4D" w14:textId="406289E1" w:rsidR="005F32F6" w:rsidRPr="00E262D2" w:rsidRDefault="005F32F6" w:rsidP="00EE56DD">
      <w:pPr>
        <w:pStyle w:val="Prrafodelista"/>
        <w:numPr>
          <w:ilvl w:val="0"/>
          <w:numId w:val="6"/>
        </w:numPr>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Territorios con presencia de poblaciones campesinas y grupos étnicos. Esta estructura orgánica busca que la división judicial no tenga que coincidir obligatoriamente con la división político-administrativa, priorizando la cercanía del juez con los hechos y el fácil acceso para los ciudadanos</w:t>
      </w:r>
    </w:p>
    <w:p w14:paraId="5F7C1316" w14:textId="0DD1C37D" w:rsidR="005F32F6" w:rsidRPr="00E262D2" w:rsidRDefault="005F32F6" w:rsidP="005F32F6">
      <w:pPr>
        <w:ind w:left="360"/>
        <w:rPr>
          <w:rFonts w:ascii="Arial Narrow" w:hAnsi="Arial Narrow"/>
          <w:color w:val="000000" w:themeColor="text1"/>
          <w:lang w:val="es-ES_tradnl"/>
        </w:rPr>
      </w:pPr>
    </w:p>
    <w:p w14:paraId="6A608207" w14:textId="13693524" w:rsidR="00E262D2" w:rsidRPr="00E262D2" w:rsidRDefault="00890B3C" w:rsidP="00E262D2">
      <w:pPr>
        <w:spacing w:before="100" w:beforeAutospacing="1" w:after="100" w:afterAutospacing="1"/>
        <w:jc w:val="center"/>
        <w:rPr>
          <w:rFonts w:ascii="Arial Narrow" w:hAnsi="Arial Narrow"/>
          <w:color w:val="000000" w:themeColor="text1"/>
        </w:rPr>
      </w:pPr>
      <w:r w:rsidRPr="00E262D2">
        <w:rPr>
          <w:rFonts w:ascii="Arial Narrow" w:hAnsi="Arial Narrow"/>
          <w:b/>
          <w:bCs/>
          <w:color w:val="000000" w:themeColor="text1"/>
          <w:lang w:val="es-ES_tradnl"/>
        </w:rPr>
        <w:t>Implementación técnica y rural</w:t>
      </w:r>
    </w:p>
    <w:p w14:paraId="0A21304D" w14:textId="0AAEAE47" w:rsidR="00890B3C" w:rsidRPr="00E262D2" w:rsidRDefault="00890B3C" w:rsidP="00E262D2">
      <w:p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hAnsi="Arial Narrow"/>
          <w:color w:val="000000" w:themeColor="text1"/>
        </w:rPr>
        <w:t>para cumplir los fines misionales de la jurisdicción agraria, la ley establece un aparataje institucional interdisciplinar que será central a la hora de analizar, juzgar y resolver las problemáticas agrarias. Para esto se establece:</w:t>
      </w:r>
    </w:p>
    <w:p w14:paraId="55880B16" w14:textId="4570ACE6" w:rsidR="00890B3C" w:rsidRPr="00E262D2" w:rsidRDefault="00890B3C" w:rsidP="00890B3C">
      <w:pPr>
        <w:pStyle w:val="Prrafodelista"/>
        <w:numPr>
          <w:ilvl w:val="0"/>
          <w:numId w:val="10"/>
        </w:num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lastRenderedPageBreak/>
        <w:t xml:space="preserve">Soporte Técnico: Centros de Servicios y Equipos Interdisciplinarios </w:t>
      </w:r>
    </w:p>
    <w:p w14:paraId="5F1E1F96"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La ley crea los Centros de Servicios Judiciales y Administrativos de Apoyo Técnico Agrario y Rural, encargados de brindar apoyo técnico, pericial y de contexto a jueces y magistrados. Estos equipos trabajan con una visión interdisciplinaria que permite analizar los conflictos rurales desde dimensiones jurídicas, sociales, culturales y territoriales.</w:t>
      </w:r>
    </w:p>
    <w:p w14:paraId="21AE9A1B"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Apoyo técnico y pericial especializado.</w:t>
      </w:r>
      <w:r w:rsidRPr="00E262D2">
        <w:rPr>
          <w:rFonts w:ascii="Arial Narrow" w:eastAsia="Times New Roman" w:hAnsi="Arial Narrow" w:cs="Times New Roman"/>
          <w:color w:val="000000" w:themeColor="text1"/>
          <w:kern w:val="0"/>
          <w:lang w:eastAsia="es-MX"/>
          <w14:ligatures w14:val="none"/>
        </w:rPr>
        <w:br/>
        <w:t>• Análisis interdisciplinario de los conflictos rurales.</w:t>
      </w:r>
      <w:r w:rsidRPr="00E262D2">
        <w:rPr>
          <w:rFonts w:ascii="Arial Narrow" w:eastAsia="Times New Roman" w:hAnsi="Arial Narrow" w:cs="Times New Roman"/>
          <w:color w:val="000000" w:themeColor="text1"/>
          <w:kern w:val="0"/>
          <w:lang w:eastAsia="es-MX"/>
          <w14:ligatures w14:val="none"/>
        </w:rPr>
        <w:br/>
        <w:t>• Inclusión de profesionales en temas étnicos, campesinos y de género.</w:t>
      </w:r>
      <w:r w:rsidRPr="00E262D2">
        <w:rPr>
          <w:rFonts w:ascii="Arial Narrow" w:eastAsia="Times New Roman" w:hAnsi="Arial Narrow" w:cs="Times New Roman"/>
          <w:color w:val="000000" w:themeColor="text1"/>
          <w:kern w:val="0"/>
          <w:lang w:eastAsia="es-MX"/>
          <w14:ligatures w14:val="none"/>
        </w:rPr>
        <w:br/>
        <w:t>• Garantía de un enfoque diferencial y territorial.</w:t>
      </w:r>
    </w:p>
    <w:p w14:paraId="425AC4C4" w14:textId="77777777" w:rsidR="00890B3C" w:rsidRPr="00E262D2" w:rsidRDefault="00890B3C" w:rsidP="00890B3C">
      <w:pPr>
        <w:numPr>
          <w:ilvl w:val="0"/>
          <w:numId w:val="8"/>
        </w:num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Soporte Social: Facilitadores Agrarios y Rurales </w:t>
      </w:r>
    </w:p>
    <w:p w14:paraId="2F3B6D91"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La Defensoría del Pueblo incorpora los Facilitadores Agrarios y Rurales para fortalecer el acceso a la justicia en el campo. Estos profesionales ofrecen orientación jurídica gratuita a poblaciones vulnerables y explican las rutas de acceso y trámites de la jurisdicción agraria. Su presencia se prioriza en zonas PDET y territorios con mayores necesidades de justicia rural.</w:t>
      </w:r>
    </w:p>
    <w:p w14:paraId="15E72FC4"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Orientación jurídica gratuita.</w:t>
      </w:r>
      <w:r w:rsidRPr="00E262D2">
        <w:rPr>
          <w:rFonts w:ascii="Arial Narrow" w:eastAsia="Times New Roman" w:hAnsi="Arial Narrow" w:cs="Times New Roman"/>
          <w:color w:val="000000" w:themeColor="text1"/>
          <w:kern w:val="0"/>
          <w:lang w:eastAsia="es-MX"/>
          <w14:ligatures w14:val="none"/>
        </w:rPr>
        <w:br/>
        <w:t>• Acompañamiento en trámites y acceso a la justicia.</w:t>
      </w:r>
      <w:r w:rsidRPr="00E262D2">
        <w:rPr>
          <w:rFonts w:ascii="Arial Narrow" w:eastAsia="Times New Roman" w:hAnsi="Arial Narrow" w:cs="Times New Roman"/>
          <w:color w:val="000000" w:themeColor="text1"/>
          <w:kern w:val="0"/>
          <w:lang w:eastAsia="es-MX"/>
          <w14:ligatures w14:val="none"/>
        </w:rPr>
        <w:br/>
        <w:t>• Priorización en zonas rurales y PDET.</w:t>
      </w:r>
    </w:p>
    <w:p w14:paraId="61202EBE" w14:textId="77777777" w:rsidR="00890B3C" w:rsidRPr="00E262D2" w:rsidRDefault="00890B3C" w:rsidP="00890B3C">
      <w:pPr>
        <w:numPr>
          <w:ilvl w:val="0"/>
          <w:numId w:val="9"/>
        </w:num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Logística y Sostenibilidad del Apoyo </w:t>
      </w:r>
    </w:p>
    <w:p w14:paraId="2AAE263C"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La normativa establece mecanismos para garantizar el funcionamiento efectivo de la jurisdicción agraria, incluso en zonas de difícil acceso. Los juzgados podrán compartir apoyo logístico con entidades de la rama ejecutiva presentes en el territorio, mientras que el Gobierno Nacional deberá asegurar los recursos necesarios para la sostenibilidad del sistema.</w:t>
      </w:r>
    </w:p>
    <w:p w14:paraId="75FDA542" w14:textId="77777777" w:rsidR="00890B3C" w:rsidRPr="00E262D2" w:rsidRDefault="00890B3C" w:rsidP="00890B3C">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Convenios de logística compartida en zonas apartadas.</w:t>
      </w:r>
      <w:r w:rsidRPr="00E262D2">
        <w:rPr>
          <w:rFonts w:ascii="Arial Narrow" w:eastAsia="Times New Roman" w:hAnsi="Arial Narrow" w:cs="Times New Roman"/>
          <w:color w:val="000000" w:themeColor="text1"/>
          <w:kern w:val="0"/>
          <w:lang w:eastAsia="es-MX"/>
          <w14:ligatures w14:val="none"/>
        </w:rPr>
        <w:br/>
        <w:t>• Garantía presupuestal para el funcionamiento del sistema.</w:t>
      </w:r>
      <w:r w:rsidRPr="00E262D2">
        <w:rPr>
          <w:rFonts w:ascii="Arial Narrow" w:eastAsia="Times New Roman" w:hAnsi="Arial Narrow" w:cs="Times New Roman"/>
          <w:color w:val="000000" w:themeColor="text1"/>
          <w:kern w:val="0"/>
          <w:lang w:eastAsia="es-MX"/>
          <w14:ligatures w14:val="none"/>
        </w:rPr>
        <w:br/>
        <w:t>• Selección del personal mediante concurso de méritos.</w:t>
      </w:r>
      <w:r w:rsidRPr="00E262D2">
        <w:rPr>
          <w:rFonts w:ascii="Arial Narrow" w:eastAsia="Times New Roman" w:hAnsi="Arial Narrow" w:cs="Times New Roman"/>
          <w:color w:val="000000" w:themeColor="text1"/>
          <w:kern w:val="0"/>
          <w:lang w:eastAsia="es-MX"/>
          <w14:ligatures w14:val="none"/>
        </w:rPr>
        <w:br/>
        <w:t>• Formación especializada en normativa agraria y ambiental.</w:t>
      </w:r>
    </w:p>
    <w:p w14:paraId="247F047A" w14:textId="1EB9D089" w:rsidR="00890B3C" w:rsidRPr="00E262D2" w:rsidRDefault="00890B3C" w:rsidP="005F32F6">
      <w:pPr>
        <w:rPr>
          <w:rFonts w:ascii="Arial Narrow" w:hAnsi="Arial Narrow"/>
          <w:color w:val="000000" w:themeColor="text1"/>
          <w:lang w:val="es-ES_tradnl"/>
        </w:rPr>
      </w:pPr>
    </w:p>
    <w:p w14:paraId="18BD05BA" w14:textId="18E36C78" w:rsidR="003930E7" w:rsidRPr="00E262D2" w:rsidRDefault="00890B3C" w:rsidP="00E262D2">
      <w:pPr>
        <w:jc w:val="center"/>
        <w:rPr>
          <w:rFonts w:ascii="Arial Narrow" w:hAnsi="Arial Narrow"/>
          <w:b/>
          <w:bCs/>
          <w:color w:val="000000" w:themeColor="text1"/>
          <w:lang w:val="es-ES_tradnl"/>
        </w:rPr>
      </w:pPr>
      <w:r w:rsidRPr="00E262D2">
        <w:rPr>
          <w:rFonts w:ascii="Arial Narrow" w:hAnsi="Arial Narrow"/>
          <w:b/>
          <w:bCs/>
          <w:color w:val="000000" w:themeColor="text1"/>
          <w:lang w:val="es-ES_tradnl"/>
        </w:rPr>
        <w:t>Provisión de cargos y operativización</w:t>
      </w:r>
      <w:r w:rsidR="003930E7" w:rsidRPr="00E262D2">
        <w:rPr>
          <w:rFonts w:ascii="Arial Narrow" w:hAnsi="Arial Narrow"/>
          <w:b/>
          <w:bCs/>
          <w:color w:val="000000" w:themeColor="text1"/>
          <w:lang w:val="es-ES_tradnl"/>
        </w:rPr>
        <w:t xml:space="preserve"> de la Jurisdicción Agraria</w:t>
      </w:r>
    </w:p>
    <w:p w14:paraId="7AB011EA" w14:textId="77777777" w:rsidR="003930E7" w:rsidRPr="00E262D2" w:rsidRDefault="003930E7" w:rsidP="003930E7">
      <w:pPr>
        <w:numPr>
          <w:ilvl w:val="0"/>
          <w:numId w:val="11"/>
        </w:num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Concurso de Méritos para Proveer los Cargos </w:t>
      </w:r>
    </w:p>
    <w:p w14:paraId="4FAC49AC" w14:textId="77777777" w:rsidR="003930E7" w:rsidRPr="00E262D2" w:rsidRDefault="003930E7" w:rsidP="003930E7">
      <w:p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La ley establece que todos los cargos de la jurisdicción agraria deberán proveerse mediante concurso público de méritos. El proceso será convocado por el Consejo Superior de la Judicatura a través de una universidad acreditada institucionalmente. Además, la convocatoria deberá iniciarse dentro de los seis meses siguientes a la expedición de la ley y el proceso completo no podrá superar los dieciocho meses.</w:t>
      </w:r>
    </w:p>
    <w:p w14:paraId="1F933B81" w14:textId="77777777" w:rsidR="003930E7" w:rsidRPr="00E262D2" w:rsidRDefault="003930E7" w:rsidP="003930E7">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lastRenderedPageBreak/>
        <w:t>• Concurso público de méritos para todos los cargos.</w:t>
      </w:r>
      <w:r w:rsidRPr="00E262D2">
        <w:rPr>
          <w:rFonts w:ascii="Arial Narrow" w:eastAsia="Times New Roman" w:hAnsi="Arial Narrow" w:cs="Times New Roman"/>
          <w:color w:val="000000" w:themeColor="text1"/>
          <w:kern w:val="0"/>
          <w:lang w:eastAsia="es-MX"/>
          <w14:ligatures w14:val="none"/>
        </w:rPr>
        <w:br/>
        <w:t>• Convocatoria a cargo del Consejo Superior de la Judicatura.</w:t>
      </w:r>
      <w:r w:rsidRPr="00E262D2">
        <w:rPr>
          <w:rFonts w:ascii="Arial Narrow" w:eastAsia="Times New Roman" w:hAnsi="Arial Narrow" w:cs="Times New Roman"/>
          <w:color w:val="000000" w:themeColor="text1"/>
          <w:kern w:val="0"/>
          <w:lang w:eastAsia="es-MX"/>
          <w14:ligatures w14:val="none"/>
        </w:rPr>
        <w:br/>
        <w:t>• Participación de universidades acreditadas.</w:t>
      </w:r>
      <w:r w:rsidRPr="00E262D2">
        <w:rPr>
          <w:rFonts w:ascii="Arial Narrow" w:eastAsia="Times New Roman" w:hAnsi="Arial Narrow" w:cs="Times New Roman"/>
          <w:color w:val="000000" w:themeColor="text1"/>
          <w:kern w:val="0"/>
          <w:lang w:eastAsia="es-MX"/>
          <w14:ligatures w14:val="none"/>
        </w:rPr>
        <w:br/>
        <w:t>• Inicio del proceso antes de septiembre de 2026.</w:t>
      </w:r>
      <w:r w:rsidRPr="00E262D2">
        <w:rPr>
          <w:rFonts w:ascii="Arial Narrow" w:eastAsia="Times New Roman" w:hAnsi="Arial Narrow" w:cs="Times New Roman"/>
          <w:color w:val="000000" w:themeColor="text1"/>
          <w:kern w:val="0"/>
          <w:lang w:eastAsia="es-MX"/>
          <w14:ligatures w14:val="none"/>
        </w:rPr>
        <w:br/>
        <w:t>• Plazo máximo de 18 meses para proveer los cargos.</w:t>
      </w:r>
    </w:p>
    <w:p w14:paraId="6E5E8C8B" w14:textId="77777777" w:rsidR="003930E7" w:rsidRPr="00E262D2" w:rsidRDefault="003930E7" w:rsidP="003930E7">
      <w:pPr>
        <w:numPr>
          <w:ilvl w:val="0"/>
          <w:numId w:val="12"/>
        </w:num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Curso de Capacitación Obligatorio </w:t>
      </w:r>
    </w:p>
    <w:p w14:paraId="3C4291AE" w14:textId="77777777" w:rsidR="003930E7" w:rsidRPr="00E262D2" w:rsidRDefault="003930E7" w:rsidP="003930E7">
      <w:p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Antes de posesionarse, jueces y magistrados deberán aprobar un curso obligatorio en normativa agraria, ambiental y administrativa. La Escuela Judicial Rodrigo Lara Bonilla tiene seis meses para diseñar e implementar este programa de formación, el cual se enfocará principalmente en derecho agrario, ambiental, administrativo y público.</w:t>
      </w:r>
    </w:p>
    <w:p w14:paraId="60DB8A50" w14:textId="77777777" w:rsidR="003930E7" w:rsidRPr="00E262D2" w:rsidRDefault="003930E7" w:rsidP="003930E7">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Requisito obligatorio para ejercer el cargo.</w:t>
      </w:r>
      <w:r w:rsidRPr="00E262D2">
        <w:rPr>
          <w:rFonts w:ascii="Arial Narrow" w:eastAsia="Times New Roman" w:hAnsi="Arial Narrow" w:cs="Times New Roman"/>
          <w:color w:val="000000" w:themeColor="text1"/>
          <w:kern w:val="0"/>
          <w:lang w:eastAsia="es-MX"/>
          <w14:ligatures w14:val="none"/>
        </w:rPr>
        <w:br/>
        <w:t>• Diseño del curso a cargo de la Escuela Judicial Rodrigo Lara Bonilla.</w:t>
      </w:r>
      <w:r w:rsidRPr="00E262D2">
        <w:rPr>
          <w:rFonts w:ascii="Arial Narrow" w:eastAsia="Times New Roman" w:hAnsi="Arial Narrow" w:cs="Times New Roman"/>
          <w:color w:val="000000" w:themeColor="text1"/>
          <w:kern w:val="0"/>
          <w:lang w:eastAsia="es-MX"/>
          <w14:ligatures w14:val="none"/>
        </w:rPr>
        <w:br/>
        <w:t>• Implementación prevista antes de septiembre de 2026.</w:t>
      </w:r>
      <w:r w:rsidRPr="00E262D2">
        <w:rPr>
          <w:rFonts w:ascii="Arial Narrow" w:eastAsia="Times New Roman" w:hAnsi="Arial Narrow" w:cs="Times New Roman"/>
          <w:color w:val="000000" w:themeColor="text1"/>
          <w:kern w:val="0"/>
          <w:lang w:eastAsia="es-MX"/>
          <w14:ligatures w14:val="none"/>
        </w:rPr>
        <w:br/>
        <w:t>• Formación en derecho agrario, ambiental y administrativo.</w:t>
      </w:r>
    </w:p>
    <w:p w14:paraId="6156118D" w14:textId="77777777" w:rsidR="003930E7" w:rsidRPr="00E262D2" w:rsidRDefault="003930E7" w:rsidP="003930E7">
      <w:pPr>
        <w:numPr>
          <w:ilvl w:val="0"/>
          <w:numId w:val="13"/>
        </w:num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Provisionalidad en Zonas Priorizadas </w:t>
      </w:r>
    </w:p>
    <w:p w14:paraId="3DEC3D0B" w14:textId="77777777" w:rsidR="003930E7" w:rsidRPr="00E262D2" w:rsidRDefault="003930E7" w:rsidP="003930E7">
      <w:p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Con el fin de acelerar la puesta en marcha de la jurisdicción agraria, la ley permite nombramientos provisionales en zonas priorizadas, como territorios PDET o núcleos de reforma agraria. Sin embargo, incluso los jueces provisionales deberán aprobar previamente el curso de capacitación obligatorio.</w:t>
      </w:r>
    </w:p>
    <w:p w14:paraId="2AEE9B46" w14:textId="77777777" w:rsidR="003930E7" w:rsidRPr="00E262D2" w:rsidRDefault="003930E7" w:rsidP="003930E7">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Nombramientos provisionales en zonas priorizadas.</w:t>
      </w:r>
      <w:r w:rsidRPr="00E262D2">
        <w:rPr>
          <w:rFonts w:ascii="Arial Narrow" w:eastAsia="Times New Roman" w:hAnsi="Arial Narrow" w:cs="Times New Roman"/>
          <w:color w:val="000000" w:themeColor="text1"/>
          <w:kern w:val="0"/>
          <w:lang w:eastAsia="es-MX"/>
          <w14:ligatures w14:val="none"/>
        </w:rPr>
        <w:br/>
        <w:t>• Aplicación en territorios PDET y núcleos de reforma agraria.</w:t>
      </w:r>
      <w:r w:rsidRPr="00E262D2">
        <w:rPr>
          <w:rFonts w:ascii="Arial Narrow" w:eastAsia="Times New Roman" w:hAnsi="Arial Narrow" w:cs="Times New Roman"/>
          <w:color w:val="000000" w:themeColor="text1"/>
          <w:kern w:val="0"/>
          <w:lang w:eastAsia="es-MX"/>
          <w14:ligatures w14:val="none"/>
        </w:rPr>
        <w:br/>
        <w:t>• Obligación de aprobar el curso antes de ejercer.</w:t>
      </w:r>
    </w:p>
    <w:p w14:paraId="1EC7A2D3" w14:textId="77777777" w:rsidR="003930E7" w:rsidRPr="00E262D2" w:rsidRDefault="003930E7" w:rsidP="003930E7">
      <w:pPr>
        <w:numPr>
          <w:ilvl w:val="0"/>
          <w:numId w:val="14"/>
        </w:num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xml:space="preserve">Requisitos para el Inicio de Funcionamiento </w:t>
      </w:r>
    </w:p>
    <w:p w14:paraId="6BBE3CAF" w14:textId="77777777" w:rsidR="003930E7" w:rsidRPr="00E262D2" w:rsidRDefault="003930E7" w:rsidP="003930E7">
      <w:pPr>
        <w:spacing w:before="100" w:beforeAutospacing="1" w:after="100" w:afterAutospacing="1"/>
        <w:jc w:val="both"/>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Para que la jurisdicción agraria entre plenamente en funcionamiento, aún deben cumplirse varias etapas administrativas y presupuestales. Entre ellas se encuentran la finalización del curso de capacitación, la formación de los primeros candidatos, la definición oficial de juzgados y tribunales, y la asignación de recursos por parte del Gobierno Nacional.</w:t>
      </w:r>
    </w:p>
    <w:p w14:paraId="7C2B0313" w14:textId="77777777" w:rsidR="003930E7" w:rsidRPr="00E262D2" w:rsidRDefault="003930E7" w:rsidP="003930E7">
      <w:pPr>
        <w:spacing w:before="100" w:beforeAutospacing="1" w:after="100" w:afterAutospacing="1"/>
        <w:rPr>
          <w:rFonts w:ascii="Arial Narrow" w:eastAsia="Times New Roman" w:hAnsi="Arial Narrow" w:cs="Times New Roman"/>
          <w:color w:val="000000" w:themeColor="text1"/>
          <w:kern w:val="0"/>
          <w:lang w:eastAsia="es-MX"/>
          <w14:ligatures w14:val="none"/>
        </w:rPr>
      </w:pPr>
      <w:r w:rsidRPr="00E262D2">
        <w:rPr>
          <w:rFonts w:ascii="Arial Narrow" w:eastAsia="Times New Roman" w:hAnsi="Arial Narrow" w:cs="Times New Roman"/>
          <w:color w:val="000000" w:themeColor="text1"/>
          <w:kern w:val="0"/>
          <w:lang w:eastAsia="es-MX"/>
          <w14:ligatures w14:val="none"/>
        </w:rPr>
        <w:t>• Finalización e implementación del curso de formación.</w:t>
      </w:r>
      <w:r w:rsidRPr="00E262D2">
        <w:rPr>
          <w:rFonts w:ascii="Arial Narrow" w:eastAsia="Times New Roman" w:hAnsi="Arial Narrow" w:cs="Times New Roman"/>
          <w:color w:val="000000" w:themeColor="text1"/>
          <w:kern w:val="0"/>
          <w:lang w:eastAsia="es-MX"/>
          <w14:ligatures w14:val="none"/>
        </w:rPr>
        <w:br/>
        <w:t>• Capacitación y aprobación de los primeros aspirantes.</w:t>
      </w:r>
      <w:r w:rsidRPr="00E262D2">
        <w:rPr>
          <w:rFonts w:ascii="Arial Narrow" w:eastAsia="Times New Roman" w:hAnsi="Arial Narrow" w:cs="Times New Roman"/>
          <w:color w:val="000000" w:themeColor="text1"/>
          <w:kern w:val="0"/>
          <w:lang w:eastAsia="es-MX"/>
          <w14:ligatures w14:val="none"/>
        </w:rPr>
        <w:br/>
        <w:t>• Definición territorial de juzgados y tribunales.</w:t>
      </w:r>
      <w:r w:rsidRPr="00E262D2">
        <w:rPr>
          <w:rFonts w:ascii="Arial Narrow" w:eastAsia="Times New Roman" w:hAnsi="Arial Narrow" w:cs="Times New Roman"/>
          <w:color w:val="000000" w:themeColor="text1"/>
          <w:kern w:val="0"/>
          <w:lang w:eastAsia="es-MX"/>
          <w14:ligatures w14:val="none"/>
        </w:rPr>
        <w:br/>
        <w:t>• Garantía presupuestal y recursos logísticos del Estado.</w:t>
      </w:r>
    </w:p>
    <w:p w14:paraId="32113989" w14:textId="77777777" w:rsidR="003930E7" w:rsidRPr="00E262D2" w:rsidRDefault="003930E7" w:rsidP="005F32F6">
      <w:pPr>
        <w:rPr>
          <w:rFonts w:ascii="Google Sans Text" w:hAnsi="Google Sans Text"/>
          <w:color w:val="000000" w:themeColor="text1"/>
          <w:shd w:val="clear" w:color="auto" w:fill="FFFFFF"/>
        </w:rPr>
      </w:pPr>
    </w:p>
    <w:sectPr w:rsidR="003930E7" w:rsidRPr="00E262D2">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48EE" w14:textId="77777777" w:rsidR="00FD0FBC" w:rsidRDefault="00FD0FBC" w:rsidP="00EE56DD">
      <w:r>
        <w:separator/>
      </w:r>
    </w:p>
  </w:endnote>
  <w:endnote w:type="continuationSeparator" w:id="0">
    <w:p w14:paraId="5F396E00" w14:textId="77777777" w:rsidR="00FD0FBC" w:rsidRDefault="00FD0FBC" w:rsidP="00EE5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C5930" w14:textId="77777777" w:rsidR="00FD0FBC" w:rsidRDefault="00FD0FBC" w:rsidP="00EE56DD">
      <w:r>
        <w:separator/>
      </w:r>
    </w:p>
  </w:footnote>
  <w:footnote w:type="continuationSeparator" w:id="0">
    <w:p w14:paraId="12EE5FED" w14:textId="77777777" w:rsidR="00FD0FBC" w:rsidRDefault="00FD0FBC" w:rsidP="00EE5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ED48" w14:textId="4BC67C44" w:rsidR="00EE56DD" w:rsidRDefault="00EE56DD" w:rsidP="00EE56DD">
    <w:pPr>
      <w:pStyle w:val="Encabezado"/>
      <w:jc w:val="center"/>
    </w:pPr>
    <w:r>
      <w:rPr>
        <w:noProof/>
      </w:rPr>
      <w:drawing>
        <wp:inline distT="0" distB="0" distL="0" distR="0" wp14:anchorId="189A18A5" wp14:editId="5337BF83">
          <wp:extent cx="1402080" cy="375506"/>
          <wp:effectExtent l="0" t="0" r="0" b="5715"/>
          <wp:docPr id="3085793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9338" name="Imagen 308579338"/>
                  <pic:cNvPicPr/>
                </pic:nvPicPr>
                <pic:blipFill>
                  <a:blip r:embed="rId1">
                    <a:extLst>
                      <a:ext uri="{28A0092B-C50C-407E-A947-70E740481C1C}">
                        <a14:useLocalDpi xmlns:a14="http://schemas.microsoft.com/office/drawing/2010/main" val="0"/>
                      </a:ext>
                    </a:extLst>
                  </a:blip>
                  <a:stretch>
                    <a:fillRect/>
                  </a:stretch>
                </pic:blipFill>
                <pic:spPr>
                  <a:xfrm>
                    <a:off x="0" y="0"/>
                    <a:ext cx="1432633" cy="3836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0CF"/>
    <w:multiLevelType w:val="multilevel"/>
    <w:tmpl w:val="1852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20A79"/>
    <w:multiLevelType w:val="multilevel"/>
    <w:tmpl w:val="DB803E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76096"/>
    <w:multiLevelType w:val="multilevel"/>
    <w:tmpl w:val="2FA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A4075"/>
    <w:multiLevelType w:val="multilevel"/>
    <w:tmpl w:val="2CA0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765BF"/>
    <w:multiLevelType w:val="multilevel"/>
    <w:tmpl w:val="5DFAA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1B3297"/>
    <w:multiLevelType w:val="hybridMultilevel"/>
    <w:tmpl w:val="06D45F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A1C4D03"/>
    <w:multiLevelType w:val="hybridMultilevel"/>
    <w:tmpl w:val="540A54D6"/>
    <w:lvl w:ilvl="0" w:tplc="080A0001">
      <w:start w:val="1"/>
      <w:numFmt w:val="bullet"/>
      <w:lvlText w:val=""/>
      <w:lvlJc w:val="left"/>
      <w:pPr>
        <w:ind w:left="1433" w:hanging="360"/>
      </w:pPr>
      <w:rPr>
        <w:rFonts w:ascii="Symbol" w:hAnsi="Symbol" w:hint="default"/>
      </w:rPr>
    </w:lvl>
    <w:lvl w:ilvl="1" w:tplc="080A0003" w:tentative="1">
      <w:start w:val="1"/>
      <w:numFmt w:val="bullet"/>
      <w:lvlText w:val="o"/>
      <w:lvlJc w:val="left"/>
      <w:pPr>
        <w:ind w:left="2153" w:hanging="360"/>
      </w:pPr>
      <w:rPr>
        <w:rFonts w:ascii="Courier New" w:hAnsi="Courier New" w:cs="Courier New" w:hint="default"/>
      </w:rPr>
    </w:lvl>
    <w:lvl w:ilvl="2" w:tplc="080A0005" w:tentative="1">
      <w:start w:val="1"/>
      <w:numFmt w:val="bullet"/>
      <w:lvlText w:val=""/>
      <w:lvlJc w:val="left"/>
      <w:pPr>
        <w:ind w:left="2873" w:hanging="360"/>
      </w:pPr>
      <w:rPr>
        <w:rFonts w:ascii="Wingdings" w:hAnsi="Wingdings" w:hint="default"/>
      </w:rPr>
    </w:lvl>
    <w:lvl w:ilvl="3" w:tplc="080A0001" w:tentative="1">
      <w:start w:val="1"/>
      <w:numFmt w:val="bullet"/>
      <w:lvlText w:val=""/>
      <w:lvlJc w:val="left"/>
      <w:pPr>
        <w:ind w:left="3593" w:hanging="360"/>
      </w:pPr>
      <w:rPr>
        <w:rFonts w:ascii="Symbol" w:hAnsi="Symbol" w:hint="default"/>
      </w:rPr>
    </w:lvl>
    <w:lvl w:ilvl="4" w:tplc="080A0003" w:tentative="1">
      <w:start w:val="1"/>
      <w:numFmt w:val="bullet"/>
      <w:lvlText w:val="o"/>
      <w:lvlJc w:val="left"/>
      <w:pPr>
        <w:ind w:left="4313" w:hanging="360"/>
      </w:pPr>
      <w:rPr>
        <w:rFonts w:ascii="Courier New" w:hAnsi="Courier New" w:cs="Courier New" w:hint="default"/>
      </w:rPr>
    </w:lvl>
    <w:lvl w:ilvl="5" w:tplc="080A0005" w:tentative="1">
      <w:start w:val="1"/>
      <w:numFmt w:val="bullet"/>
      <w:lvlText w:val=""/>
      <w:lvlJc w:val="left"/>
      <w:pPr>
        <w:ind w:left="5033" w:hanging="360"/>
      </w:pPr>
      <w:rPr>
        <w:rFonts w:ascii="Wingdings" w:hAnsi="Wingdings" w:hint="default"/>
      </w:rPr>
    </w:lvl>
    <w:lvl w:ilvl="6" w:tplc="080A0001" w:tentative="1">
      <w:start w:val="1"/>
      <w:numFmt w:val="bullet"/>
      <w:lvlText w:val=""/>
      <w:lvlJc w:val="left"/>
      <w:pPr>
        <w:ind w:left="5753" w:hanging="360"/>
      </w:pPr>
      <w:rPr>
        <w:rFonts w:ascii="Symbol" w:hAnsi="Symbol" w:hint="default"/>
      </w:rPr>
    </w:lvl>
    <w:lvl w:ilvl="7" w:tplc="080A0003" w:tentative="1">
      <w:start w:val="1"/>
      <w:numFmt w:val="bullet"/>
      <w:lvlText w:val="o"/>
      <w:lvlJc w:val="left"/>
      <w:pPr>
        <w:ind w:left="6473" w:hanging="360"/>
      </w:pPr>
      <w:rPr>
        <w:rFonts w:ascii="Courier New" w:hAnsi="Courier New" w:cs="Courier New" w:hint="default"/>
      </w:rPr>
    </w:lvl>
    <w:lvl w:ilvl="8" w:tplc="080A0005" w:tentative="1">
      <w:start w:val="1"/>
      <w:numFmt w:val="bullet"/>
      <w:lvlText w:val=""/>
      <w:lvlJc w:val="left"/>
      <w:pPr>
        <w:ind w:left="7193" w:hanging="360"/>
      </w:pPr>
      <w:rPr>
        <w:rFonts w:ascii="Wingdings" w:hAnsi="Wingdings" w:hint="default"/>
      </w:rPr>
    </w:lvl>
  </w:abstractNum>
  <w:abstractNum w:abstractNumId="7" w15:restartNumberingAfterBreak="0">
    <w:nsid w:val="4CE0714F"/>
    <w:multiLevelType w:val="hybridMultilevel"/>
    <w:tmpl w:val="77CE87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E88092C"/>
    <w:multiLevelType w:val="multilevel"/>
    <w:tmpl w:val="FD1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20D04"/>
    <w:multiLevelType w:val="multilevel"/>
    <w:tmpl w:val="F39644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39282A"/>
    <w:multiLevelType w:val="hybridMultilevel"/>
    <w:tmpl w:val="DCC05E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CC50A5F"/>
    <w:multiLevelType w:val="hybridMultilevel"/>
    <w:tmpl w:val="E0827F1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6DCC74A5"/>
    <w:multiLevelType w:val="hybridMultilevel"/>
    <w:tmpl w:val="45CC30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264033"/>
    <w:multiLevelType w:val="multilevel"/>
    <w:tmpl w:val="47A29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4738EB"/>
    <w:multiLevelType w:val="multilevel"/>
    <w:tmpl w:val="7DD85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479745">
    <w:abstractNumId w:val="6"/>
  </w:num>
  <w:num w:numId="2" w16cid:durableId="1526824301">
    <w:abstractNumId w:val="5"/>
  </w:num>
  <w:num w:numId="3" w16cid:durableId="369037311">
    <w:abstractNumId w:val="2"/>
  </w:num>
  <w:num w:numId="4" w16cid:durableId="1597245794">
    <w:abstractNumId w:val="8"/>
  </w:num>
  <w:num w:numId="5" w16cid:durableId="18967288">
    <w:abstractNumId w:val="12"/>
  </w:num>
  <w:num w:numId="6" w16cid:durableId="340401845">
    <w:abstractNumId w:val="7"/>
  </w:num>
  <w:num w:numId="7" w16cid:durableId="1832211530">
    <w:abstractNumId w:val="0"/>
  </w:num>
  <w:num w:numId="8" w16cid:durableId="758595914">
    <w:abstractNumId w:val="14"/>
  </w:num>
  <w:num w:numId="9" w16cid:durableId="533925422">
    <w:abstractNumId w:val="13"/>
  </w:num>
  <w:num w:numId="10" w16cid:durableId="352456533">
    <w:abstractNumId w:val="10"/>
  </w:num>
  <w:num w:numId="11" w16cid:durableId="304091108">
    <w:abstractNumId w:val="3"/>
  </w:num>
  <w:num w:numId="12" w16cid:durableId="1014307218">
    <w:abstractNumId w:val="4"/>
  </w:num>
  <w:num w:numId="13" w16cid:durableId="1201896248">
    <w:abstractNumId w:val="1"/>
  </w:num>
  <w:num w:numId="14" w16cid:durableId="140539499">
    <w:abstractNumId w:val="9"/>
  </w:num>
  <w:num w:numId="15" w16cid:durableId="348219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F6"/>
    <w:rsid w:val="000C2715"/>
    <w:rsid w:val="00207E33"/>
    <w:rsid w:val="003930E7"/>
    <w:rsid w:val="004937E1"/>
    <w:rsid w:val="004A3379"/>
    <w:rsid w:val="005F32F6"/>
    <w:rsid w:val="007A5525"/>
    <w:rsid w:val="00866297"/>
    <w:rsid w:val="00890B3C"/>
    <w:rsid w:val="009E132C"/>
    <w:rsid w:val="00B76B1F"/>
    <w:rsid w:val="00C670FD"/>
    <w:rsid w:val="00C81E86"/>
    <w:rsid w:val="00C95AFF"/>
    <w:rsid w:val="00D904C8"/>
    <w:rsid w:val="00E262D2"/>
    <w:rsid w:val="00EE56DD"/>
    <w:rsid w:val="00FD0FBC"/>
    <w:rsid w:val="00FD11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D6EAF"/>
  <w15:chartTrackingRefBased/>
  <w15:docId w15:val="{AC016426-AFE3-E041-A3D0-D440F523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3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32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32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32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32F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32F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32F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32F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2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32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32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32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32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32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32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32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32F6"/>
    <w:rPr>
      <w:rFonts w:eastAsiaTheme="majorEastAsia" w:cstheme="majorBidi"/>
      <w:color w:val="272727" w:themeColor="text1" w:themeTint="D8"/>
    </w:rPr>
  </w:style>
  <w:style w:type="paragraph" w:styleId="Ttulo">
    <w:name w:val="Title"/>
    <w:basedOn w:val="Normal"/>
    <w:next w:val="Normal"/>
    <w:link w:val="TtuloCar"/>
    <w:uiPriority w:val="10"/>
    <w:qFormat/>
    <w:rsid w:val="005F32F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32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32F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32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32F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32F6"/>
    <w:rPr>
      <w:i/>
      <w:iCs/>
      <w:color w:val="404040" w:themeColor="text1" w:themeTint="BF"/>
    </w:rPr>
  </w:style>
  <w:style w:type="paragraph" w:styleId="Prrafodelista">
    <w:name w:val="List Paragraph"/>
    <w:basedOn w:val="Normal"/>
    <w:uiPriority w:val="34"/>
    <w:qFormat/>
    <w:rsid w:val="005F32F6"/>
    <w:pPr>
      <w:ind w:left="720"/>
      <w:contextualSpacing/>
    </w:pPr>
  </w:style>
  <w:style w:type="character" w:styleId="nfasisintenso">
    <w:name w:val="Intense Emphasis"/>
    <w:basedOn w:val="Fuentedeprrafopredeter"/>
    <w:uiPriority w:val="21"/>
    <w:qFormat/>
    <w:rsid w:val="005F32F6"/>
    <w:rPr>
      <w:i/>
      <w:iCs/>
      <w:color w:val="0F4761" w:themeColor="accent1" w:themeShade="BF"/>
    </w:rPr>
  </w:style>
  <w:style w:type="paragraph" w:styleId="Citadestacada">
    <w:name w:val="Intense Quote"/>
    <w:basedOn w:val="Normal"/>
    <w:next w:val="Normal"/>
    <w:link w:val="CitadestacadaCar"/>
    <w:uiPriority w:val="30"/>
    <w:qFormat/>
    <w:rsid w:val="005F3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32F6"/>
    <w:rPr>
      <w:i/>
      <w:iCs/>
      <w:color w:val="0F4761" w:themeColor="accent1" w:themeShade="BF"/>
    </w:rPr>
  </w:style>
  <w:style w:type="character" w:styleId="Referenciaintensa">
    <w:name w:val="Intense Reference"/>
    <w:basedOn w:val="Fuentedeprrafopredeter"/>
    <w:uiPriority w:val="32"/>
    <w:qFormat/>
    <w:rsid w:val="005F32F6"/>
    <w:rPr>
      <w:b/>
      <w:bCs/>
      <w:smallCaps/>
      <w:color w:val="0F4761" w:themeColor="accent1" w:themeShade="BF"/>
      <w:spacing w:val="5"/>
    </w:rPr>
  </w:style>
  <w:style w:type="character" w:styleId="Hipervnculo">
    <w:name w:val="Hyperlink"/>
    <w:basedOn w:val="Fuentedeprrafopredeter"/>
    <w:uiPriority w:val="99"/>
    <w:semiHidden/>
    <w:unhideWhenUsed/>
    <w:rsid w:val="005F32F6"/>
    <w:rPr>
      <w:color w:val="0000FF"/>
      <w:u w:val="single"/>
    </w:rPr>
  </w:style>
  <w:style w:type="character" w:customStyle="1" w:styleId="ng-star-inserted">
    <w:name w:val="ng-star-inserted"/>
    <w:basedOn w:val="Fuentedeprrafopredeter"/>
    <w:rsid w:val="005F32F6"/>
  </w:style>
  <w:style w:type="paragraph" w:customStyle="1" w:styleId="paragraph">
    <w:name w:val="paragraph"/>
    <w:basedOn w:val="Normal"/>
    <w:rsid w:val="005F32F6"/>
    <w:pPr>
      <w:spacing w:before="100" w:beforeAutospacing="1" w:after="100" w:afterAutospacing="1"/>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EE56DD"/>
    <w:pPr>
      <w:tabs>
        <w:tab w:val="center" w:pos="4419"/>
        <w:tab w:val="right" w:pos="8838"/>
      </w:tabs>
    </w:pPr>
  </w:style>
  <w:style w:type="character" w:customStyle="1" w:styleId="EncabezadoCar">
    <w:name w:val="Encabezado Car"/>
    <w:basedOn w:val="Fuentedeprrafopredeter"/>
    <w:link w:val="Encabezado"/>
    <w:uiPriority w:val="99"/>
    <w:rsid w:val="00EE56DD"/>
  </w:style>
  <w:style w:type="paragraph" w:styleId="Piedepgina">
    <w:name w:val="footer"/>
    <w:basedOn w:val="Normal"/>
    <w:link w:val="PiedepginaCar"/>
    <w:uiPriority w:val="99"/>
    <w:unhideWhenUsed/>
    <w:rsid w:val="00EE56DD"/>
    <w:pPr>
      <w:tabs>
        <w:tab w:val="center" w:pos="4419"/>
        <w:tab w:val="right" w:pos="8838"/>
      </w:tabs>
    </w:pPr>
  </w:style>
  <w:style w:type="character" w:customStyle="1" w:styleId="PiedepginaCar">
    <w:name w:val="Pie de página Car"/>
    <w:basedOn w:val="Fuentedeprrafopredeter"/>
    <w:link w:val="Piedepgina"/>
    <w:uiPriority w:val="99"/>
    <w:rsid w:val="00EE56DD"/>
  </w:style>
  <w:style w:type="paragraph" w:styleId="NormalWeb">
    <w:name w:val="Normal (Web)"/>
    <w:basedOn w:val="Normal"/>
    <w:uiPriority w:val="99"/>
    <w:semiHidden/>
    <w:unhideWhenUsed/>
    <w:rsid w:val="00890B3C"/>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93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ecretariasenado.gov.co/senado/basedoc/ley_0270_199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940</Words>
  <Characters>5175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Ariza Martínez</dc:creator>
  <cp:keywords/>
  <dc:description/>
  <cp:lastModifiedBy>Freddy Ordoñez</cp:lastModifiedBy>
  <cp:revision>3</cp:revision>
  <dcterms:created xsi:type="dcterms:W3CDTF">2026-05-15T02:47:00Z</dcterms:created>
  <dcterms:modified xsi:type="dcterms:W3CDTF">2026-05-18T00:09:00Z</dcterms:modified>
</cp:coreProperties>
</file>