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CAMPESINADO Y LA LUCHA POR SU TERRITORIO</w:t>
      </w:r>
    </w:p>
    <w:p>
      <w:pPr>
        <w:pStyle w:val="Normal"/>
        <w:jc w:val="center"/>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center"/>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Encuentro de territorialidades campesinas de los departamentos de Boyacá, Santander y Cundinamarca- 15 de mayo de 2026</w:t>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 xml:space="preserve">Las reivindicaciones por la tierra del movimiento campesino colombiano ha sido permanente he historio, inicialmente los encontramos luchando contra la liberación del patronazgo y la servidumbre, siguiendo consignas mundiales como la planteada por los campesinos e la revolución mexicana “tierra para quien la trabaja”, reforma de las políticas de la política de tierras ejidales, y por otra parte, abolir la entrega de tierras a los peones para que la trabajara, pero el patrón reclamaba la mitad de la producción, lo cual constituía una esclavitud y explotación al campesinado. </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Pero los campesino no solo pedían y siguen pidiendo tierras, sino seguridad sobre la tenencia, pedían autonomía en su producción, requerían apoyo y reconocimiento a sus procesos organizativos como las Ligas Campesinas, posteriormente las Juntas Comunales, los resguardos indígenas, los consejos comunitarios para comunidades afrodesendientes y más reciente encontramos otras figuras como las Zonas de Reserva Campesina ZRC, Los Territroios Campesinos Agroalimentarios TECAM, y así sucesivamente fueron apareciendo figuras de ordenamiento del territorio las cuales tienen de fondo la lucha por la tierra y el territorio., como es el caso de los territorios PDT, surgidos de la firma del Acuerdo Final de Paz- AFP</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Las territorialidades campesinas han sido apuestas del movimiento social campesino y es plausible su reconocimiento legal en la ley 200 de 1936, la propuesta de reforma agraria de Lleras Restrepo en el 66, la  ley 160 de 1994, que  faculta la conformación de las ZRC,  la reforma Rural Integral  resultado del Acuerdo Final de Paz, los cuales además han sido reconocidos en documentos de políticas sociales, como el</w:t>
      </w:r>
      <w:r>
        <w:rPr>
          <w:rFonts w:cs="Calibri" w:ascii="Calibri" w:hAnsi="Calibri" w:asciiTheme="minorHAnsi" w:cstheme="minorHAnsi" w:hAnsiTheme="minorHAnsi"/>
          <w:strike/>
          <w:sz w:val="24"/>
          <w:szCs w:val="24"/>
        </w:rPr>
        <w:t xml:space="preserve"> </w:t>
      </w:r>
      <w:r>
        <w:rPr>
          <w:rFonts w:cs="Calibri" w:ascii="Calibri" w:hAnsi="Calibri" w:asciiTheme="minorHAnsi" w:cstheme="minorHAnsi" w:hAnsiTheme="minorHAnsi"/>
          <w:sz w:val="24"/>
          <w:szCs w:val="24"/>
        </w:rPr>
        <w:t xml:space="preserve">CONPES 4184, 2026. </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Esta normatividad ha permitido que los  y las campesinas hasta hoy hayan  logrado  la formalización de 27 ZRC, que abarcan alrededor de 1.536.314 ha. Durante el gobierno del Presidente Petro se aprobaron 20 ZRC lo cual quiere decir que desde 1994 a 2022 solo se habían constituido 7 ZRC, y aún existen 32 procesos de ZRC en estudio, que en conjunto sumarían 2.324.616 ha (DOSP, 2025). Por su parte los TECAM como propuesta de la Cordinadora Nacional Agraria (CNA en 2013), esta figura, solo en el gobierno de Petro se ha avanzado en la constitución de los siguientes TECAM; en 2024 fueron identificadas cerca de 100 iniciativas creadas de hecho por las organizaciones campesinas, de las cuales 29 hacen trámite para su formalización en diferentes regiones del país, y cinco se han constituido oficialmente. Respecto a las APPA, impulsadas por UPRA, informa de la creacion de dos de estas territorialidades: la del sur de la Guajira (que abarca una extensión de 79.961 ha. en 8 municipios) y la del municipio de Falán en el Tolima (febrero de 2026) con una extensión de 11.703 ha, de igual forma según las organizaciones campesinas en el Departamento de Cordoba existe  otra APPA y finalmente encontramos los Territorios Acuáticos Agro Alimentarios (EAA) que son territorialidades en una etapa incipiente de configuración.</w:t>
      </w:r>
    </w:p>
    <w:p>
      <w:pPr>
        <w:pStyle w:val="Normal"/>
        <w:jc w:val="both"/>
        <w:rPr>
          <w:rFonts w:ascii="Calibri" w:hAnsi="Calibri" w:cs="Calibri" w:asciiTheme="minorHAnsi" w:cstheme="minorHAnsi" w:hAnsiTheme="minorHAnsi"/>
          <w:strike/>
          <w:color w:val="FF0000"/>
          <w:sz w:val="24"/>
          <w:szCs w:val="24"/>
        </w:rPr>
      </w:pPr>
      <w:r>
        <w:rPr>
          <w:rFonts w:cs="Calibri" w:cstheme="minorHAnsi" w:ascii="Calibri" w:hAnsi="Calibri"/>
          <w:strike/>
          <w:color w:val="FF0000"/>
          <w:sz w:val="24"/>
          <w:szCs w:val="24"/>
        </w:rPr>
      </w:r>
    </w:p>
    <w:p>
      <w:pPr>
        <w:pStyle w:val="Normal"/>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Por su parte el diagnostico que presenta el CONPES 4184 de febrero de 2026 sobre reforma agraria en Colombia, es claro en advertir las dificultades que trae consigo la inseguridad jurídica que afecta la propiedad rural en las zonas donde se proyecta la creación de las territorialidades campesinas:</w:t>
      </w:r>
    </w:p>
    <w:p>
      <w:pPr>
        <w:pStyle w:val="Normal"/>
        <w:jc w:val="both"/>
        <w:rPr>
          <w:rFonts w:ascii="Calibri" w:hAnsi="Calibri" w:cs="Calibri" w:asciiTheme="minorHAnsi" w:cstheme="minorHAnsi" w:hAnsiTheme="minorHAnsi"/>
          <w:color w:themeColor="text1" w:val="000000"/>
          <w:sz w:val="24"/>
          <w:szCs w:val="24"/>
        </w:rPr>
      </w:pPr>
      <w:r>
        <w:rPr>
          <w:rFonts w:cs="Calibri" w:cstheme="minorHAnsi" w:ascii="Calibri" w:hAnsi="Calibri"/>
          <w:color w:themeColor="text1" w:val="000000"/>
          <w:sz w:val="24"/>
          <w:szCs w:val="24"/>
        </w:rPr>
      </w:r>
    </w:p>
    <w:p>
      <w:pPr>
        <w:pStyle w:val="Normal"/>
        <w:jc w:val="both"/>
        <w:rPr>
          <w:rFonts w:ascii="Calibri" w:hAnsi="Calibri" w:cs="Calibri" w:asciiTheme="minorHAnsi" w:cstheme="minorHAnsi" w:hAnsiTheme="minorHAnsi"/>
          <w:color w:themeColor="text1" w:val="000000"/>
          <w:sz w:val="24"/>
          <w:szCs w:val="24"/>
        </w:rPr>
      </w:pPr>
      <w:r>
        <w:rPr>
          <w:rFonts w:cs="Calibri" w:ascii="Calibri" w:hAnsi="Calibri" w:asciiTheme="minorHAnsi" w:cstheme="minorHAnsi" w:hAnsiTheme="minorHAnsi"/>
          <w:color w:themeColor="text1" w:val="000000"/>
          <w:sz w:val="24"/>
          <w:szCs w:val="24"/>
        </w:rPr>
        <w:t>“</w:t>
      </w:r>
      <w:r>
        <w:rPr>
          <w:rFonts w:cs="Calibri" w:ascii="Calibri" w:hAnsi="Calibri" w:asciiTheme="minorHAnsi" w:cstheme="minorHAnsi" w:hAnsiTheme="minorHAnsi"/>
          <w:color w:themeColor="text1" w:val="000000"/>
          <w:sz w:val="24"/>
          <w:szCs w:val="24"/>
        </w:rPr>
        <w:t>La falta de reglas y procedimientos definidos para adjudicar, formalizar o redistribuir estos predios limita la capacidad de las instituciones estatales para garantizar seguridad jurídica, proteger la biodiversidad y asegurar un uso sostenible de los recursos, generando disputas entre comunidades locales, actores económicos y autoridades ambientales. La falta de criterios técnicos unificados y de coordinación entre autoridades agrarias y ambientales genera incertidumbre sobre los derechos de propiedad, propicia conflictos entre comunidades, actores económicos y entidades públicas, y dificulta la protección de ecosistemas estratégicos. Esta indefinición normativa no solo retrasa la consolidación de derechos para familias campesinas, sino que también favorece dinámicas de informalidad en la ocupación y explotación de la tierra (FAO, 2004). En consecuencia, se debilitan tanto los objetivos de inclusión productiva de la reforma agraria como la gobernanza ambiental y territorial, al no contar con un marco institucional suficientemente claro para ordenar, distribuir y supervisar el uso de estos predios (Novoa Alvarez &amp; Durán Guerrero, 2025)” (Citado en CONPES 4184, 2026).</w:t>
      </w:r>
    </w:p>
    <w:p>
      <w:pPr>
        <w:pStyle w:val="Normal"/>
        <w:jc w:val="both"/>
        <w:rPr>
          <w:rFonts w:ascii="Calibri" w:hAnsi="Calibri" w:cs="Calibri" w:asciiTheme="minorHAnsi" w:cstheme="minorHAnsi" w:hAnsiTheme="minorHAnsi"/>
          <w:strike/>
          <w:color w:val="FF0000"/>
          <w:sz w:val="24"/>
          <w:szCs w:val="24"/>
        </w:rPr>
      </w:pPr>
      <w:r>
        <w:rPr>
          <w:rFonts w:cs="Calibri" w:cstheme="minorHAnsi" w:ascii="Calibri" w:hAnsi="Calibri"/>
          <w:strike/>
          <w:color w:val="FF0000"/>
          <w:sz w:val="24"/>
          <w:szCs w:val="24"/>
        </w:rPr>
      </w:r>
    </w:p>
    <w:p>
      <w:pPr>
        <w:pStyle w:val="Normal"/>
        <w:jc w:val="both"/>
        <w:rPr>
          <w:rFonts w:ascii="Calibri" w:hAnsi="Calibri" w:cs="Calibri" w:asciiTheme="minorHAnsi" w:cstheme="minorHAnsi" w:hAnsiTheme="minorHAnsi"/>
          <w:b/>
          <w:bCs/>
          <w:i/>
          <w:iCs/>
          <w:sz w:val="24"/>
          <w:szCs w:val="24"/>
        </w:rPr>
      </w:pPr>
      <w:r>
        <w:rPr>
          <w:rFonts w:cs="Calibri" w:ascii="Calibri" w:hAnsi="Calibri" w:asciiTheme="minorHAnsi" w:cstheme="minorHAnsi" w:hAnsiTheme="minorHAnsi"/>
          <w:sz w:val="24"/>
          <w:szCs w:val="24"/>
        </w:rPr>
        <w:t>En este contexto El Instituto Latinoamericano para una Sociedad y un Derecho Alternativos (ILSA), en coordinación con la Asociación Nacional de Usuarios Campesinos de Cundinamarca – ANUC, convoca a diversos procesos de territorialidades campesinas (ZRC, TECAM, APPA) de los departamentos de Cundinamarca, Boyacá y Santander,</w:t>
      </w:r>
      <w:r>
        <w:rPr>
          <w:rFonts w:cs="Calibri" w:ascii="Calibri" w:hAnsi="Calibri" w:asciiTheme="minorHAnsi" w:cstheme="minorHAnsi" w:hAnsiTheme="minorHAnsi"/>
          <w:b/>
          <w:bCs/>
          <w:i/>
          <w:iCs/>
          <w:sz w:val="24"/>
          <w:szCs w:val="24"/>
        </w:rPr>
        <w:t xml:space="preserve"> </w:t>
      </w:r>
      <w:r>
        <w:rPr>
          <w:rFonts w:cs="Calibri" w:ascii="Calibri" w:hAnsi="Calibri" w:asciiTheme="minorHAnsi" w:cstheme="minorHAnsi" w:hAnsiTheme="minorHAnsi"/>
          <w:bCs/>
          <w:sz w:val="24"/>
          <w:szCs w:val="24"/>
        </w:rPr>
        <w:t>al Primer Encuentro de Territorialidades Campesinas de los Departamentos de Boyacá, Santander y Cundinamarca que se realizó en Bogotá, el día 15 de mayo de 2026</w:t>
      </w:r>
      <w:r>
        <w:rPr>
          <w:rFonts w:cs="Calibri" w:ascii="Calibri" w:hAnsi="Calibri" w:asciiTheme="minorHAnsi" w:cstheme="minorHAnsi" w:hAnsiTheme="minorHAnsi"/>
          <w:b/>
          <w:bCs/>
          <w:sz w:val="24"/>
          <w:szCs w:val="24"/>
        </w:rPr>
        <w:t xml:space="preserve">. </w:t>
      </w:r>
      <w:r>
        <w:rPr>
          <w:rFonts w:cs="Calibri" w:ascii="Calibri" w:hAnsi="Calibri" w:asciiTheme="minorHAnsi" w:cstheme="minorHAnsi" w:hAnsiTheme="minorHAnsi"/>
          <w:b/>
          <w:bCs/>
          <w:i/>
          <w:iCs/>
          <w:sz w:val="24"/>
          <w:szCs w:val="24"/>
        </w:rPr>
        <w:t xml:space="preserve"> </w:t>
      </w:r>
      <w:r>
        <w:rPr>
          <w:rFonts w:cs="Calibri" w:ascii="Calibri" w:hAnsi="Calibri" w:asciiTheme="minorHAnsi" w:cstheme="minorHAnsi" w:hAnsiTheme="minorHAnsi"/>
          <w:i/>
          <w:iCs/>
          <w:sz w:val="24"/>
          <w:szCs w:val="24"/>
        </w:rPr>
        <w:t>con el objetivo. De abordar las siguientes proposiciones.</w:t>
      </w:r>
    </w:p>
    <w:p>
      <w:pPr>
        <w:pStyle w:val="Normal"/>
        <w:jc w:val="both"/>
        <w:rPr>
          <w:rFonts w:ascii="Calibri" w:hAnsi="Calibri" w:cs="Calibri" w:asciiTheme="minorHAnsi" w:cstheme="minorHAnsi" w:hAnsiTheme="minorHAnsi"/>
          <w:b/>
          <w:bCs/>
          <w:i/>
          <w:iCs/>
          <w:sz w:val="24"/>
          <w:szCs w:val="24"/>
        </w:rPr>
      </w:pPr>
      <w:r>
        <w:rPr>
          <w:rFonts w:cs="Calibri" w:cstheme="minorHAnsi" w:ascii="Calibri" w:hAnsi="Calibri"/>
          <w:b/>
          <w:bCs/>
          <w:i/>
          <w:iCs/>
          <w:sz w:val="24"/>
          <w:szCs w:val="24"/>
        </w:rPr>
      </w:r>
    </w:p>
    <w:p>
      <w:pPr>
        <w:pStyle w:val="ListParagraph"/>
        <w:numPr>
          <w:ilvl w:val="0"/>
          <w:numId w:val="1"/>
        </w:numPr>
        <w:jc w:val="both"/>
        <w:rPr>
          <w:rFonts w:ascii="Calibri" w:hAnsi="Calibri" w:cs="Calibri" w:asciiTheme="minorHAnsi" w:cstheme="minorHAnsi" w:hAnsiTheme="minorHAnsi"/>
        </w:rPr>
      </w:pPr>
      <w:r>
        <w:rPr>
          <w:rFonts w:cs="Calibri" w:ascii="Calibri" w:hAnsi="Calibri" w:asciiTheme="minorHAnsi" w:cstheme="minorHAnsi" w:hAnsiTheme="minorHAnsi"/>
        </w:rPr>
        <w:t>Propiciar un encuentro y dialogo entre líderes y lideresas de diferentes territorialidades campesinas constituidas o en proceso de constitución en algunos departamentos de la zona central del país, para valorar desde el movimiento social campesino los avances, dificultades y proyecciones de la política relacionada con las territorialidades campesinas.</w:t>
      </w:r>
    </w:p>
    <w:p>
      <w:pPr>
        <w:pStyle w:val="ListParagraph"/>
        <w:numPr>
          <w:ilvl w:val="0"/>
          <w:numId w:val="1"/>
        </w:numPr>
        <w:jc w:val="both"/>
        <w:rPr>
          <w:rFonts w:ascii="Calibri" w:hAnsi="Calibri" w:cs="Calibri" w:asciiTheme="minorHAnsi" w:cstheme="minorHAnsi" w:hAnsiTheme="minorHAnsi"/>
        </w:rPr>
      </w:pPr>
      <w:r>
        <w:rPr>
          <w:rFonts w:cs="Calibri" w:ascii="Calibri" w:hAnsi="Calibri" w:asciiTheme="minorHAnsi" w:cstheme="minorHAnsi" w:hAnsiTheme="minorHAnsi"/>
        </w:rPr>
        <w:t>Discutir posibilidades de trabajo en red entre las territorialidades campesinas y explorar  rutas de fortalecimiento y exigibilidad a los planes comunitarios de ordenamiento territorial campesino.</w:t>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center"/>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El Encuentro conto con lideres y liderezas</w:t>
      </w:r>
    </w:p>
    <w:p>
      <w:pPr>
        <w:pStyle w:val="Normal"/>
        <w:jc w:val="center"/>
        <w:rPr>
          <w:rFonts w:ascii="Calibri" w:hAnsi="Calibri" w:cs="Calibri" w:asciiTheme="minorHAnsi" w:cstheme="minorHAnsi" w:hAnsiTheme="minorHAnsi"/>
          <w:b/>
          <w:bCs/>
          <w:sz w:val="24"/>
          <w:szCs w:val="24"/>
        </w:rPr>
      </w:pPr>
      <w:r>
        <w:rPr>
          <w:rFonts w:cs="Calibri" w:ascii="Calibri" w:hAnsi="Calibri" w:asciiTheme="minorHAnsi" w:cstheme="minorHAnsi" w:hAnsiTheme="minorHAnsi"/>
          <w:b/>
          <w:bCs/>
          <w:sz w:val="24"/>
          <w:szCs w:val="24"/>
        </w:rPr>
        <w:t>de las siguientes territorialidades</w:t>
      </w:r>
    </w:p>
    <w:tbl>
      <w:tblPr>
        <w:tblStyle w:val="Tablaconcuadrcula"/>
        <w:tblpPr w:vertAnchor="text" w:horzAnchor="margin" w:tblpXSpec="center" w:leftFromText="141" w:rightFromText="141" w:tblpY="226"/>
        <w:tblW w:w="6387"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838"/>
        <w:gridCol w:w="2834"/>
        <w:gridCol w:w="1715"/>
      </w:tblGrid>
      <w:tr>
        <w:trPr>
          <w:trHeight w:val="181" w:hRule="atLeast"/>
        </w:trPr>
        <w:tc>
          <w:tcPr>
            <w:tcW w:w="1838" w:type="dxa"/>
            <w:tcBorders/>
          </w:tcPr>
          <w:p>
            <w:pPr>
              <w:pStyle w:val="Normal"/>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Territorialidad</w:t>
            </w:r>
          </w:p>
        </w:tc>
        <w:tc>
          <w:tcPr>
            <w:tcW w:w="2834" w:type="dxa"/>
            <w:tcBorders/>
          </w:tcPr>
          <w:p>
            <w:pPr>
              <w:pStyle w:val="Normal"/>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Municipios</w:t>
            </w:r>
          </w:p>
        </w:tc>
        <w:tc>
          <w:tcPr>
            <w:tcW w:w="1715" w:type="dxa"/>
            <w:tcBorders/>
          </w:tcPr>
          <w:p>
            <w:pPr>
              <w:pStyle w:val="Normal"/>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Departamento</w:t>
            </w:r>
          </w:p>
        </w:tc>
      </w:tr>
      <w:tr>
        <w:trPr>
          <w:trHeight w:val="362" w:hRule="atLeast"/>
        </w:trPr>
        <w:tc>
          <w:tcPr>
            <w:tcW w:w="1838" w:type="dxa"/>
            <w:vMerge w:val="restart"/>
            <w:tcBorders/>
          </w:tcPr>
          <w:p>
            <w:pPr>
              <w:pStyle w:val="Normal"/>
              <w:widowControl/>
              <w:spacing w:before="0" w:after="0"/>
              <w:jc w:val="center"/>
              <w:rPr>
                <w:rFonts w:ascii="Calibri" w:hAnsi="Calibri" w:cs="Calibri" w:asciiTheme="minorHAnsi" w:cstheme="minorHAnsi" w:hAnsiTheme="minorHAnsi"/>
                <w:sz w:val="24"/>
                <w:szCs w:val="24"/>
              </w:rPr>
            </w:pPr>
            <w:r>
              <w:rPr>
                <w:rFonts w:cs="Calibri" w:cstheme="minorHAnsi" w:ascii="Calibri" w:hAnsi="Calibri"/>
                <w:kern w:val="0"/>
                <w:sz w:val="24"/>
                <w:szCs w:val="24"/>
                <w:lang w:bidi="ar-SA"/>
              </w:rPr>
            </w:r>
          </w:p>
          <w:p>
            <w:pPr>
              <w:pStyle w:val="Normal"/>
              <w:widowControl/>
              <w:spacing w:before="0" w:after="0"/>
              <w:jc w:val="center"/>
              <w:rPr>
                <w:rFonts w:ascii="Calibri" w:hAnsi="Calibri" w:cs="Calibri" w:asciiTheme="minorHAnsi" w:cstheme="minorHAnsi" w:hAnsiTheme="minorHAnsi"/>
                <w:sz w:val="24"/>
                <w:szCs w:val="24"/>
              </w:rPr>
            </w:pPr>
            <w:r>
              <w:rPr>
                <w:rFonts w:cs="Calibri" w:cstheme="minorHAnsi" w:ascii="Calibri" w:hAnsi="Calibri"/>
                <w:kern w:val="0"/>
                <w:sz w:val="24"/>
                <w:szCs w:val="24"/>
                <w:lang w:bidi="ar-SA"/>
              </w:rPr>
            </w:r>
          </w:p>
          <w:p>
            <w:pPr>
              <w:pStyle w:val="Normal"/>
              <w:widowControl/>
              <w:spacing w:before="0" w:after="0"/>
              <w:jc w:val="center"/>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ZRC</w:t>
            </w:r>
          </w:p>
          <w:p>
            <w:pPr>
              <w:pStyle w:val="Normal"/>
              <w:widowControl/>
              <w:spacing w:before="0" w:after="0"/>
              <w:jc w:val="start"/>
              <w:rPr>
                <w:rFonts w:ascii="Calibri" w:hAnsi="Calibri" w:cs="Calibri" w:asciiTheme="minorHAnsi" w:cstheme="minorHAnsi" w:hAnsiTheme="minorHAnsi"/>
                <w:sz w:val="24"/>
                <w:szCs w:val="24"/>
              </w:rPr>
            </w:pPr>
            <w:r>
              <w:rPr>
                <w:rFonts w:cs="Calibri" w:cstheme="minorHAnsi" w:ascii="Calibri" w:hAnsi="Calibri"/>
                <w:kern w:val="0"/>
                <w:sz w:val="24"/>
                <w:szCs w:val="24"/>
                <w:lang w:bidi="ar-SA"/>
              </w:rPr>
            </w:r>
          </w:p>
        </w:tc>
        <w:tc>
          <w:tcPr>
            <w:tcW w:w="2834" w:type="dxa"/>
            <w:tcBorders/>
          </w:tcPr>
          <w:p>
            <w:pPr>
              <w:pStyle w:val="Normal"/>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Pandi, Venecia, Paramo de Sumapaz</w:t>
            </w:r>
          </w:p>
        </w:tc>
        <w:tc>
          <w:tcPr>
            <w:tcW w:w="1715" w:type="dxa"/>
            <w:tcBorders/>
          </w:tcPr>
          <w:p>
            <w:pPr>
              <w:pStyle w:val="Normal"/>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Cundinamarca</w:t>
            </w:r>
          </w:p>
        </w:tc>
      </w:tr>
      <w:tr>
        <w:trPr>
          <w:trHeight w:val="550" w:hRule="atLeast"/>
        </w:trPr>
        <w:tc>
          <w:tcPr>
            <w:tcW w:w="1838" w:type="dxa"/>
            <w:vMerge w:val="continue"/>
            <w:tcBorders/>
          </w:tcPr>
          <w:p>
            <w:pPr>
              <w:pStyle w:val="Normal"/>
              <w:widowControl/>
              <w:spacing w:before="0" w:after="0"/>
              <w:jc w:val="both"/>
              <w:rPr>
                <w:rFonts w:ascii="Calibri" w:hAnsi="Calibri" w:cs="Calibri" w:asciiTheme="minorHAnsi" w:cstheme="minorHAnsi" w:hAnsiTheme="minorHAnsi"/>
                <w:sz w:val="24"/>
                <w:szCs w:val="24"/>
              </w:rPr>
            </w:pPr>
            <w:r>
              <w:rPr>
                <w:rFonts w:cs="Calibri" w:cstheme="minorHAnsi" w:ascii="Calibri" w:hAnsi="Calibri"/>
                <w:kern w:val="0"/>
                <w:sz w:val="24"/>
                <w:szCs w:val="24"/>
                <w:lang w:bidi="ar-SA"/>
              </w:rPr>
            </w:r>
          </w:p>
        </w:tc>
        <w:tc>
          <w:tcPr>
            <w:tcW w:w="2834" w:type="dxa"/>
            <w:tcBorders/>
          </w:tcPr>
          <w:p>
            <w:pPr>
              <w:pStyle w:val="Normal"/>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Tasco, Socha y Socotá (páramo de Pisba), Arcabuco, Tinjacá, Ráquira, Motavita, Togui</w:t>
            </w:r>
          </w:p>
        </w:tc>
        <w:tc>
          <w:tcPr>
            <w:tcW w:w="1715" w:type="dxa"/>
            <w:tcBorders/>
          </w:tcPr>
          <w:p>
            <w:pPr>
              <w:pStyle w:val="Normal"/>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Boyacá</w:t>
            </w:r>
          </w:p>
        </w:tc>
      </w:tr>
      <w:tr>
        <w:trPr>
          <w:trHeight w:val="362" w:hRule="atLeast"/>
        </w:trPr>
        <w:tc>
          <w:tcPr>
            <w:tcW w:w="1838" w:type="dxa"/>
            <w:vMerge w:val="restart"/>
            <w:tcBorders/>
          </w:tcPr>
          <w:p>
            <w:pPr>
              <w:pStyle w:val="Normal"/>
              <w:widowControl/>
              <w:spacing w:before="0" w:after="0"/>
              <w:jc w:val="both"/>
              <w:rPr>
                <w:rFonts w:ascii="Calibri" w:hAnsi="Calibri" w:cs="Calibri" w:asciiTheme="minorHAnsi" w:cstheme="minorHAnsi" w:hAnsiTheme="minorHAnsi"/>
                <w:sz w:val="24"/>
                <w:szCs w:val="24"/>
              </w:rPr>
            </w:pPr>
            <w:r>
              <w:rPr>
                <w:rFonts w:cs="Calibri" w:cstheme="minorHAnsi" w:ascii="Calibri" w:hAnsi="Calibri"/>
                <w:kern w:val="0"/>
                <w:sz w:val="24"/>
                <w:szCs w:val="24"/>
                <w:lang w:bidi="ar-SA"/>
              </w:rPr>
            </w:r>
          </w:p>
          <w:p>
            <w:pPr>
              <w:pStyle w:val="Normal"/>
              <w:widowControl/>
              <w:spacing w:before="0" w:after="0"/>
              <w:jc w:val="center"/>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TECAM</w:t>
            </w:r>
          </w:p>
          <w:p>
            <w:pPr>
              <w:pStyle w:val="Normal"/>
              <w:widowControl/>
              <w:spacing w:before="0" w:after="0"/>
              <w:jc w:val="both"/>
              <w:rPr>
                <w:rFonts w:ascii="Calibri" w:hAnsi="Calibri" w:cs="Calibri" w:asciiTheme="minorHAnsi" w:cstheme="minorHAnsi" w:hAnsiTheme="minorHAnsi"/>
                <w:sz w:val="24"/>
                <w:szCs w:val="24"/>
              </w:rPr>
            </w:pPr>
            <w:r>
              <w:rPr>
                <w:rFonts w:cs="Calibri" w:cstheme="minorHAnsi" w:ascii="Calibri" w:hAnsi="Calibri"/>
                <w:kern w:val="0"/>
                <w:sz w:val="24"/>
                <w:szCs w:val="24"/>
                <w:lang w:bidi="ar-SA"/>
              </w:rPr>
            </w:r>
          </w:p>
        </w:tc>
        <w:tc>
          <w:tcPr>
            <w:tcW w:w="2834" w:type="dxa"/>
            <w:tcBorders/>
          </w:tcPr>
          <w:p>
            <w:pPr>
              <w:pStyle w:val="Normal"/>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 xml:space="preserve">Samacá, Tierra Negra,  Moniquirá, Gachantivá  </w:t>
            </w:r>
          </w:p>
        </w:tc>
        <w:tc>
          <w:tcPr>
            <w:tcW w:w="1715" w:type="dxa"/>
            <w:tcBorders/>
          </w:tcPr>
          <w:p>
            <w:pPr>
              <w:pStyle w:val="Normal"/>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Boyacá</w:t>
            </w:r>
          </w:p>
        </w:tc>
      </w:tr>
      <w:tr>
        <w:trPr>
          <w:trHeight w:val="362" w:hRule="atLeast"/>
        </w:trPr>
        <w:tc>
          <w:tcPr>
            <w:tcW w:w="1838" w:type="dxa"/>
            <w:vMerge w:val="continue"/>
            <w:tcBorders/>
          </w:tcPr>
          <w:p>
            <w:pPr>
              <w:pStyle w:val="Normal"/>
              <w:widowControl/>
              <w:spacing w:before="0" w:after="0"/>
              <w:jc w:val="both"/>
              <w:rPr>
                <w:rFonts w:ascii="Calibri" w:hAnsi="Calibri" w:cs="Calibri" w:asciiTheme="minorHAnsi" w:cstheme="minorHAnsi" w:hAnsiTheme="minorHAnsi"/>
                <w:sz w:val="24"/>
                <w:szCs w:val="24"/>
              </w:rPr>
            </w:pPr>
            <w:r>
              <w:rPr>
                <w:rFonts w:cs="Calibri" w:cstheme="minorHAnsi" w:ascii="Calibri" w:hAnsi="Calibri"/>
                <w:kern w:val="0"/>
                <w:sz w:val="24"/>
                <w:szCs w:val="24"/>
                <w:lang w:bidi="ar-SA"/>
              </w:rPr>
            </w:r>
          </w:p>
        </w:tc>
        <w:tc>
          <w:tcPr>
            <w:tcW w:w="2834" w:type="dxa"/>
            <w:tcBorders/>
          </w:tcPr>
          <w:p>
            <w:pPr>
              <w:pStyle w:val="Normal"/>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Vélez, Jesús María, La Belleza y Bolívar</w:t>
            </w:r>
          </w:p>
        </w:tc>
        <w:tc>
          <w:tcPr>
            <w:tcW w:w="1715" w:type="dxa"/>
            <w:tcBorders/>
          </w:tcPr>
          <w:p>
            <w:pPr>
              <w:pStyle w:val="Normal"/>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Santander.</w:t>
            </w:r>
          </w:p>
        </w:tc>
      </w:tr>
      <w:tr>
        <w:trPr>
          <w:trHeight w:val="181" w:hRule="atLeast"/>
        </w:trPr>
        <w:tc>
          <w:tcPr>
            <w:tcW w:w="1838" w:type="dxa"/>
            <w:tcBorders/>
          </w:tcPr>
          <w:p>
            <w:pPr>
              <w:pStyle w:val="Normal"/>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APPA</w:t>
            </w:r>
          </w:p>
        </w:tc>
        <w:tc>
          <w:tcPr>
            <w:tcW w:w="2834" w:type="dxa"/>
            <w:tcBorders/>
          </w:tcPr>
          <w:p>
            <w:pPr>
              <w:pStyle w:val="Normal"/>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Chia, Tabio, Tenjo, Guasca</w:t>
            </w:r>
          </w:p>
        </w:tc>
        <w:tc>
          <w:tcPr>
            <w:tcW w:w="1715" w:type="dxa"/>
            <w:tcBorders/>
          </w:tcPr>
          <w:p>
            <w:pPr>
              <w:pStyle w:val="Normal"/>
              <w:widowControl/>
              <w:spacing w:before="0" w:after="0"/>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kern w:val="0"/>
                <w:sz w:val="24"/>
                <w:szCs w:val="24"/>
                <w:lang w:bidi="ar-SA"/>
              </w:rPr>
              <w:t>Cundinamarca</w:t>
            </w:r>
          </w:p>
        </w:tc>
      </w:tr>
    </w:tbl>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trike/>
          <w:color w:val="FF0000"/>
          <w:sz w:val="24"/>
          <w:szCs w:val="24"/>
        </w:rPr>
      </w:pPr>
      <w:r>
        <w:rPr>
          <w:rFonts w:cs="Calibri" w:cstheme="minorHAnsi" w:ascii="Calibri" w:hAnsi="Calibri"/>
          <w:strike/>
          <w:color w:val="FF0000"/>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color w:val="FF0000"/>
          <w:sz w:val="24"/>
          <w:szCs w:val="24"/>
        </w:rPr>
        <w:t xml:space="preserve"> </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b/>
          <w:bCs/>
          <w:sz w:val="24"/>
          <w:szCs w:val="24"/>
        </w:rPr>
      </w:pPr>
      <w:r>
        <w:rPr>
          <w:rFonts w:cs="Calibri" w:cstheme="minorHAnsi" w:ascii="Calibri" w:hAnsi="Calibri"/>
          <w:b/>
          <w:bCs/>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Metodológica y temáticamente el encuentro facilito que los lideres compartiera los logros avances y dificultades que han tenido en el proceso de formulación, consolidación, financiación y puesta en marcha de su respectivos Plan de Vida, Plan de desarrollo Sostenible o como lo define cada territorialidad.</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En un segundo momento, el profesor Héctor Mondragón Consultor de la Agencia Nacional de Tierras comparte una disertación sobre las diferentes formas de territorialidad y como antes de ellas ya se contaban con territorialidades como los Ejidos, las Ligas campesinas, Las reservas de la sociedad Civil, las JAC y paralelo a ello, como se ha avanzado en un reconocimiento sociopolítico y Jurídico del campesinado, asta cuando el Presidente Petro acoge La Declaración de Naciones Unidas sobre los derechos del campesino  mediante el Acto Legislativo 01 de 2023 dando reconocimiento a Rango Constitucional mediante la reforma del artículo 64 de la carta magna.</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En un segundo Momento el señor Segundo Riño representantes de las organizaciones campesinas ante la Comisión Mixta Campesina, la cual es interlocutora valida  en la formulación de las políticas agrarias y demás asuntos campesinos.</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Posteriormente la Dra. Teresa Ramírez, Del Departamento Nacional de Planeación (DNP): presenta las bondades del trazador presupuestal campesino, y de las obligaciones de las entidades públicas, de igual forma como este Trazador está dirigido a todo tipo de políticas que se elaboren a nivel nacional departamental y Nacional, por lo que hace una invitación a los lideres a que se apropien de este instrumento y exijan a sus autoridades contemplarlo y presupuestar las propuestas campesinas que en el ente territorial se proyecten en beneficio del campesinado ya que barca en promedio17 derechos como salud, educación, vivienda, vías etc..</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Finalmente, y para terminar el encuentro, los lideres solicitan a ILSA que deben quedar algunas tareas, para que este no sea un evento más, sino que proyectemos un trabajo a mediano y largo plazo, así como de una proyección más amplia de acompañamiento a los y las lideres de estas territorialidades y si se es posible proyectar un encuentro nacional.</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jc w:val="both"/>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En concreto se puede decir que acordamos lo siguiente:</w:t>
      </w:r>
    </w:p>
    <w:p>
      <w:pPr>
        <w:pStyle w:val="Normal"/>
        <w:jc w:val="both"/>
        <w:rPr>
          <w:rFonts w:ascii="Calibri" w:hAnsi="Calibri" w:cs="Calibri" w:asciiTheme="minorHAnsi" w:cstheme="minorHAnsi" w:hAnsiTheme="minorHAnsi"/>
          <w:sz w:val="24"/>
          <w:szCs w:val="24"/>
        </w:rPr>
      </w:pPr>
      <w:r>
        <w:rPr>
          <w:rFonts w:cs="Calibri" w:cstheme="minorHAnsi" w:ascii="Calibri" w:hAnsi="Calibri"/>
          <w:sz w:val="24"/>
          <w:szCs w:val="24"/>
        </w:rPr>
      </w:r>
    </w:p>
    <w:p>
      <w:pPr>
        <w:pStyle w:val="ListParagraph"/>
        <w:numPr>
          <w:ilvl w:val="0"/>
          <w:numId w:val="2"/>
        </w:numPr>
        <w:jc w:val="both"/>
        <w:rPr>
          <w:rFonts w:ascii="Calibri" w:hAnsi="Calibri" w:cs="Calibri" w:asciiTheme="minorHAnsi" w:cstheme="minorHAnsi" w:hAnsiTheme="minorHAnsi"/>
        </w:rPr>
      </w:pPr>
      <w:r>
        <w:rPr>
          <w:rFonts w:cs="Calibri" w:ascii="Calibri" w:hAnsi="Calibri" w:asciiTheme="minorHAnsi" w:cstheme="minorHAnsi" w:hAnsiTheme="minorHAnsi"/>
        </w:rPr>
        <w:t>Los asistentes deben hacer con los miembros de su territorialidad una socialización de lo que se habló en este encuentro.</w:t>
      </w:r>
    </w:p>
    <w:p>
      <w:pPr>
        <w:pStyle w:val="ListParagraph"/>
        <w:numPr>
          <w:ilvl w:val="0"/>
          <w:numId w:val="2"/>
        </w:numPr>
        <w:jc w:val="both"/>
        <w:rPr>
          <w:rFonts w:ascii="Calibri" w:hAnsi="Calibri" w:cs="Calibri" w:asciiTheme="minorHAnsi" w:cstheme="minorHAnsi" w:hAnsiTheme="minorHAnsi"/>
        </w:rPr>
      </w:pPr>
      <w:r>
        <w:rPr>
          <w:rFonts w:cs="Calibri" w:ascii="Calibri" w:hAnsi="Calibri" w:asciiTheme="minorHAnsi" w:cstheme="minorHAnsi" w:hAnsiTheme="minorHAnsi"/>
        </w:rPr>
        <w:t>Realizar un nuevo encuentro a mediados de Julio una vez pasado el proceso electoral con el ánimo de explorar formulas y estrategias de incidencia del campesinado en el nuevo gobierno.</w:t>
      </w:r>
    </w:p>
    <w:p>
      <w:pPr>
        <w:pStyle w:val="ListParagraph"/>
        <w:numPr>
          <w:ilvl w:val="0"/>
          <w:numId w:val="2"/>
        </w:numPr>
        <w:jc w:val="both"/>
        <w:rPr>
          <w:rFonts w:ascii="Calibri" w:hAnsi="Calibri" w:cs="Calibri" w:asciiTheme="minorHAnsi" w:cstheme="minorHAnsi" w:hAnsiTheme="minorHAnsi"/>
        </w:rPr>
      </w:pPr>
      <w:r>
        <w:rPr>
          <w:rFonts w:cs="Calibri" w:ascii="Calibri" w:hAnsi="Calibri" w:asciiTheme="minorHAnsi" w:cstheme="minorHAnsi" w:hAnsiTheme="minorHAnsi"/>
        </w:rPr>
        <w:t>Diseñar y promover una campaña sobre el trazador presupuestal de forma que en todos los municipios, pero en especial en aquellas donde se impulsan las figuras territoriales, de forma que se pueda hacer seguimiento y evaluación a las políticas, planes y programas dirigidos al campesinado.</w:t>
      </w:r>
    </w:p>
    <w:p>
      <w:pPr>
        <w:pStyle w:val="ListParagraph"/>
        <w:numPr>
          <w:ilvl w:val="0"/>
          <w:numId w:val="2"/>
        </w:numPr>
        <w:jc w:val="both"/>
        <w:rPr>
          <w:rFonts w:ascii="Calibri" w:hAnsi="Calibri" w:cs="Calibri" w:asciiTheme="minorHAnsi" w:cstheme="minorHAnsi" w:hAnsiTheme="minorHAnsi"/>
        </w:rPr>
      </w:pPr>
      <w:r>
        <w:rPr>
          <w:rFonts w:cs="Calibri" w:ascii="Calibri" w:hAnsi="Calibri" w:asciiTheme="minorHAnsi" w:cstheme="minorHAnsi" w:hAnsiTheme="minorHAnsi"/>
        </w:rPr>
        <w:t>Buscar recursos para hacer un encuentro más amplio de estas territorialidades y si es posible que sea de carácter nacional.</w:t>
      </w:r>
    </w:p>
    <w:p>
      <w:pPr>
        <w:pStyle w:val="ListParagraph"/>
        <w:numPr>
          <w:ilvl w:val="0"/>
          <w:numId w:val="2"/>
        </w:numPr>
        <w:jc w:val="both"/>
        <w:rPr>
          <w:rFonts w:ascii="Calibri" w:hAnsi="Calibri" w:cs="Calibri" w:asciiTheme="minorHAnsi" w:cstheme="minorHAnsi" w:hAnsiTheme="minorHAnsi"/>
        </w:rPr>
      </w:pPr>
      <w:r>
        <w:rPr>
          <w:rFonts w:cs="Calibri" w:ascii="Calibri" w:hAnsi="Calibri" w:asciiTheme="minorHAnsi" w:cstheme="minorHAnsi" w:hAnsiTheme="minorHAnsi"/>
        </w:rPr>
        <w:t>Promover un trabajo en red que permita la visibilizarían de los logros y dificultades que se presentan al desarrollo de las políticas publicas para el campesinado, como de las distintas territorialidades campesinas.</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Garamond">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b w:val="false"/>
        <w:sz w:val="2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O"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6265"/>
    <w:pPr>
      <w:widowControl/>
      <w:bidi w:val="0"/>
      <w:spacing w:lineRule="auto" w:line="240" w:before="0" w:after="0"/>
      <w:jc w:val="start"/>
    </w:pPr>
    <w:rPr>
      <w:rFonts w:ascii="Times New Roman" w:hAnsi="Times New Roman" w:eastAsia="Times New Roman" w:cs="Times New Roman"/>
      <w:color w:val="auto"/>
      <w:kern w:val="0"/>
      <w:sz w:val="20"/>
      <w:szCs w:val="20"/>
      <w:lang w:val="es-ES" w:eastAsia="es-MX" w:bidi="ar-SA"/>
    </w:rPr>
  </w:style>
  <w:style w:type="character" w:styleId="DefaultParagraphFont" w:default="1">
    <w:name w:val="Default Paragraph Font"/>
    <w:uiPriority w:val="1"/>
    <w:semiHidden/>
    <w:unhideWhenUsed/>
    <w:qFormat/>
    <w:rPr/>
  </w:style>
  <w:style w:type="character" w:styleId="TextoindependienteCar" w:customStyle="1">
    <w:name w:val="Texto independiente Car"/>
    <w:basedOn w:val="DefaultParagraphFont"/>
    <w:qFormat/>
    <w:rsid w:val="00256265"/>
    <w:rPr>
      <w:rFonts w:ascii="Garamond" w:hAnsi="Garamond" w:eastAsia="Times New Roman" w:cs="Times New Roman"/>
      <w:b/>
      <w:sz w:val="20"/>
      <w:szCs w:val="20"/>
      <w:lang w:val="es-MX" w:eastAsia="es-MX"/>
    </w:rPr>
  </w:style>
  <w:style w:type="character" w:styleId="TextonotapieCar" w:customStyle="1">
    <w:name w:val="Texto nota pie Car"/>
    <w:basedOn w:val="DefaultParagraphFont"/>
    <w:link w:val="FootnoteText"/>
    <w:uiPriority w:val="99"/>
    <w:qFormat/>
    <w:rsid w:val="00256265"/>
    <w:rPr>
      <w:rFonts w:ascii="Calibri" w:hAnsi="Calibri" w:eastAsia="Times New Roman" w:cs="Times New Roman"/>
      <w:sz w:val="20"/>
      <w:szCs w:val="20"/>
    </w:rPr>
  </w:style>
  <w:style w:type="character" w:styleId="FootnoteCharacters">
    <w:name w:val="Footnote Characters"/>
    <w:link w:val="BVIfnrCharChar"/>
    <w:uiPriority w:val="99"/>
    <w:qFormat/>
    <w:rsid w:val="00256265"/>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rsid w:val="00256265"/>
    <w:pPr>
      <w:jc w:val="center"/>
    </w:pPr>
    <w:rPr>
      <w:rFonts w:ascii="Garamond" w:hAnsi="Garamond"/>
      <w:b/>
      <w:lang w:val="es-MX"/>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256265"/>
    <w:pPr>
      <w:ind w:start="708"/>
    </w:pPr>
    <w:rPr>
      <w:sz w:val="24"/>
      <w:szCs w:val="24"/>
      <w:lang w:eastAsia="es-ES"/>
    </w:rPr>
  </w:style>
  <w:style w:type="paragraph" w:styleId="FootnoteText">
    <w:name w:val="footnote text"/>
    <w:basedOn w:val="Normal"/>
    <w:link w:val="TextonotapieCar"/>
    <w:uiPriority w:val="99"/>
    <w:rsid w:val="00256265"/>
    <w:pPr>
      <w:spacing w:lineRule="auto" w:line="276" w:before="0" w:after="200"/>
    </w:pPr>
    <w:rPr>
      <w:rFonts w:ascii="Calibri" w:hAnsi="Calibri"/>
      <w:lang w:val="es-CO" w:eastAsia="en-US"/>
    </w:rPr>
  </w:style>
  <w:style w:type="paragraph" w:styleId="BVIfnrCharChar" w:customStyle="1">
    <w:name w:val="BVI fnr Char Char"/>
    <w:basedOn w:val="Normal"/>
    <w:uiPriority w:val="99"/>
    <w:qFormat/>
    <w:rsid w:val="00256265"/>
    <w:pPr>
      <w:spacing w:lineRule="exact" w:line="240" w:before="0" w:after="160"/>
    </w:pPr>
    <w:rPr>
      <w:rFonts w:ascii="Calibri" w:hAnsi="Calibri" w:eastAsia="Calibri" w:cs="" w:asciiTheme="minorHAnsi" w:cstheme="minorBidi" w:eastAsiaTheme="minorHAnsi" w:hAnsiTheme="minorHAnsi"/>
      <w:sz w:val="22"/>
      <w:szCs w:val="22"/>
      <w:vertAlign w:val="superscript"/>
      <w:lang w:val="es-CO"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9e32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TotalTime>
  <Application>LibreOffice/26.2.3.2$Windows_X86_64 LibreOffice_project/70e089b17412e4cb7773e41413306b17a2328c34</Application>
  <AppVersion>15.0000</AppVersion>
  <Pages>4</Pages>
  <Words>1423</Words>
  <Characters>7963</Characters>
  <CharactersWithSpaces>9358</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2026-05-20T20:47:00Z</dcterms:created>
  <dc:creator>Ismael Diaz</dc:creator>
  <dc:description/>
  <dc:language>en-US</dc:language>
  <cp:lastModifiedBy/>
  <dcterms:modified xsi:type="dcterms:W3CDTF">2026-05-28T13:46:32Z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