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D65" w:rsidRDefault="00F37F81" w:rsidP="005F0D65">
      <w:pPr>
        <w:jc w:val="center"/>
        <w:rPr>
          <w:b/>
          <w:sz w:val="36"/>
          <w:szCs w:val="36"/>
        </w:rPr>
      </w:pPr>
      <w:r>
        <w:rPr>
          <w:b/>
          <w:sz w:val="36"/>
          <w:szCs w:val="36"/>
        </w:rPr>
        <w:fldChar w:fldCharType="begin"/>
      </w:r>
      <w:r w:rsidR="00850B3A">
        <w:rPr>
          <w:b/>
          <w:sz w:val="36"/>
          <w:szCs w:val="36"/>
        </w:rPr>
        <w:instrText xml:space="preserve"> MACROBUTTON MTEditEquationSection2 </w:instrText>
      </w:r>
      <w:r w:rsidR="00850B3A" w:rsidRPr="00850B3A">
        <w:rPr>
          <w:rStyle w:val="MTEquationSection"/>
        </w:rPr>
        <w:instrText>Equation Chapter 1 Section 1</w:instrText>
      </w:r>
      <w:r>
        <w:rPr>
          <w:b/>
          <w:sz w:val="36"/>
          <w:szCs w:val="36"/>
        </w:rPr>
        <w:fldChar w:fldCharType="begin"/>
      </w:r>
      <w:r w:rsidR="00850B3A">
        <w:rPr>
          <w:b/>
          <w:sz w:val="36"/>
          <w:szCs w:val="36"/>
        </w:rPr>
        <w:instrText xml:space="preserve"> SEQ MTEqn \r \h \* MERGEFORMAT </w:instrText>
      </w:r>
      <w:r>
        <w:rPr>
          <w:b/>
          <w:sz w:val="36"/>
          <w:szCs w:val="36"/>
        </w:rPr>
        <w:fldChar w:fldCharType="end"/>
      </w:r>
      <w:r>
        <w:rPr>
          <w:b/>
          <w:sz w:val="36"/>
          <w:szCs w:val="36"/>
        </w:rPr>
        <w:fldChar w:fldCharType="begin"/>
      </w:r>
      <w:r w:rsidR="00850B3A">
        <w:rPr>
          <w:b/>
          <w:sz w:val="36"/>
          <w:szCs w:val="36"/>
        </w:rPr>
        <w:instrText xml:space="preserve"> SEQ MTSec \r 1 \h \* MERGEFORMAT </w:instrText>
      </w:r>
      <w:r>
        <w:rPr>
          <w:b/>
          <w:sz w:val="36"/>
          <w:szCs w:val="36"/>
        </w:rPr>
        <w:fldChar w:fldCharType="end"/>
      </w:r>
      <w:r>
        <w:rPr>
          <w:b/>
          <w:sz w:val="36"/>
          <w:szCs w:val="36"/>
        </w:rPr>
        <w:fldChar w:fldCharType="begin"/>
      </w:r>
      <w:r w:rsidR="00850B3A">
        <w:rPr>
          <w:b/>
          <w:sz w:val="36"/>
          <w:szCs w:val="36"/>
        </w:rPr>
        <w:instrText xml:space="preserve"> SEQ MTChap \r 1 \h \* MERGEFORMAT </w:instrText>
      </w:r>
      <w:r>
        <w:rPr>
          <w:b/>
          <w:sz w:val="36"/>
          <w:szCs w:val="36"/>
        </w:rPr>
        <w:fldChar w:fldCharType="end"/>
      </w:r>
      <w:r>
        <w:rPr>
          <w:b/>
          <w:sz w:val="36"/>
          <w:szCs w:val="36"/>
        </w:rPr>
        <w:fldChar w:fldCharType="end"/>
      </w:r>
    </w:p>
    <w:p w:rsidR="007B4F2E" w:rsidRDefault="007B4F2E" w:rsidP="005F0D65">
      <w:pPr>
        <w:jc w:val="center"/>
        <w:rPr>
          <w:b/>
          <w:sz w:val="36"/>
          <w:szCs w:val="36"/>
        </w:rPr>
      </w:pPr>
    </w:p>
    <w:p w:rsidR="005F0D65" w:rsidRDefault="005F0D65" w:rsidP="005F0D65">
      <w:pPr>
        <w:jc w:val="center"/>
        <w:rPr>
          <w:b/>
          <w:sz w:val="36"/>
          <w:szCs w:val="36"/>
        </w:rPr>
      </w:pPr>
    </w:p>
    <w:p w:rsidR="005F0D65" w:rsidRDefault="005F0D65" w:rsidP="005F0D65">
      <w:pPr>
        <w:jc w:val="center"/>
        <w:rPr>
          <w:b/>
          <w:sz w:val="36"/>
          <w:szCs w:val="36"/>
        </w:rPr>
      </w:pPr>
    </w:p>
    <w:p w:rsidR="005F0D65" w:rsidRDefault="005821CC" w:rsidP="00E37C10">
      <w:pPr>
        <w:jc w:val="center"/>
        <w:rPr>
          <w:b/>
          <w:sz w:val="40"/>
          <w:szCs w:val="40"/>
        </w:rPr>
      </w:pPr>
      <w:r>
        <w:rPr>
          <w:b/>
          <w:sz w:val="52"/>
          <w:szCs w:val="52"/>
        </w:rPr>
        <w:t>Fun with Finite Difference</w:t>
      </w:r>
    </w:p>
    <w:p w:rsidR="007B4F2E" w:rsidRDefault="007B4F2E" w:rsidP="00026048">
      <w:pPr>
        <w:rPr>
          <w:sz w:val="28"/>
          <w:szCs w:val="28"/>
        </w:rPr>
      </w:pPr>
    </w:p>
    <w:p w:rsidR="005F0D65" w:rsidRDefault="005821CC" w:rsidP="005F0D65">
      <w:pPr>
        <w:jc w:val="center"/>
        <w:rPr>
          <w:sz w:val="28"/>
          <w:szCs w:val="28"/>
        </w:rPr>
      </w:pPr>
      <w:r>
        <w:rPr>
          <w:sz w:val="28"/>
          <w:szCs w:val="28"/>
        </w:rPr>
        <w:t>December</w:t>
      </w:r>
      <w:r w:rsidR="00D43BA4">
        <w:rPr>
          <w:sz w:val="28"/>
          <w:szCs w:val="28"/>
        </w:rPr>
        <w:t xml:space="preserve"> 2022</w:t>
      </w:r>
    </w:p>
    <w:p w:rsidR="00AF27AC" w:rsidRPr="00D1549D" w:rsidRDefault="00AF27AC" w:rsidP="005F0D65">
      <w:pPr>
        <w:rPr>
          <w:b/>
          <w:sz w:val="28"/>
          <w:szCs w:val="28"/>
        </w:rPr>
      </w:pPr>
    </w:p>
    <w:p w:rsidR="005F0D65" w:rsidRPr="00D1549D" w:rsidRDefault="005F0D65" w:rsidP="005F0D65">
      <w:pPr>
        <w:jc w:val="center"/>
        <w:rPr>
          <w:sz w:val="28"/>
          <w:szCs w:val="28"/>
        </w:rPr>
      </w:pPr>
      <w:r w:rsidRPr="00D1549D">
        <w:rPr>
          <w:sz w:val="28"/>
          <w:szCs w:val="28"/>
        </w:rPr>
        <w:t>Jesper Andreasen</w:t>
      </w:r>
    </w:p>
    <w:p w:rsidR="005F0D65" w:rsidRPr="00D43BA4" w:rsidRDefault="00D43BA4" w:rsidP="005F0D65">
      <w:pPr>
        <w:jc w:val="center"/>
        <w:rPr>
          <w:sz w:val="28"/>
          <w:szCs w:val="28"/>
        </w:rPr>
      </w:pPr>
      <w:r w:rsidRPr="00D43BA4">
        <w:rPr>
          <w:sz w:val="28"/>
          <w:szCs w:val="28"/>
        </w:rPr>
        <w:t xml:space="preserve">Saxo Bank, </w:t>
      </w:r>
      <w:r w:rsidR="005F0D65" w:rsidRPr="00D43BA4">
        <w:rPr>
          <w:sz w:val="28"/>
          <w:szCs w:val="28"/>
        </w:rPr>
        <w:t>Copenhagen</w:t>
      </w:r>
    </w:p>
    <w:p w:rsidR="005C2DC5" w:rsidRPr="00D43BA4" w:rsidRDefault="005C2DC5" w:rsidP="00200F24">
      <w:pPr>
        <w:rPr>
          <w:sz w:val="28"/>
          <w:szCs w:val="28"/>
        </w:rPr>
      </w:pPr>
    </w:p>
    <w:p w:rsidR="005F0D65" w:rsidRPr="00D43BA4" w:rsidRDefault="005F0D65" w:rsidP="005F0D65">
      <w:pPr>
        <w:jc w:val="center"/>
        <w:rPr>
          <w:sz w:val="28"/>
          <w:szCs w:val="28"/>
        </w:rPr>
      </w:pPr>
      <w:r w:rsidRPr="00D43BA4">
        <w:rPr>
          <w:sz w:val="28"/>
          <w:szCs w:val="28"/>
        </w:rPr>
        <w:t>kwant.daddy@</w:t>
      </w:r>
      <w:r w:rsidR="00D43BA4" w:rsidRPr="00D43BA4">
        <w:rPr>
          <w:sz w:val="28"/>
          <w:szCs w:val="28"/>
        </w:rPr>
        <w:t>saxobank.com</w:t>
      </w:r>
    </w:p>
    <w:p w:rsidR="0012376B" w:rsidRDefault="0012376B" w:rsidP="007277AB"/>
    <w:p w:rsidR="00EE0EA5" w:rsidRPr="00EE0EA5" w:rsidRDefault="00EE0EA5" w:rsidP="00EE0EA5">
      <w:pPr>
        <w:jc w:val="center"/>
        <w:rPr>
          <w:b/>
        </w:rPr>
      </w:pPr>
      <w:r>
        <w:rPr>
          <w:b/>
        </w:rPr>
        <w:br w:type="page"/>
      </w:r>
      <w:r w:rsidRPr="00EE0EA5">
        <w:rPr>
          <w:b/>
        </w:rPr>
        <w:lastRenderedPageBreak/>
        <w:t>Abstract</w:t>
      </w:r>
    </w:p>
    <w:p w:rsidR="000B282B" w:rsidRDefault="001067AD" w:rsidP="00E37C10">
      <w:pPr>
        <w:jc w:val="both"/>
      </w:pPr>
      <w:r>
        <w:t xml:space="preserve">We </w:t>
      </w:r>
      <w:r w:rsidR="00EA0862">
        <w:t xml:space="preserve">summarize most of what you need to know about finite difference solution of </w:t>
      </w:r>
      <w:r w:rsidR="00730271">
        <w:t xml:space="preserve">one-dimensional </w:t>
      </w:r>
      <w:r w:rsidR="00EA0862">
        <w:t xml:space="preserve">partial differential equations in finance. We demonstrate </w:t>
      </w:r>
      <w:r w:rsidR="00773053">
        <w:t xml:space="preserve">the </w:t>
      </w:r>
      <w:r w:rsidR="00EA0862">
        <w:t>theoretical results by numerical experiments. T</w:t>
      </w:r>
      <w:r w:rsidR="00154DB2">
        <w:t xml:space="preserve">he reader is invited </w:t>
      </w:r>
      <w:r w:rsidR="00773053">
        <w:t xml:space="preserve">and encouraged </w:t>
      </w:r>
      <w:r w:rsidR="00154DB2">
        <w:t>to</w:t>
      </w:r>
      <w:r w:rsidR="00EA0862">
        <w:t xml:space="preserve"> repl</w:t>
      </w:r>
      <w:r w:rsidR="00154DB2">
        <w:t xml:space="preserve">icate the experiments </w:t>
      </w:r>
      <w:r w:rsidR="00773053">
        <w:t>using</w:t>
      </w:r>
      <w:r w:rsidR="00EA0862">
        <w:t xml:space="preserve"> the C++ code and spreadsheets in our GitHub repository. </w:t>
      </w:r>
    </w:p>
    <w:p w:rsidR="00AD70A2" w:rsidRDefault="000B282B" w:rsidP="00E37C10">
      <w:pPr>
        <w:jc w:val="both"/>
      </w:pPr>
      <w:r>
        <w:t xml:space="preserve"> </w:t>
      </w:r>
    </w:p>
    <w:p w:rsidR="00AA1DDA" w:rsidRDefault="009A5B1E" w:rsidP="00AA1DDA">
      <w:pPr>
        <w:jc w:val="center"/>
        <w:rPr>
          <w:b/>
        </w:rPr>
      </w:pPr>
      <w:r>
        <w:rPr>
          <w:b/>
        </w:rPr>
        <w:t>Introduction</w:t>
      </w:r>
    </w:p>
    <w:p w:rsidR="005B6BCD" w:rsidRDefault="00EA0862" w:rsidP="00E51540">
      <w:pPr>
        <w:jc w:val="both"/>
      </w:pPr>
      <w:r>
        <w:t xml:space="preserve">The </w:t>
      </w:r>
      <w:r w:rsidR="00154DB2">
        <w:t>…</w:t>
      </w:r>
    </w:p>
    <w:p w:rsidR="00EA0862" w:rsidRDefault="00EA0862" w:rsidP="00E51540">
      <w:pPr>
        <w:jc w:val="both"/>
      </w:pPr>
    </w:p>
    <w:p w:rsidR="009A5B1E" w:rsidRDefault="00EA0862" w:rsidP="00CB0E19">
      <w:pPr>
        <w:jc w:val="center"/>
        <w:rPr>
          <w:b/>
        </w:rPr>
      </w:pPr>
      <w:r>
        <w:rPr>
          <w:b/>
        </w:rPr>
        <w:t>One More Time for Prince Knud</w:t>
      </w:r>
    </w:p>
    <w:p w:rsidR="00764A2A" w:rsidRDefault="00317FA1" w:rsidP="00E51540">
      <w:pPr>
        <w:jc w:val="both"/>
      </w:pPr>
      <w:r>
        <w:t>B</w:t>
      </w:r>
      <w:r w:rsidR="00AB1B28">
        <w:t xml:space="preserve">efore we </w:t>
      </w:r>
      <w:r w:rsidR="00816117">
        <w:t>get jiggy with</w:t>
      </w:r>
      <w:r>
        <w:t xml:space="preserve"> the num</w:t>
      </w:r>
      <w:r w:rsidR="00773053">
        <w:t>bers</w:t>
      </w:r>
      <w:r>
        <w:t>, we’ll quickly derive the theta scheme for numerical solution of one dimensional partial differential equations.</w:t>
      </w:r>
    </w:p>
    <w:p w:rsidR="00764A2A" w:rsidRDefault="00764A2A" w:rsidP="00E51540">
      <w:pPr>
        <w:jc w:val="both"/>
      </w:pPr>
    </w:p>
    <w:p w:rsidR="00CB0E19" w:rsidRPr="00CB0E19" w:rsidRDefault="00EA0862" w:rsidP="00E51540">
      <w:pPr>
        <w:jc w:val="both"/>
      </w:pPr>
      <w:r>
        <w:t>Consider a state variable</w:t>
      </w:r>
      <w:r w:rsidR="00CB0E19">
        <w:t xml:space="preserve"> </w:t>
      </w:r>
      <w:r w:rsidRPr="00CB0E19">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10.9pt" o:ole="">
            <v:imagedata r:id="rId8" o:title=""/>
          </v:shape>
          <o:OLEObject Type="Embed" ProgID="Equation.DSMT4" ShapeID="_x0000_i1025" DrawAspect="Content" ObjectID="_1732543133" r:id="rId9"/>
        </w:object>
      </w:r>
      <w:r w:rsidR="00CB0E19">
        <w:t xml:space="preserve"> that evolves according to </w:t>
      </w:r>
    </w:p>
    <w:p w:rsidR="009A5B1E" w:rsidRDefault="009A5B1E" w:rsidP="00E51540">
      <w:pPr>
        <w:jc w:val="both"/>
      </w:pPr>
    </w:p>
    <w:p w:rsidR="009A5B1E" w:rsidRDefault="009A5B1E" w:rsidP="00E51540">
      <w:pPr>
        <w:jc w:val="both"/>
      </w:pPr>
      <w:r>
        <w:tab/>
      </w:r>
      <w:r w:rsidR="00EA0862" w:rsidRPr="00CB0E19">
        <w:rPr>
          <w:position w:val="-10"/>
        </w:rPr>
        <w:object w:dxaOrig="2560" w:dyaOrig="320">
          <v:shape id="_x0000_i1026" type="#_x0000_t75" style="width:128.15pt;height:16.2pt" o:ole="">
            <v:imagedata r:id="rId10" o:title=""/>
          </v:shape>
          <o:OLEObject Type="Embed" ProgID="Equation.DSMT4" ShapeID="_x0000_i1026" DrawAspect="Content" ObjectID="_1732543134" r:id="rId11"/>
        </w:object>
      </w:r>
      <w:r w:rsidR="00C57090">
        <w:tab/>
      </w:r>
      <w:r w:rsidR="00C57090">
        <w:tab/>
      </w:r>
      <w:r w:rsidR="00C57090">
        <w:tab/>
      </w:r>
      <w:r w:rsidR="00C57090">
        <w:tab/>
      </w:r>
      <w:r w:rsidR="00C57090">
        <w:tab/>
      </w:r>
      <w:r w:rsidR="00C57090">
        <w:tab/>
      </w:r>
      <w:r w:rsidR="00C57090">
        <w:tab/>
        <w:t>(1)</w:t>
      </w:r>
    </w:p>
    <w:p w:rsidR="00CB0E19" w:rsidRDefault="00CB0E19" w:rsidP="00E51540">
      <w:pPr>
        <w:jc w:val="both"/>
      </w:pPr>
    </w:p>
    <w:p w:rsidR="00CB0E19" w:rsidRDefault="00CB0E19" w:rsidP="00E51540">
      <w:pPr>
        <w:jc w:val="both"/>
      </w:pPr>
      <w:r>
        <w:t xml:space="preserve">where </w:t>
      </w:r>
      <w:r w:rsidRPr="00CB0E19">
        <w:rPr>
          <w:position w:val="-6"/>
        </w:rPr>
        <w:object w:dxaOrig="279" w:dyaOrig="279">
          <v:shape id="_x0000_i1027" type="#_x0000_t75" style="width:13.85pt;height:13.85pt" o:ole="">
            <v:imagedata r:id="rId12" o:title=""/>
          </v:shape>
          <o:OLEObject Type="Embed" ProgID="Equation.DSMT4" ShapeID="_x0000_i1027" DrawAspect="Content" ObjectID="_1732543135" r:id="rId13"/>
        </w:object>
      </w:r>
      <w:r>
        <w:t xml:space="preserve"> is a Brownian motion</w:t>
      </w:r>
      <w:r w:rsidR="00EA0862">
        <w:t xml:space="preserve"> under the risk neutral measure. Assume that the interest rate is a function of </w:t>
      </w:r>
      <w:r w:rsidR="00EA0862" w:rsidRPr="00EA0862">
        <w:rPr>
          <w:position w:val="-10"/>
        </w:rPr>
        <w:object w:dxaOrig="520" w:dyaOrig="320">
          <v:shape id="_x0000_i1028" type="#_x0000_t75" style="width:26.1pt;height:15.85pt" o:ole="">
            <v:imagedata r:id="rId14" o:title=""/>
          </v:shape>
          <o:OLEObject Type="Embed" ProgID="Equation.DSMT4" ShapeID="_x0000_i1028" DrawAspect="Content" ObjectID="_1732543136" r:id="rId15"/>
        </w:object>
      </w:r>
      <w:r w:rsidR="00EA0862">
        <w:t xml:space="preserve"> only, i.e. </w:t>
      </w:r>
      <w:r w:rsidR="00EA0862" w:rsidRPr="00EA0862">
        <w:rPr>
          <w:position w:val="-10"/>
        </w:rPr>
        <w:object w:dxaOrig="980" w:dyaOrig="320">
          <v:shape id="_x0000_i1029" type="#_x0000_t75" style="width:48.9pt;height:15.85pt" o:ole="">
            <v:imagedata r:id="rId16" o:title=""/>
          </v:shape>
          <o:OLEObject Type="Embed" ProgID="Equation.DSMT4" ShapeID="_x0000_i1029" DrawAspect="Content" ObjectID="_1732543137" r:id="rId17"/>
        </w:object>
      </w:r>
      <w:r w:rsidR="00EA0862">
        <w:t>.</w:t>
      </w:r>
    </w:p>
    <w:p w:rsidR="00EA0862" w:rsidRDefault="00EA0862" w:rsidP="00E51540">
      <w:pPr>
        <w:jc w:val="both"/>
      </w:pPr>
    </w:p>
    <w:p w:rsidR="00EA0862" w:rsidRDefault="00154DB2" w:rsidP="00E51540">
      <w:pPr>
        <w:jc w:val="both"/>
      </w:pPr>
      <w:r>
        <w:t>Using Ito’s lemma it is straightforward to show that the expectation</w:t>
      </w:r>
      <w:r w:rsidR="00EA0862">
        <w:t xml:space="preserve"> </w:t>
      </w:r>
    </w:p>
    <w:p w:rsidR="00EA0862" w:rsidRDefault="00EA0862" w:rsidP="00E51540">
      <w:pPr>
        <w:jc w:val="both"/>
      </w:pPr>
    </w:p>
    <w:p w:rsidR="00EA0862" w:rsidRDefault="00EA0862" w:rsidP="00E51540">
      <w:pPr>
        <w:jc w:val="both"/>
      </w:pPr>
      <w:r>
        <w:tab/>
      </w:r>
      <w:r w:rsidR="00154DB2" w:rsidRPr="00EA0862">
        <w:rPr>
          <w:position w:val="-12"/>
        </w:rPr>
        <w:object w:dxaOrig="3360" w:dyaOrig="540">
          <v:shape id="_x0000_i1030" type="#_x0000_t75" style="width:168.1pt;height:27.1pt" o:ole="">
            <v:imagedata r:id="rId18" o:title=""/>
          </v:shape>
          <o:OLEObject Type="Embed" ProgID="Equation.DSMT4" ShapeID="_x0000_i1030" DrawAspect="Content" ObjectID="_1732543138" r:id="rId19"/>
        </w:object>
      </w:r>
      <w:r w:rsidR="00154DB2">
        <w:tab/>
      </w:r>
      <w:r w:rsidR="00154DB2">
        <w:tab/>
      </w:r>
      <w:r w:rsidR="00154DB2">
        <w:tab/>
      </w:r>
      <w:r w:rsidR="00154DB2">
        <w:tab/>
      </w:r>
      <w:r w:rsidR="00154DB2">
        <w:tab/>
      </w:r>
      <w:r w:rsidR="00154DB2">
        <w:tab/>
        <w:t>(2)</w:t>
      </w:r>
    </w:p>
    <w:p w:rsidR="00EA0862" w:rsidRDefault="00EA0862" w:rsidP="00E51540">
      <w:pPr>
        <w:jc w:val="both"/>
      </w:pPr>
    </w:p>
    <w:p w:rsidR="00EA0862" w:rsidRDefault="00154DB2" w:rsidP="00E51540">
      <w:pPr>
        <w:jc w:val="both"/>
      </w:pPr>
      <w:r>
        <w:t xml:space="preserve">is the solution to the backward partial differential equation </w:t>
      </w:r>
    </w:p>
    <w:p w:rsidR="00154DB2" w:rsidRDefault="00154DB2" w:rsidP="00E51540">
      <w:pPr>
        <w:jc w:val="both"/>
      </w:pPr>
    </w:p>
    <w:p w:rsidR="00154DB2" w:rsidRDefault="00154DB2" w:rsidP="00E51540">
      <w:pPr>
        <w:jc w:val="both"/>
      </w:pPr>
      <w:r>
        <w:tab/>
      </w:r>
      <w:r w:rsidR="00C944E3" w:rsidRPr="00154DB2">
        <w:rPr>
          <w:position w:val="-24"/>
        </w:rPr>
        <w:object w:dxaOrig="3739" w:dyaOrig="620">
          <v:shape id="_x0000_i1031" type="#_x0000_t75" style="width:186.95pt;height:31.05pt" o:ole="">
            <v:imagedata r:id="rId20" o:title=""/>
          </v:shape>
          <o:OLEObject Type="Embed" ProgID="Equation.DSMT4" ShapeID="_x0000_i1031" DrawAspect="Content" ObjectID="_1732543139" r:id="rId21"/>
        </w:object>
      </w:r>
      <w:r>
        <w:tab/>
      </w:r>
      <w:r>
        <w:tab/>
      </w:r>
      <w:r>
        <w:tab/>
      </w:r>
      <w:r>
        <w:tab/>
      </w:r>
      <w:r>
        <w:tab/>
        <w:t>(3)</w:t>
      </w:r>
    </w:p>
    <w:p w:rsidR="00154DB2" w:rsidRDefault="00154DB2" w:rsidP="00E51540">
      <w:pPr>
        <w:jc w:val="both"/>
      </w:pPr>
    </w:p>
    <w:p w:rsidR="00154DB2" w:rsidRDefault="00154DB2" w:rsidP="00E51540">
      <w:pPr>
        <w:jc w:val="both"/>
      </w:pPr>
      <w:r>
        <w:t xml:space="preserve">with </w:t>
      </w:r>
      <w:r w:rsidRPr="00154DB2">
        <w:rPr>
          <w:position w:val="-10"/>
        </w:rPr>
        <w:object w:dxaOrig="780" w:dyaOrig="320">
          <v:shape id="_x0000_i1032" type="#_x0000_t75" style="width:38.95pt;height:15.85pt" o:ole="">
            <v:imagedata r:id="rId22" o:title=""/>
          </v:shape>
          <o:OLEObject Type="Embed" ProgID="Equation.DSMT4" ShapeID="_x0000_i1032" DrawAspect="Content" ObjectID="_1732543140" r:id="rId23"/>
        </w:object>
      </w:r>
      <w:r>
        <w:t xml:space="preserve"> as the terminal boundary condition.</w:t>
      </w:r>
    </w:p>
    <w:p w:rsidR="00154DB2" w:rsidRDefault="00154DB2" w:rsidP="00E51540">
      <w:pPr>
        <w:jc w:val="both"/>
      </w:pPr>
    </w:p>
    <w:p w:rsidR="00C944E3" w:rsidRDefault="00C944E3" w:rsidP="00E51540">
      <w:pPr>
        <w:jc w:val="both"/>
      </w:pPr>
      <w:r>
        <w:t xml:space="preserve">The partial differential equation (3) is turned into a finite difference equation in two steps. </w:t>
      </w:r>
    </w:p>
    <w:p w:rsidR="00C944E3" w:rsidRDefault="00C944E3" w:rsidP="00E51540">
      <w:pPr>
        <w:jc w:val="both"/>
      </w:pPr>
    </w:p>
    <w:p w:rsidR="00CB2953" w:rsidRDefault="00C944E3" w:rsidP="00E51540">
      <w:pPr>
        <w:jc w:val="both"/>
      </w:pPr>
      <w:r>
        <w:t xml:space="preserve">First, we </w:t>
      </w:r>
      <w:r w:rsidR="00CB2953">
        <w:t xml:space="preserve">discretise the space </w:t>
      </w:r>
      <w:r w:rsidR="00CB2953" w:rsidRPr="00CB2953">
        <w:rPr>
          <w:position w:val="-12"/>
        </w:rPr>
        <w:object w:dxaOrig="1719" w:dyaOrig="360">
          <v:shape id="_x0000_i1033" type="#_x0000_t75" style="width:85.85pt;height:18.15pt" o:ole="">
            <v:imagedata r:id="rId24" o:title=""/>
          </v:shape>
          <o:OLEObject Type="Embed" ProgID="Equation.DSMT4" ShapeID="_x0000_i1033" DrawAspect="Content" ObjectID="_1732543141" r:id="rId25"/>
        </w:object>
      </w:r>
      <w:r w:rsidR="00CB2953">
        <w:t xml:space="preserve"> and introduce the first order spatial difference operators</w:t>
      </w:r>
    </w:p>
    <w:p w:rsidR="00CB2953" w:rsidRDefault="00CB2953" w:rsidP="00CB2953"/>
    <w:p w:rsidR="00CB2953" w:rsidRDefault="00CB2953" w:rsidP="00CB2953">
      <w:r>
        <w:tab/>
      </w:r>
      <w:r w:rsidR="00237760" w:rsidRPr="0082431A">
        <w:rPr>
          <w:position w:val="-100"/>
        </w:rPr>
        <w:object w:dxaOrig="4620" w:dyaOrig="2079">
          <v:shape id="_x0000_i1034" type="#_x0000_t75" style="width:230.85pt;height:104.05pt" o:ole="">
            <v:imagedata r:id="rId26" o:title=""/>
          </v:shape>
          <o:OLEObject Type="Embed" ProgID="Equation.DSMT4" ShapeID="_x0000_i1034" DrawAspect="Content" ObjectID="_1732543142" r:id="rId27"/>
        </w:object>
      </w:r>
      <w:r>
        <w:tab/>
      </w:r>
      <w:r w:rsidR="00237760">
        <w:tab/>
      </w:r>
      <w:r w:rsidR="00237760">
        <w:tab/>
      </w:r>
      <w:r w:rsidR="00237760">
        <w:tab/>
      </w:r>
      <w:r>
        <w:t>(4)</w:t>
      </w:r>
    </w:p>
    <w:p w:rsidR="00CB2953" w:rsidRDefault="00CB2953" w:rsidP="00CB2953"/>
    <w:p w:rsidR="00CB2953" w:rsidRDefault="00CB2953" w:rsidP="00CB2953">
      <w:r>
        <w:t>and second order spatial operator</w:t>
      </w:r>
    </w:p>
    <w:p w:rsidR="00CB2953" w:rsidRDefault="00CB2953" w:rsidP="00CB2953"/>
    <w:p w:rsidR="00CB2953" w:rsidRDefault="00CB2953" w:rsidP="00CB2953">
      <w:r>
        <w:lastRenderedPageBreak/>
        <w:tab/>
      </w:r>
      <w:r w:rsidR="00237760" w:rsidRPr="0082431A">
        <w:rPr>
          <w:position w:val="-30"/>
        </w:rPr>
        <w:object w:dxaOrig="3019" w:dyaOrig="720">
          <v:shape id="_x0000_i1035" type="#_x0000_t75" style="width:150.95pt;height:36pt" o:ole="">
            <v:imagedata r:id="rId28" o:title=""/>
          </v:shape>
          <o:OLEObject Type="Embed" ProgID="Equation.DSMT4" ShapeID="_x0000_i1035" DrawAspect="Content" ObjectID="_1732543143" r:id="rId29"/>
        </w:object>
      </w:r>
      <w:r>
        <w:tab/>
      </w:r>
      <w:r>
        <w:tab/>
      </w:r>
      <w:r>
        <w:tab/>
      </w:r>
      <w:r>
        <w:tab/>
      </w:r>
      <w:r w:rsidR="00237760">
        <w:tab/>
      </w:r>
      <w:r w:rsidR="00237760">
        <w:tab/>
      </w:r>
      <w:r>
        <w:t>(5)</w:t>
      </w:r>
    </w:p>
    <w:p w:rsidR="00CB2953" w:rsidRDefault="00CB2953" w:rsidP="00CB2953"/>
    <w:p w:rsidR="0060732F" w:rsidRDefault="0060732F" w:rsidP="0060732F">
      <w:pPr>
        <w:jc w:val="both"/>
      </w:pPr>
      <w:r>
        <w:t>Taylor expansion can be used to derive the order of the accuracy in (4) and (5).</w:t>
      </w:r>
    </w:p>
    <w:p w:rsidR="0060732F" w:rsidRDefault="0060732F" w:rsidP="00CB2953"/>
    <w:p w:rsidR="00CD1E93" w:rsidRDefault="00CD1E93" w:rsidP="00CB2953">
      <w:r>
        <w:t>These operators can be represented as rows of a tridiagonal matrix. Specifically,</w:t>
      </w:r>
      <w:r w:rsidR="00EF546E">
        <w:t xml:space="preserve"> </w:t>
      </w:r>
    </w:p>
    <w:p w:rsidR="00EF546E" w:rsidRDefault="00EF546E" w:rsidP="00CB2953"/>
    <w:p w:rsidR="00CD1E93" w:rsidRDefault="00CD1E93" w:rsidP="00CB2953">
      <w:r>
        <w:tab/>
      </w:r>
      <w:r w:rsidR="00EF546E" w:rsidRPr="00EF546E">
        <w:rPr>
          <w:position w:val="-74"/>
        </w:rPr>
        <w:object w:dxaOrig="4760" w:dyaOrig="1960">
          <v:shape id="_x0000_i1037" type="#_x0000_t75" style="width:238.15pt;height:97.75pt" o:ole="">
            <v:imagedata r:id="rId30" o:title=""/>
          </v:shape>
          <o:OLEObject Type="Embed" ProgID="Equation.DSMT4" ShapeID="_x0000_i1037" DrawAspect="Content" ObjectID="_1732543144" r:id="rId31"/>
        </w:object>
      </w:r>
      <w:r>
        <w:tab/>
      </w:r>
      <w:r>
        <w:tab/>
      </w:r>
      <w:r>
        <w:tab/>
      </w:r>
      <w:r>
        <w:tab/>
        <w:t>(6)</w:t>
      </w:r>
    </w:p>
    <w:p w:rsidR="00CD1E93" w:rsidRDefault="00CD1E93" w:rsidP="00CB2953"/>
    <w:p w:rsidR="00CD1E93" w:rsidRDefault="00EF546E" w:rsidP="00CB2953">
      <w:r>
        <w:t xml:space="preserve">and </w:t>
      </w:r>
    </w:p>
    <w:p w:rsidR="00CD1E93" w:rsidRDefault="00CD1E93" w:rsidP="00CB2953"/>
    <w:p w:rsidR="00CD1E93" w:rsidRDefault="00CD1E93" w:rsidP="00CB2953">
      <w:r>
        <w:tab/>
      </w:r>
      <w:r w:rsidR="00EF546E" w:rsidRPr="00EF546E">
        <w:rPr>
          <w:position w:val="-52"/>
        </w:rPr>
        <w:object w:dxaOrig="7420" w:dyaOrig="1160">
          <v:shape id="_x0000_i1038" type="#_x0000_t75" style="width:370.9pt;height:58.15pt" o:ole="">
            <v:imagedata r:id="rId32" o:title=""/>
          </v:shape>
          <o:OLEObject Type="Embed" ProgID="Equation.DSMT4" ShapeID="_x0000_i1038" DrawAspect="Content" ObjectID="_1732543145" r:id="rId33"/>
        </w:object>
      </w:r>
      <w:r>
        <w:tab/>
      </w:r>
      <w:r>
        <w:tab/>
      </w:r>
      <w:r>
        <w:tab/>
      </w:r>
      <w:r>
        <w:tab/>
      </w:r>
      <w:r>
        <w:tab/>
      </w:r>
      <w:r>
        <w:tab/>
      </w:r>
      <w:r>
        <w:tab/>
      </w:r>
      <w:r>
        <w:tab/>
      </w:r>
      <w:r>
        <w:tab/>
      </w:r>
      <w:r>
        <w:tab/>
      </w:r>
      <w:r>
        <w:tab/>
        <w:t>(7)</w:t>
      </w:r>
    </w:p>
    <w:p w:rsidR="00CD1E93" w:rsidRDefault="00CD1E93" w:rsidP="00CB2953">
      <w:r>
        <w:t xml:space="preserve">and </w:t>
      </w:r>
      <w:r w:rsidR="00EF546E">
        <w:t>finally</w:t>
      </w:r>
    </w:p>
    <w:p w:rsidR="00CD1E93" w:rsidRDefault="00CD1E93" w:rsidP="00CB2953"/>
    <w:p w:rsidR="00CD1E93" w:rsidRDefault="00CD1E93" w:rsidP="00CB2953">
      <w:r>
        <w:tab/>
      </w:r>
      <w:r w:rsidR="00EF546E" w:rsidRPr="00EF546E">
        <w:rPr>
          <w:position w:val="-52"/>
        </w:rPr>
        <w:object w:dxaOrig="7580" w:dyaOrig="1160">
          <v:shape id="_x0000_i1039" type="#_x0000_t75" style="width:379.15pt;height:58.15pt" o:ole="">
            <v:imagedata r:id="rId34" o:title=""/>
          </v:shape>
          <o:OLEObject Type="Embed" ProgID="Equation.DSMT4" ShapeID="_x0000_i1039" DrawAspect="Content" ObjectID="_1732543146" r:id="rId35"/>
        </w:object>
      </w:r>
    </w:p>
    <w:p w:rsidR="00CD1E93" w:rsidRDefault="00CD1E93" w:rsidP="00CD1E93">
      <w:pPr>
        <w:ind w:left="7200" w:firstLine="720"/>
      </w:pPr>
      <w:r>
        <w:t>(8)</w:t>
      </w:r>
    </w:p>
    <w:p w:rsidR="00CD1E93" w:rsidRDefault="00CD1E93" w:rsidP="00CB2953"/>
    <w:p w:rsidR="00CD1E93" w:rsidRDefault="00EF546E" w:rsidP="00EF546E">
      <w:pPr>
        <w:jc w:val="both"/>
      </w:pPr>
      <w:r>
        <w:t>In the above we use a compact notation for tridiagonal matrices where we only list the three elements around the diagonal, in line with the band diagonal matrix representation used in Press et al (1988).</w:t>
      </w:r>
    </w:p>
    <w:p w:rsidR="00CD1E93" w:rsidRDefault="00CD1E93" w:rsidP="00CB2953"/>
    <w:p w:rsidR="00CB2953" w:rsidRDefault="00CB2953" w:rsidP="00CB2953">
      <w:r>
        <w:t xml:space="preserve">Depending on the application we will use either central differencing </w:t>
      </w:r>
    </w:p>
    <w:p w:rsidR="00CB2953" w:rsidRDefault="00CB2953" w:rsidP="00CB2953"/>
    <w:p w:rsidR="00CB2953" w:rsidRDefault="00CB2953" w:rsidP="00CB2953">
      <w:r>
        <w:tab/>
      </w:r>
      <w:r w:rsidRPr="00CB2953">
        <w:rPr>
          <w:position w:val="-24"/>
        </w:rPr>
        <w:object w:dxaOrig="2220" w:dyaOrig="620">
          <v:shape id="_x0000_i1040" type="#_x0000_t75" style="width:110.95pt;height:31.05pt" o:ole="">
            <v:imagedata r:id="rId36" o:title=""/>
          </v:shape>
          <o:OLEObject Type="Embed" ProgID="Equation.DSMT4" ShapeID="_x0000_i1040" DrawAspect="Content" ObjectID="_1732543147" r:id="rId37"/>
        </w:object>
      </w:r>
      <w:r>
        <w:tab/>
      </w:r>
      <w:r>
        <w:tab/>
      </w:r>
      <w:r>
        <w:tab/>
      </w:r>
      <w:r>
        <w:tab/>
      </w:r>
      <w:r>
        <w:tab/>
      </w:r>
      <w:r>
        <w:tab/>
      </w:r>
      <w:r>
        <w:tab/>
        <w:t>(</w:t>
      </w:r>
      <w:r w:rsidR="00211588">
        <w:t>9</w:t>
      </w:r>
      <w:r>
        <w:t>)</w:t>
      </w:r>
    </w:p>
    <w:p w:rsidR="00CB2953" w:rsidRDefault="00CB2953" w:rsidP="00CB2953"/>
    <w:p w:rsidR="00CB2953" w:rsidRDefault="00CB2953" w:rsidP="00CB2953">
      <w:r>
        <w:t xml:space="preserve">or dynamic up- and down-winding </w:t>
      </w:r>
    </w:p>
    <w:p w:rsidR="00CB2953" w:rsidRDefault="00CB2953" w:rsidP="00CB2953"/>
    <w:p w:rsidR="0060732F" w:rsidRDefault="00CB2953" w:rsidP="00CB2953">
      <w:r>
        <w:tab/>
      </w:r>
      <w:r w:rsidRPr="00CB2953">
        <w:rPr>
          <w:position w:val="-24"/>
        </w:rPr>
        <w:object w:dxaOrig="3080" w:dyaOrig="620">
          <v:shape id="_x0000_i1041" type="#_x0000_t75" style="width:153.9pt;height:31.05pt" o:ole="">
            <v:imagedata r:id="rId38" o:title=""/>
          </v:shape>
          <o:OLEObject Type="Embed" ProgID="Equation.DSMT4" ShapeID="_x0000_i1041" DrawAspect="Content" ObjectID="_1732543148" r:id="rId39"/>
        </w:object>
      </w:r>
      <w:r>
        <w:tab/>
      </w:r>
      <w:r>
        <w:tab/>
      </w:r>
      <w:r>
        <w:tab/>
      </w:r>
      <w:r>
        <w:tab/>
      </w:r>
      <w:r w:rsidR="00211588">
        <w:tab/>
      </w:r>
      <w:r>
        <w:t>(</w:t>
      </w:r>
      <w:r w:rsidR="00211588">
        <w:t>10</w:t>
      </w:r>
      <w:r>
        <w:t>)</w:t>
      </w:r>
    </w:p>
    <w:p w:rsidR="0060732F" w:rsidRDefault="0060732F" w:rsidP="00CB2953"/>
    <w:p w:rsidR="00CD1E93" w:rsidRDefault="00317FA1" w:rsidP="00CB2953">
      <w:r>
        <w:t xml:space="preserve">If we let </w:t>
      </w:r>
      <w:r w:rsidRPr="00764A2A">
        <w:rPr>
          <w:position w:val="-12"/>
        </w:rPr>
        <w:object w:dxaOrig="2900" w:dyaOrig="360">
          <v:shape id="_x0000_i1042" type="#_x0000_t75" style="width:145pt;height:18.15pt" o:ole="">
            <v:imagedata r:id="rId40" o:title=""/>
          </v:shape>
          <o:OLEObject Type="Embed" ProgID="Equation.DSMT4" ShapeID="_x0000_i1042" DrawAspect="Content" ObjectID="_1732543149" r:id="rId41"/>
        </w:object>
      </w:r>
      <w:r>
        <w:t>, t</w:t>
      </w:r>
      <w:r w:rsidR="00CD1E93">
        <w:t>he PDE (3)</w:t>
      </w:r>
      <w:r>
        <w:t xml:space="preserve"> can</w:t>
      </w:r>
      <w:r w:rsidR="00CD1E93">
        <w:t xml:space="preserve"> now replaced by a matrix equation</w:t>
      </w:r>
    </w:p>
    <w:p w:rsidR="00CD1E93" w:rsidRDefault="00CD1E93" w:rsidP="00CB2953"/>
    <w:p w:rsidR="00CD1E93" w:rsidRDefault="00CD1E93" w:rsidP="00CB2953">
      <w:r>
        <w:tab/>
      </w:r>
      <w:r w:rsidR="0060732F" w:rsidRPr="0060732F">
        <w:rPr>
          <w:position w:val="-12"/>
        </w:rPr>
        <w:object w:dxaOrig="1280" w:dyaOrig="380">
          <v:shape id="_x0000_i1043" type="#_x0000_t75" style="width:64.05pt;height:19.15pt" o:ole="">
            <v:imagedata r:id="rId42" o:title=""/>
          </v:shape>
          <o:OLEObject Type="Embed" ProgID="Equation.DSMT4" ShapeID="_x0000_i1043" DrawAspect="Content" ObjectID="_1732543150" r:id="rId43"/>
        </w:object>
      </w:r>
      <w:r w:rsidR="0060732F">
        <w:tab/>
      </w:r>
      <w:r w:rsidR="0060732F">
        <w:tab/>
      </w:r>
      <w:r w:rsidR="0060732F">
        <w:tab/>
      </w:r>
      <w:r w:rsidR="0060732F">
        <w:tab/>
      </w:r>
      <w:r w:rsidR="0060732F">
        <w:tab/>
      </w:r>
      <w:r w:rsidR="0060732F">
        <w:tab/>
      </w:r>
      <w:r w:rsidR="0060732F">
        <w:tab/>
      </w:r>
      <w:r w:rsidR="0060732F">
        <w:tab/>
        <w:t>(11)</w:t>
      </w:r>
    </w:p>
    <w:p w:rsidR="00CB2953" w:rsidRDefault="00CB2953" w:rsidP="00CB2953"/>
    <w:p w:rsidR="00CB2953" w:rsidRDefault="00764A2A" w:rsidP="00CB2953">
      <w:r>
        <w:t>Over a discrete time step the solution to (11) is</w:t>
      </w:r>
    </w:p>
    <w:p w:rsidR="00764A2A" w:rsidRDefault="00764A2A" w:rsidP="00CB2953"/>
    <w:p w:rsidR="00764A2A" w:rsidRDefault="00764A2A" w:rsidP="00CB2953">
      <w:r>
        <w:tab/>
      </w:r>
      <w:r w:rsidR="00B47BD3" w:rsidRPr="00764A2A">
        <w:rPr>
          <w:position w:val="-28"/>
        </w:rPr>
        <w:object w:dxaOrig="5460" w:dyaOrig="700">
          <v:shape id="_x0000_i1355" type="#_x0000_t75" style="width:272.8pt;height:35pt" o:ole="">
            <v:imagedata r:id="rId44" o:title=""/>
          </v:shape>
          <o:OLEObject Type="Embed" ProgID="Equation.DSMT4" ShapeID="_x0000_i1355" DrawAspect="Content" ObjectID="_1732543151" r:id="rId45"/>
        </w:object>
      </w:r>
      <w:r w:rsidR="00B47BD3">
        <w:tab/>
      </w:r>
      <w:r w:rsidR="00B47BD3">
        <w:tab/>
      </w:r>
      <w:r>
        <w:t>(12)</w:t>
      </w:r>
    </w:p>
    <w:p w:rsidR="00764A2A" w:rsidRDefault="00764A2A" w:rsidP="00CB2953"/>
    <w:p w:rsidR="00764A2A" w:rsidRDefault="00317FA1" w:rsidP="00CB2953">
      <w:r>
        <w:t>Discretising (12) now leads to the theta scheme</w:t>
      </w:r>
    </w:p>
    <w:p w:rsidR="00317FA1" w:rsidRDefault="00317FA1" w:rsidP="00CB2953"/>
    <w:p w:rsidR="00317FA1" w:rsidRDefault="00317FA1" w:rsidP="00CB2953">
      <w:r>
        <w:tab/>
      </w:r>
      <w:r w:rsidR="009D45D7" w:rsidRPr="009D45D7">
        <w:rPr>
          <w:position w:val="-32"/>
        </w:rPr>
        <w:object w:dxaOrig="3860" w:dyaOrig="760">
          <v:shape id="_x0000_i1045" type="#_x0000_t75" style="width:192.9pt;height:38pt" o:ole="">
            <v:imagedata r:id="rId46" o:title=""/>
          </v:shape>
          <o:OLEObject Type="Embed" ProgID="Equation.DSMT4" ShapeID="_x0000_i1045" DrawAspect="Content" ObjectID="_1732543152" r:id="rId47"/>
        </w:object>
      </w:r>
      <w:r w:rsidR="009D45D7">
        <w:tab/>
      </w:r>
      <w:r w:rsidR="009D45D7">
        <w:tab/>
      </w:r>
      <w:r w:rsidR="009D45D7">
        <w:tab/>
      </w:r>
      <w:r w:rsidR="009D45D7">
        <w:tab/>
        <w:t>(13)</w:t>
      </w:r>
    </w:p>
    <w:p w:rsidR="00773053" w:rsidRDefault="00773053" w:rsidP="00CB2953"/>
    <w:p w:rsidR="00773053" w:rsidRDefault="00773053" w:rsidP="00CB2953">
      <w:r>
        <w:t xml:space="preserve">where </w:t>
      </w:r>
      <w:r w:rsidRPr="00773053">
        <w:rPr>
          <w:position w:val="-4"/>
        </w:rPr>
        <w:object w:dxaOrig="200" w:dyaOrig="260">
          <v:shape id="_x0000_i1046" type="#_x0000_t75" style="width:9.9pt;height:12.9pt" o:ole="">
            <v:imagedata r:id="rId48" o:title=""/>
          </v:shape>
          <o:OLEObject Type="Embed" ProgID="Equation.DSMT4" ShapeID="_x0000_i1046" DrawAspect="Content" ObjectID="_1732543153" r:id="rId49"/>
        </w:object>
      </w:r>
      <w:r>
        <w:t xml:space="preserve"> denotes the identity.</w:t>
      </w:r>
      <w:r w:rsidR="001D56CF">
        <w:t xml:space="preserve"> </w:t>
      </w:r>
      <w:r w:rsidR="009F4140">
        <w:t>The idea is now to solve (13) repeatedly</w:t>
      </w:r>
    </w:p>
    <w:p w:rsidR="009F4140" w:rsidRDefault="009F4140" w:rsidP="00CB2953"/>
    <w:p w:rsidR="009F4140" w:rsidRDefault="009F4140" w:rsidP="00CB2953">
      <w:r>
        <w:tab/>
      </w:r>
      <w:r w:rsidRPr="009F4140">
        <w:rPr>
          <w:position w:val="-12"/>
        </w:rPr>
        <w:object w:dxaOrig="1600" w:dyaOrig="360">
          <v:shape id="_x0000_i1047" type="#_x0000_t75" style="width:79.95pt;height:18.15pt" o:ole="">
            <v:imagedata r:id="rId50" o:title=""/>
          </v:shape>
          <o:OLEObject Type="Embed" ProgID="Equation.DSMT4" ShapeID="_x0000_i1047" DrawAspect="Content" ObjectID="_1732543154" r:id="rId51"/>
        </w:object>
      </w:r>
    </w:p>
    <w:p w:rsidR="009F4140" w:rsidRDefault="009F4140" w:rsidP="00CB2953"/>
    <w:p w:rsidR="009F4140" w:rsidRDefault="009F4140" w:rsidP="00CB2953">
      <w:r>
        <w:t xml:space="preserve">until we obtain the solution at time </w:t>
      </w:r>
      <w:r w:rsidRPr="009F4140">
        <w:rPr>
          <w:position w:val="-12"/>
        </w:rPr>
        <w:object w:dxaOrig="200" w:dyaOrig="360">
          <v:shape id="_x0000_i1048" type="#_x0000_t75" style="width:9.9pt;height:18.15pt" o:ole="">
            <v:imagedata r:id="rId52" o:title=""/>
          </v:shape>
          <o:OLEObject Type="Embed" ProgID="Equation.DSMT4" ShapeID="_x0000_i1048" DrawAspect="Content" ObjectID="_1732543155" r:id="rId53"/>
        </w:object>
      </w:r>
      <w:r>
        <w:t>.</w:t>
      </w:r>
      <w:r w:rsidR="00B47BD3">
        <w:t xml:space="preserve"> We will generally let </w:t>
      </w:r>
      <w:r w:rsidR="00B47BD3" w:rsidRPr="00B47BD3">
        <w:rPr>
          <w:position w:val="-6"/>
        </w:rPr>
        <w:object w:dxaOrig="240" w:dyaOrig="220">
          <v:shape id="_x0000_i1358" type="#_x0000_t75" style="width:11.9pt;height:10.9pt" o:ole="">
            <v:imagedata r:id="rId54" o:title=""/>
          </v:shape>
          <o:OLEObject Type="Embed" ProgID="Equation.DSMT4" ShapeID="_x0000_i1358" DrawAspect="Content" ObjectID="_1732543156" r:id="rId55"/>
        </w:object>
      </w:r>
      <w:r w:rsidR="00B47BD3">
        <w:t xml:space="preserve"> denote the number of time steps.</w:t>
      </w:r>
    </w:p>
    <w:p w:rsidR="00773053" w:rsidRDefault="00773053" w:rsidP="00CB2953"/>
    <w:p w:rsidR="009D45D7" w:rsidRDefault="00773053" w:rsidP="007924FD">
      <w:pPr>
        <w:jc w:val="both"/>
      </w:pPr>
      <w:r>
        <w:t>We generally let</w:t>
      </w:r>
      <w:r w:rsidR="009D45D7">
        <w:t xml:space="preserve"> </w:t>
      </w:r>
      <w:r w:rsidR="009D45D7" w:rsidRPr="009D45D7">
        <w:rPr>
          <w:position w:val="-6"/>
        </w:rPr>
        <w:object w:dxaOrig="560" w:dyaOrig="279">
          <v:shape id="_x0000_i1049" type="#_x0000_t75" style="width:28.05pt;height:13.85pt" o:ole="">
            <v:imagedata r:id="rId56" o:title=""/>
          </v:shape>
          <o:OLEObject Type="Embed" ProgID="Equation.DSMT4" ShapeID="_x0000_i1049" DrawAspect="Content" ObjectID="_1732543157" r:id="rId57"/>
        </w:object>
      </w:r>
      <w:r>
        <w:t xml:space="preserve"> denote</w:t>
      </w:r>
      <w:r w:rsidR="009D45D7">
        <w:t xml:space="preserve"> the </w:t>
      </w:r>
      <w:r w:rsidR="009D45D7" w:rsidRPr="00773053">
        <w:rPr>
          <w:i/>
        </w:rPr>
        <w:t>explicit</w:t>
      </w:r>
      <w:r w:rsidR="009D45D7">
        <w:t xml:space="preserve"> scheme, </w:t>
      </w:r>
      <w:r w:rsidR="009D45D7" w:rsidRPr="009D45D7">
        <w:rPr>
          <w:position w:val="-6"/>
        </w:rPr>
        <w:object w:dxaOrig="540" w:dyaOrig="279">
          <v:shape id="_x0000_i1050" type="#_x0000_t75" style="width:27.1pt;height:13.85pt" o:ole="">
            <v:imagedata r:id="rId58" o:title=""/>
          </v:shape>
          <o:OLEObject Type="Embed" ProgID="Equation.DSMT4" ShapeID="_x0000_i1050" DrawAspect="Content" ObjectID="_1732543158" r:id="rId59"/>
        </w:object>
      </w:r>
      <w:r w:rsidR="009D45D7">
        <w:t xml:space="preserve"> the fully </w:t>
      </w:r>
      <w:r w:rsidR="009D45D7" w:rsidRPr="00773053">
        <w:rPr>
          <w:i/>
        </w:rPr>
        <w:t>implicit</w:t>
      </w:r>
      <w:r w:rsidR="009D45D7">
        <w:t xml:space="preserve"> scheme and </w:t>
      </w:r>
      <w:r w:rsidRPr="009D45D7">
        <w:rPr>
          <w:position w:val="-6"/>
        </w:rPr>
        <w:object w:dxaOrig="820" w:dyaOrig="279">
          <v:shape id="_x0000_i1051" type="#_x0000_t75" style="width:40.95pt;height:13.85pt" o:ole="">
            <v:imagedata r:id="rId60" o:title=""/>
          </v:shape>
          <o:OLEObject Type="Embed" ProgID="Equation.DSMT4" ShapeID="_x0000_i1051" DrawAspect="Content" ObjectID="_1732543159" r:id="rId61"/>
        </w:object>
      </w:r>
      <w:r>
        <w:t xml:space="preserve"> the </w:t>
      </w:r>
      <w:r w:rsidRPr="00773053">
        <w:rPr>
          <w:i/>
        </w:rPr>
        <w:t>Crank-Nicolson</w:t>
      </w:r>
      <w:r>
        <w:t xml:space="preserve"> scheme. </w:t>
      </w:r>
    </w:p>
    <w:p w:rsidR="009F4140" w:rsidRDefault="009F4140" w:rsidP="007924FD">
      <w:pPr>
        <w:jc w:val="both"/>
      </w:pPr>
    </w:p>
    <w:p w:rsidR="00714427" w:rsidRDefault="00714427" w:rsidP="00714427">
      <w:pPr>
        <w:jc w:val="both"/>
      </w:pPr>
      <w:r>
        <w:t>And now the other way aroun</w:t>
      </w:r>
      <w:r w:rsidR="00447CF8">
        <w:t xml:space="preserve">d. Rearrange (13) and multiply it by the vectors </w:t>
      </w:r>
      <w:r w:rsidR="00447CF8" w:rsidRPr="00447CF8">
        <w:rPr>
          <w:position w:val="-12"/>
        </w:rPr>
        <w:object w:dxaOrig="1400" w:dyaOrig="360">
          <v:shape id="_x0000_i1389" type="#_x0000_t75" style="width:70pt;height:18.15pt" o:ole="">
            <v:imagedata r:id="rId62" o:title=""/>
          </v:shape>
          <o:OLEObject Type="Embed" ProgID="Equation.DSMT4" ShapeID="_x0000_i1389" DrawAspect="Content" ObjectID="_1732543160" r:id="rId63"/>
        </w:object>
      </w:r>
      <w:r w:rsidR="00447CF8">
        <w:t xml:space="preserve"> and we get</w:t>
      </w:r>
    </w:p>
    <w:p w:rsidR="00447CF8" w:rsidRDefault="00447CF8" w:rsidP="00714427">
      <w:pPr>
        <w:jc w:val="both"/>
      </w:pPr>
    </w:p>
    <w:p w:rsidR="00447CF8" w:rsidRDefault="00447CF8" w:rsidP="00714427">
      <w:pPr>
        <w:jc w:val="both"/>
      </w:pPr>
      <w:r>
        <w:tab/>
      </w:r>
      <w:r w:rsidRPr="009D45D7">
        <w:rPr>
          <w:position w:val="-32"/>
        </w:rPr>
        <w:object w:dxaOrig="4819" w:dyaOrig="760">
          <v:shape id="_x0000_i1392" type="#_x0000_t75" style="width:240.75pt;height:38pt" o:ole="">
            <v:imagedata r:id="rId64" o:title=""/>
          </v:shape>
          <o:OLEObject Type="Embed" ProgID="Equation.DSMT4" ShapeID="_x0000_i1392" DrawAspect="Content" ObjectID="_1732543161" r:id="rId65"/>
        </w:object>
      </w:r>
      <w:r>
        <w:tab/>
      </w:r>
      <w:r>
        <w:tab/>
      </w:r>
      <w:r>
        <w:tab/>
        <w:t>(14)</w:t>
      </w:r>
    </w:p>
    <w:p w:rsidR="00447CF8" w:rsidRDefault="00447CF8" w:rsidP="00714427">
      <w:pPr>
        <w:jc w:val="both"/>
      </w:pPr>
    </w:p>
    <w:p w:rsidR="00714427" w:rsidRDefault="00447CF8" w:rsidP="00714427">
      <w:pPr>
        <w:jc w:val="both"/>
      </w:pPr>
      <w:r>
        <w:t xml:space="preserve">If </w:t>
      </w:r>
      <w:r w:rsidRPr="00714427">
        <w:rPr>
          <w:position w:val="-12"/>
        </w:rPr>
        <w:object w:dxaOrig="560" w:dyaOrig="360">
          <v:shape id="_x0000_i1395" type="#_x0000_t75" style="width:28.05pt;height:18.15pt" o:ole="">
            <v:imagedata r:id="rId66" o:title=""/>
          </v:shape>
          <o:OLEObject Type="Embed" ProgID="Equation.DSMT4" ShapeID="_x0000_i1395" DrawAspect="Content" ObjectID="_1732543162" r:id="rId67"/>
        </w:object>
      </w:r>
      <w:r>
        <w:t xml:space="preserve"> is defined as the solution to the system</w:t>
      </w:r>
    </w:p>
    <w:p w:rsidR="00714427" w:rsidRDefault="00714427" w:rsidP="00714427">
      <w:pPr>
        <w:jc w:val="both"/>
      </w:pPr>
    </w:p>
    <w:p w:rsidR="00714427" w:rsidRDefault="00714427" w:rsidP="00714427">
      <w:pPr>
        <w:jc w:val="both"/>
      </w:pPr>
      <w:r>
        <w:tab/>
      </w:r>
      <w:r w:rsidR="00516FD0" w:rsidRPr="00516FD0">
        <w:rPr>
          <w:position w:val="-32"/>
        </w:rPr>
        <w:object w:dxaOrig="4380" w:dyaOrig="760">
          <v:shape id="_x0000_i1055" type="#_x0000_t75" style="width:218.95pt;height:38pt" o:ole="">
            <v:imagedata r:id="rId68" o:title=""/>
          </v:shape>
          <o:OLEObject Type="Embed" ProgID="Equation.DSMT4" ShapeID="_x0000_i1055" DrawAspect="Content" ObjectID="_1732543163" r:id="rId69"/>
        </w:object>
      </w:r>
      <w:r w:rsidR="00516FD0">
        <w:tab/>
      </w:r>
      <w:r w:rsidR="00516FD0">
        <w:tab/>
      </w:r>
      <w:r w:rsidR="00516FD0">
        <w:tab/>
        <w:t>(15)</w:t>
      </w:r>
    </w:p>
    <w:p w:rsidR="00714427" w:rsidRDefault="00714427" w:rsidP="00714427">
      <w:pPr>
        <w:jc w:val="both"/>
      </w:pPr>
    </w:p>
    <w:p w:rsidR="00447CF8" w:rsidRDefault="00447CF8" w:rsidP="00714427">
      <w:pPr>
        <w:jc w:val="both"/>
      </w:pPr>
      <w:r>
        <w:t xml:space="preserve">Then </w:t>
      </w:r>
      <w:r w:rsidRPr="00447CF8">
        <w:rPr>
          <w:position w:val="-10"/>
        </w:rPr>
        <w:object w:dxaOrig="240" w:dyaOrig="260">
          <v:shape id="_x0000_i1404" type="#_x0000_t75" style="width:11.9pt;height:12.9pt" o:ole="">
            <v:imagedata r:id="rId70" o:title=""/>
          </v:shape>
          <o:OLEObject Type="Embed" ProgID="Equation.DSMT4" ShapeID="_x0000_i1404" DrawAspect="Content" ObjectID="_1732543164" r:id="rId71"/>
        </w:object>
      </w:r>
      <w:r>
        <w:t xml:space="preserve"> is the discrete Green’s function for the backward linear system (13), i.e.</w:t>
      </w:r>
    </w:p>
    <w:p w:rsidR="00447CF8" w:rsidRDefault="00447CF8" w:rsidP="00714427">
      <w:pPr>
        <w:jc w:val="both"/>
      </w:pPr>
    </w:p>
    <w:p w:rsidR="00D923F9" w:rsidRDefault="00447CF8" w:rsidP="00714427">
      <w:pPr>
        <w:jc w:val="both"/>
      </w:pPr>
      <w:r>
        <w:tab/>
      </w:r>
      <w:r w:rsidR="00D923F9" w:rsidRPr="00D923F9">
        <w:rPr>
          <w:position w:val="-12"/>
        </w:rPr>
        <w:object w:dxaOrig="4580" w:dyaOrig="360">
          <v:shape id="_x0000_i1411" type="#_x0000_t75" style="width:228.9pt;height:18.15pt" o:ole="">
            <v:imagedata r:id="rId72" o:title=""/>
          </v:shape>
          <o:OLEObject Type="Embed" ProgID="Equation.DSMT4" ShapeID="_x0000_i1411" DrawAspect="Content" ObjectID="_1732543165" r:id="rId73"/>
        </w:object>
      </w:r>
      <w:r w:rsidR="00D923F9">
        <w:tab/>
      </w:r>
      <w:r w:rsidR="00D923F9">
        <w:tab/>
      </w:r>
      <w:r w:rsidR="00D923F9">
        <w:tab/>
        <w:t>(16)</w:t>
      </w:r>
    </w:p>
    <w:p w:rsidR="00447CF8" w:rsidRDefault="00447CF8" w:rsidP="00714427">
      <w:pPr>
        <w:jc w:val="both"/>
      </w:pPr>
    </w:p>
    <w:p w:rsidR="0061436F" w:rsidRDefault="00516FD0" w:rsidP="00714427">
      <w:pPr>
        <w:jc w:val="both"/>
      </w:pPr>
      <w:r>
        <w:t xml:space="preserve">Hence, (15) defines a </w:t>
      </w:r>
      <w:r w:rsidRPr="0061436F">
        <w:rPr>
          <w:i/>
        </w:rPr>
        <w:t>forward</w:t>
      </w:r>
      <w:r>
        <w:t xml:space="preserve"> scheme for the discrete Green’s function for t</w:t>
      </w:r>
      <w:r w:rsidR="0061436F">
        <w:t>he backward linear system (13). The scheme is solved by stepping forward in time</w:t>
      </w:r>
    </w:p>
    <w:p w:rsidR="0061436F" w:rsidRDefault="0061436F" w:rsidP="00714427">
      <w:pPr>
        <w:jc w:val="both"/>
      </w:pPr>
    </w:p>
    <w:p w:rsidR="0061436F" w:rsidRDefault="0061436F" w:rsidP="00714427">
      <w:pPr>
        <w:jc w:val="both"/>
      </w:pPr>
      <w:r>
        <w:tab/>
      </w:r>
      <w:r w:rsidR="00D923F9" w:rsidRPr="0061436F">
        <w:rPr>
          <w:position w:val="-12"/>
        </w:rPr>
        <w:object w:dxaOrig="1600" w:dyaOrig="360">
          <v:shape id="_x0000_i1413" type="#_x0000_t75" style="width:79.95pt;height:18.15pt" o:ole="">
            <v:imagedata r:id="rId74" o:title=""/>
          </v:shape>
          <o:OLEObject Type="Embed" ProgID="Equation.DSMT4" ShapeID="_x0000_i1413" DrawAspect="Content" ObjectID="_1732543166" r:id="rId75"/>
        </w:object>
      </w:r>
    </w:p>
    <w:p w:rsidR="0061436F" w:rsidRDefault="0061436F" w:rsidP="00714427">
      <w:pPr>
        <w:jc w:val="both"/>
      </w:pPr>
    </w:p>
    <w:p w:rsidR="0061436F" w:rsidRPr="00D923F9" w:rsidRDefault="0061436F" w:rsidP="00D923F9">
      <w:pPr>
        <w:jc w:val="both"/>
      </w:pPr>
      <w:r>
        <w:t xml:space="preserve">typically with the initial boundary condition </w:t>
      </w:r>
      <w:r w:rsidRPr="0061436F">
        <w:rPr>
          <w:position w:val="-14"/>
        </w:rPr>
        <w:object w:dxaOrig="1640" w:dyaOrig="380">
          <v:shape id="_x0000_i1111" type="#_x0000_t75" style="width:81.9pt;height:19.15pt" o:ole="">
            <v:imagedata r:id="rId76" o:title=""/>
          </v:shape>
          <o:OLEObject Type="Embed" ProgID="Equation.DSMT4" ShapeID="_x0000_i1111" DrawAspect="Content" ObjectID="_1732543167" r:id="rId77"/>
        </w:object>
      </w:r>
      <w:r w:rsidR="00D923F9">
        <w:t>.</w:t>
      </w:r>
    </w:p>
    <w:p w:rsidR="00BE10A2" w:rsidRDefault="00BE10A2">
      <w:pPr>
        <w:rPr>
          <w:b/>
        </w:rPr>
      </w:pPr>
      <w:r>
        <w:rPr>
          <w:b/>
        </w:rPr>
        <w:br w:type="page"/>
      </w:r>
    </w:p>
    <w:p w:rsidR="001D56CF" w:rsidRPr="000A5487" w:rsidRDefault="000A5487" w:rsidP="000A5487">
      <w:pPr>
        <w:jc w:val="center"/>
        <w:rPr>
          <w:b/>
        </w:rPr>
      </w:pPr>
      <w:r w:rsidRPr="000A5487">
        <w:rPr>
          <w:b/>
        </w:rPr>
        <w:lastRenderedPageBreak/>
        <w:t>Coding</w:t>
      </w:r>
      <w:r w:rsidR="0061436F">
        <w:rPr>
          <w:b/>
        </w:rPr>
        <w:t xml:space="preserve"> a Theta Solver</w:t>
      </w:r>
    </w:p>
    <w:p w:rsidR="000A5487" w:rsidRDefault="000A5487" w:rsidP="005929C0">
      <w:pPr>
        <w:jc w:val="both"/>
      </w:pPr>
      <w:r>
        <w:t xml:space="preserve">Coding a theta solver requires surprisingly little code. Actually, in terms of lines of code, </w:t>
      </w:r>
      <w:r w:rsidR="005929C0">
        <w:t xml:space="preserve">almost as compact </w:t>
      </w:r>
      <w:r w:rsidR="00B81BD4">
        <w:t xml:space="preserve">as code for </w:t>
      </w:r>
      <w:r w:rsidR="005929C0">
        <w:t>the</w:t>
      </w:r>
      <w:r>
        <w:t xml:space="preserve"> Black-Scholes formula and associated implied volatility calculator.</w:t>
      </w:r>
      <w:r w:rsidR="00342365">
        <w:t xml:space="preserve"> </w:t>
      </w:r>
    </w:p>
    <w:p w:rsidR="000A5487" w:rsidRDefault="000A5487" w:rsidP="005929C0">
      <w:pPr>
        <w:jc w:val="both"/>
      </w:pPr>
    </w:p>
    <w:p w:rsidR="000A5487" w:rsidRDefault="000A5487" w:rsidP="005929C0">
      <w:pPr>
        <w:jc w:val="both"/>
      </w:pPr>
      <w:r>
        <w:t>Consulting our GitHub repository you’ll see that we use the following components</w:t>
      </w:r>
      <w:r w:rsidR="0061436F">
        <w:t xml:space="preserve"> to implement our theta solver:</w:t>
      </w:r>
    </w:p>
    <w:p w:rsidR="00342365" w:rsidRDefault="00342365" w:rsidP="00342365"/>
    <w:p w:rsidR="00342365" w:rsidRDefault="00342365" w:rsidP="00342365">
      <w:pPr>
        <w:pStyle w:val="ListParagraph"/>
        <w:numPr>
          <w:ilvl w:val="0"/>
          <w:numId w:val="32"/>
        </w:numPr>
      </w:pPr>
      <w:r>
        <w:t>kFiniteDifference::dx() and ::dxx(): construct the first and second order difference operators in compact matrix form (6-8).</w:t>
      </w:r>
    </w:p>
    <w:p w:rsidR="00342365" w:rsidRDefault="00342365" w:rsidP="00342365"/>
    <w:p w:rsidR="00342365" w:rsidRDefault="00342365" w:rsidP="00342365">
      <w:pPr>
        <w:pStyle w:val="ListParagraph"/>
        <w:numPr>
          <w:ilvl w:val="0"/>
          <w:numId w:val="32"/>
        </w:numPr>
      </w:pPr>
      <w:r>
        <w:t xml:space="preserve">kFd1d::calcAx(): constructs the matrix </w:t>
      </w:r>
      <w:r w:rsidR="001267B1" w:rsidRPr="00342365">
        <w:rPr>
          <w:position w:val="-6"/>
        </w:rPr>
        <w:object w:dxaOrig="780" w:dyaOrig="320">
          <v:shape id="_x0000_i1056" type="#_x0000_t75" style="width:38.95pt;height:15.85pt" o:ole="">
            <v:imagedata r:id="rId78" o:title=""/>
          </v:shape>
          <o:OLEObject Type="Embed" ProgID="Equation.DSMT4" ShapeID="_x0000_i1056" DrawAspect="Content" ObjectID="_1732543168" r:id="rId79"/>
        </w:object>
      </w:r>
      <w:r w:rsidR="001267B1">
        <w:t xml:space="preserve"> used in (9-10).</w:t>
      </w:r>
    </w:p>
    <w:p w:rsidR="00342365" w:rsidRDefault="00342365" w:rsidP="00714504"/>
    <w:p w:rsidR="000A5487" w:rsidRDefault="000A5487" w:rsidP="00342365">
      <w:pPr>
        <w:pStyle w:val="ListParagraph"/>
        <w:numPr>
          <w:ilvl w:val="0"/>
          <w:numId w:val="32"/>
        </w:numPr>
      </w:pPr>
      <w:r>
        <w:t xml:space="preserve">kMatrixAlgebra::banmul(): </w:t>
      </w:r>
      <w:r w:rsidR="00342365">
        <w:t>band diagonal matrix-vector multiplication (13a).</w:t>
      </w:r>
    </w:p>
    <w:p w:rsidR="00342365" w:rsidRDefault="00342365" w:rsidP="00342365">
      <w:pPr>
        <w:pStyle w:val="ListParagraph"/>
        <w:ind w:left="1080"/>
      </w:pPr>
    </w:p>
    <w:p w:rsidR="00342365" w:rsidRDefault="00342365" w:rsidP="00342365">
      <w:pPr>
        <w:pStyle w:val="ListParagraph"/>
        <w:numPr>
          <w:ilvl w:val="0"/>
          <w:numId w:val="32"/>
        </w:numPr>
        <w:rPr>
          <w:lang w:val="sv-SE"/>
        </w:rPr>
      </w:pPr>
      <w:r w:rsidRPr="00342365">
        <w:rPr>
          <w:lang w:val="sv-SE"/>
        </w:rPr>
        <w:t>kMatrixAlgebra::tridag(): tridiago</w:t>
      </w:r>
      <w:r>
        <w:rPr>
          <w:lang w:val="sv-SE"/>
        </w:rPr>
        <w:t>nal matrix-vector solution (13b).</w:t>
      </w:r>
    </w:p>
    <w:p w:rsidR="003A3EA6" w:rsidRPr="002E5D03" w:rsidRDefault="003A3EA6" w:rsidP="003A3EA6">
      <w:pPr>
        <w:pStyle w:val="ListParagraph"/>
        <w:ind w:left="1080"/>
        <w:rPr>
          <w:lang w:val="sv-SE"/>
        </w:rPr>
      </w:pPr>
    </w:p>
    <w:p w:rsidR="0030630B" w:rsidRDefault="00342365" w:rsidP="00F428F5">
      <w:pPr>
        <w:pStyle w:val="ListParagraph"/>
        <w:numPr>
          <w:ilvl w:val="0"/>
          <w:numId w:val="32"/>
        </w:numPr>
      </w:pPr>
      <w:r>
        <w:t xml:space="preserve">kFd1d::rollBwd(): implements the backward roll </w:t>
      </w:r>
      <w:r w:rsidR="001267B1">
        <w:t>by calling the above routines.</w:t>
      </w:r>
    </w:p>
    <w:p w:rsidR="005F7664" w:rsidRDefault="005F7664" w:rsidP="005F7664">
      <w:pPr>
        <w:pStyle w:val="ListParagraph"/>
      </w:pPr>
    </w:p>
    <w:p w:rsidR="005F7664" w:rsidRDefault="005F7664" w:rsidP="00F428F5">
      <w:pPr>
        <w:pStyle w:val="ListParagraph"/>
        <w:numPr>
          <w:ilvl w:val="0"/>
          <w:numId w:val="32"/>
        </w:numPr>
      </w:pPr>
      <w:r>
        <w:t>kMatrixAlgebra::transpose(): transposes a band diagonal matrix.</w:t>
      </w:r>
    </w:p>
    <w:p w:rsidR="0030630B" w:rsidRDefault="0030630B" w:rsidP="0030630B">
      <w:pPr>
        <w:pStyle w:val="ListParagraph"/>
      </w:pPr>
    </w:p>
    <w:p w:rsidR="001267B1" w:rsidRDefault="0030630B" w:rsidP="00F428F5">
      <w:pPr>
        <w:pStyle w:val="ListParagraph"/>
        <w:numPr>
          <w:ilvl w:val="0"/>
          <w:numId w:val="32"/>
        </w:numPr>
      </w:pPr>
      <w:r>
        <w:t xml:space="preserve">kFd1d::rollFwd(): implements the forward roll </w:t>
      </w:r>
      <w:r w:rsidR="00D923F9">
        <w:t xml:space="preserve">(15) </w:t>
      </w:r>
      <w:r>
        <w:t>by calling the above routines.</w:t>
      </w:r>
      <w:r w:rsidR="001267B1">
        <w:t xml:space="preserve"> </w:t>
      </w:r>
    </w:p>
    <w:p w:rsidR="003A3EA6" w:rsidRDefault="003A3EA6" w:rsidP="003A3EA6"/>
    <w:p w:rsidR="00F428F5" w:rsidRDefault="00F428F5" w:rsidP="004A31FD">
      <w:pPr>
        <w:jc w:val="both"/>
      </w:pPr>
      <w:r>
        <w:t xml:space="preserve">The routines banmul() and tridag() are </w:t>
      </w:r>
      <w:r w:rsidR="005C47DE">
        <w:t xml:space="preserve">pretty much </w:t>
      </w:r>
      <w:r>
        <w:t>straight copies of standard routines from Numerical Recipes</w:t>
      </w:r>
      <w:r w:rsidR="00B31B0D">
        <w:t xml:space="preserve"> by Press et al (1988)</w:t>
      </w:r>
      <w:r>
        <w:t>.</w:t>
      </w:r>
    </w:p>
    <w:p w:rsidR="00F428F5" w:rsidRDefault="00F428F5" w:rsidP="004A31FD">
      <w:pPr>
        <w:jc w:val="both"/>
      </w:pPr>
    </w:p>
    <w:p w:rsidR="007924FD" w:rsidRDefault="00AC3A2F" w:rsidP="004A31FD">
      <w:pPr>
        <w:jc w:val="both"/>
      </w:pPr>
      <w:r>
        <w:t>Our code is compact</w:t>
      </w:r>
      <w:r w:rsidR="00E92943">
        <w:t xml:space="preserve"> </w:t>
      </w:r>
      <w:r>
        <w:t>and follows the mathematical matrix notat</w:t>
      </w:r>
      <w:r w:rsidR="00420E37">
        <w:t>ion used in the previous section</w:t>
      </w:r>
      <w:r>
        <w:t>. No festival of little ants like in Figure 1.</w:t>
      </w:r>
      <w:r w:rsidR="00420E37" w:rsidRPr="00420E37">
        <w:t xml:space="preserve"> </w:t>
      </w:r>
      <w:r w:rsidR="00420E37">
        <w:t xml:space="preserve">It’s </w:t>
      </w:r>
      <w:r w:rsidR="00420E37">
        <w:t>very well-shaped, IMUHO</w:t>
      </w:r>
      <w:r w:rsidR="00420E37">
        <w:rPr>
          <w:rStyle w:val="FootnoteReference"/>
        </w:rPr>
        <w:footnoteReference w:id="1"/>
      </w:r>
      <w:r w:rsidR="00420E37">
        <w:t>.</w:t>
      </w:r>
    </w:p>
    <w:p w:rsidR="007924FD" w:rsidRDefault="007924FD" w:rsidP="004A31FD">
      <w:pPr>
        <w:jc w:val="both"/>
      </w:pPr>
    </w:p>
    <w:p w:rsidR="00AC3A2F" w:rsidRDefault="007924FD" w:rsidP="004A31FD">
      <w:pPr>
        <w:jc w:val="both"/>
      </w:pPr>
      <w:r>
        <w:t xml:space="preserve">The first thing to check when you implement the theta solver is to reconcile </w:t>
      </w:r>
      <w:r w:rsidR="00E92943">
        <w:t xml:space="preserve">the </w:t>
      </w:r>
      <w:r>
        <w:t>forward and backward solution</w:t>
      </w:r>
      <w:r w:rsidR="00E92943">
        <w:t>s</w:t>
      </w:r>
      <w:r>
        <w:t>. T</w:t>
      </w:r>
      <w:r w:rsidR="00516FD0">
        <w:t xml:space="preserve">he </w:t>
      </w:r>
      <w:r>
        <w:t xml:space="preserve">sheet </w:t>
      </w:r>
      <w:r w:rsidR="00516FD0">
        <w:t xml:space="preserve">‘duality’ </w:t>
      </w:r>
      <w:r>
        <w:t xml:space="preserve">in </w:t>
      </w:r>
      <w:r w:rsidR="005A621A">
        <w:t xml:space="preserve">the </w:t>
      </w:r>
      <w:r>
        <w:t>workbook fd1d shows that this indeed the case. The values in the two green fields match.</w:t>
      </w:r>
      <w:r w:rsidR="0076691E">
        <w:t xml:space="preserve"> </w:t>
      </w:r>
    </w:p>
    <w:p w:rsidR="00F428F5" w:rsidRDefault="00F428F5" w:rsidP="004A31FD">
      <w:pPr>
        <w:jc w:val="both"/>
      </w:pPr>
    </w:p>
    <w:p w:rsidR="00446A7D" w:rsidRPr="0076691E" w:rsidRDefault="00446A7D" w:rsidP="00446A7D">
      <w:pPr>
        <w:jc w:val="center"/>
        <w:rPr>
          <w:b/>
        </w:rPr>
      </w:pPr>
      <w:r w:rsidRPr="0076691E">
        <w:rPr>
          <w:b/>
        </w:rPr>
        <w:t>How Wide the Grid?</w:t>
      </w:r>
    </w:p>
    <w:p w:rsidR="00446A7D" w:rsidRDefault="00446A7D" w:rsidP="00446A7D">
      <w:pPr>
        <w:jc w:val="both"/>
      </w:pPr>
      <w:r>
        <w:t xml:space="preserve">The rule of thumb is approximately </w:t>
      </w:r>
      <w:r w:rsidRPr="00714542">
        <w:rPr>
          <w:position w:val="-6"/>
        </w:rPr>
        <w:object w:dxaOrig="320" w:dyaOrig="279">
          <v:shape id="_x0000_i1057" type="#_x0000_t75" style="width:15.85pt;height:13.85pt" o:ole="">
            <v:imagedata r:id="rId80" o:title=""/>
          </v:shape>
          <o:OLEObject Type="Embed" ProgID="Equation.DSMT4" ShapeID="_x0000_i1057" DrawAspect="Content" ObjectID="_1732543169" r:id="rId81"/>
        </w:object>
      </w:r>
      <w:r>
        <w:t xml:space="preserve"> standard deviations. Less than this will significantly reduce accuracy and more will </w:t>
      </w:r>
      <w:r w:rsidR="005A621A">
        <w:t>just result in more exercise for</w:t>
      </w:r>
      <w:r>
        <w:t xml:space="preserve"> the electrons in the computer without any benefit. The way to think about this rule is that finite difference solution is essentially a method of numerical integration, and as such you need to cover enough of the mass of the distribution but not necessarily more than that.</w:t>
      </w:r>
    </w:p>
    <w:p w:rsidR="00446A7D" w:rsidRDefault="00446A7D" w:rsidP="00446A7D"/>
    <w:p w:rsidR="00446A7D" w:rsidRDefault="00446A7D" w:rsidP="00446A7D">
      <w:pPr>
        <w:jc w:val="both"/>
      </w:pPr>
      <w:r>
        <w:t>One modification to this rule is that for processes with significant mean-reversion, such as for example interest rate models, it appears to be a better rule to base the grid dimensioning on quadratic variation, i.e.</w:t>
      </w:r>
    </w:p>
    <w:p w:rsidR="00446A7D" w:rsidRDefault="00446A7D" w:rsidP="00446A7D"/>
    <w:p w:rsidR="00446A7D" w:rsidRDefault="00446A7D" w:rsidP="00446A7D">
      <w:r>
        <w:lastRenderedPageBreak/>
        <w:tab/>
      </w:r>
      <w:r w:rsidR="00B47BD3" w:rsidRPr="007F1937">
        <w:rPr>
          <w:position w:val="-18"/>
        </w:rPr>
        <w:object w:dxaOrig="4640" w:dyaOrig="520">
          <v:shape id="_x0000_i1345" type="#_x0000_t75" style="width:232.2pt;height:26.1pt" o:ole="">
            <v:imagedata r:id="rId82" o:title=""/>
          </v:shape>
          <o:OLEObject Type="Embed" ProgID="Equation.DSMT4" ShapeID="_x0000_i1345" DrawAspect="Content" ObjectID="_1732543170" r:id="rId83"/>
        </w:object>
      </w:r>
      <w:r>
        <w:t xml:space="preserve"> </w:t>
      </w:r>
      <w:r w:rsidR="003D4B48">
        <w:tab/>
      </w:r>
      <w:r w:rsidR="003D4B48">
        <w:tab/>
      </w:r>
      <w:r w:rsidR="003D4B48">
        <w:tab/>
      </w:r>
      <w:r w:rsidR="00730271">
        <w:t>(17</w:t>
      </w:r>
      <w:r>
        <w:t>)</w:t>
      </w:r>
    </w:p>
    <w:p w:rsidR="00446A7D" w:rsidRDefault="00446A7D" w:rsidP="00446A7D"/>
    <w:p w:rsidR="00446A7D" w:rsidRDefault="00446A7D" w:rsidP="00446A7D">
      <w:r>
        <w:t xml:space="preserve">with </w:t>
      </w:r>
      <w:r w:rsidR="00B47BD3" w:rsidRPr="00B47BD3">
        <w:rPr>
          <w:position w:val="-10"/>
        </w:rPr>
        <w:object w:dxaOrig="560" w:dyaOrig="320">
          <v:shape id="_x0000_i1347" type="#_x0000_t75" style="width:28.05pt;height:15.85pt" o:ole="">
            <v:imagedata r:id="rId84" o:title=""/>
          </v:shape>
          <o:OLEObject Type="Embed" ProgID="Equation.DSMT4" ShapeID="_x0000_i1347" DrawAspect="Content" ObjectID="_1732543171" r:id="rId85"/>
        </w:object>
      </w:r>
      <w:r>
        <w:t xml:space="preserve">. </w:t>
      </w:r>
    </w:p>
    <w:p w:rsidR="00446A7D" w:rsidRDefault="00446A7D" w:rsidP="00446A7D"/>
    <w:p w:rsidR="00446A7D" w:rsidRDefault="00446A7D" w:rsidP="00410853">
      <w:pPr>
        <w:jc w:val="both"/>
      </w:pPr>
      <w:r>
        <w:t xml:space="preserve">Another, modification is for very fat tailed distributions such as for example when stochastic volatility is involved, it appears that </w:t>
      </w:r>
      <w:r w:rsidR="00B47BD3" w:rsidRPr="00B47BD3">
        <w:rPr>
          <w:position w:val="-10"/>
        </w:rPr>
        <w:object w:dxaOrig="660" w:dyaOrig="320">
          <v:shape id="_x0000_i1349" type="#_x0000_t75" style="width:33.05pt;height:15.85pt" o:ole="">
            <v:imagedata r:id="rId86" o:title=""/>
          </v:shape>
          <o:OLEObject Type="Embed" ProgID="Equation.DSMT4" ShapeID="_x0000_i1349" DrawAspect="Content" ObjectID="_1732543172" r:id="rId87"/>
        </w:object>
      </w:r>
      <w:r>
        <w:t xml:space="preserve"> is a better number. </w:t>
      </w:r>
    </w:p>
    <w:p w:rsidR="00446A7D" w:rsidRDefault="00446A7D" w:rsidP="00410853">
      <w:pPr>
        <w:jc w:val="both"/>
      </w:pPr>
    </w:p>
    <w:p w:rsidR="00446A7D" w:rsidRDefault="002E5D03" w:rsidP="00410853">
      <w:pPr>
        <w:jc w:val="both"/>
      </w:pPr>
      <w:r>
        <w:t>In Table</w:t>
      </w:r>
      <w:r w:rsidR="00446A7D">
        <w:t xml:space="preserve"> 2 we show the impli</w:t>
      </w:r>
      <w:r>
        <w:t>ed volatility of an</w:t>
      </w:r>
      <w:r w:rsidR="00446A7D">
        <w:t xml:space="preserve"> option as function of the width of the grid.</w:t>
      </w:r>
      <w:r w:rsidR="00410853">
        <w:t xml:space="preserve"> The </w:t>
      </w:r>
      <w:r>
        <w:t xml:space="preserve">sheet ‘grid width’ </w:t>
      </w:r>
      <w:r w:rsidR="00410853">
        <w:t>has been used to generate this figure.</w:t>
      </w:r>
      <w:r w:rsidR="00DB4D0D">
        <w:t xml:space="preserve"> Note that as the grid is narrowed, probability mass builds up on the grid boundaries.</w:t>
      </w:r>
    </w:p>
    <w:p w:rsidR="0061436F" w:rsidRDefault="0061436F" w:rsidP="0061436F"/>
    <w:p w:rsidR="000E2A64" w:rsidRPr="0061436F" w:rsidRDefault="000E2A64" w:rsidP="0061436F">
      <w:pPr>
        <w:jc w:val="center"/>
        <w:rPr>
          <w:b/>
        </w:rPr>
      </w:pPr>
      <w:r w:rsidRPr="003A3EA6">
        <w:rPr>
          <w:b/>
        </w:rPr>
        <w:t>W</w:t>
      </w:r>
      <w:r w:rsidR="00F0742F">
        <w:rPr>
          <w:b/>
        </w:rPr>
        <w:t>o</w:t>
      </w:r>
      <w:r w:rsidRPr="003A3EA6">
        <w:rPr>
          <w:b/>
        </w:rPr>
        <w:t xml:space="preserve">t </w:t>
      </w:r>
      <w:r>
        <w:rPr>
          <w:b/>
        </w:rPr>
        <w:t>PDE</w:t>
      </w:r>
      <w:r w:rsidRPr="003A3EA6">
        <w:rPr>
          <w:b/>
        </w:rPr>
        <w:t>?</w:t>
      </w:r>
    </w:p>
    <w:p w:rsidR="000E2A64" w:rsidRDefault="000E2A64" w:rsidP="004A31FD">
      <w:pPr>
        <w:jc w:val="both"/>
      </w:pPr>
      <w:r>
        <w:t>I</w:t>
      </w:r>
      <w:r w:rsidR="00446A7D">
        <w:t>n many cases we</w:t>
      </w:r>
      <w:r>
        <w:t xml:space="preserve"> transform the PDE to resemble the heat equation. You can for example choose to transform the constant parameter Black-Scholes PDE</w:t>
      </w:r>
    </w:p>
    <w:p w:rsidR="000E2A64" w:rsidRDefault="000E2A64" w:rsidP="004A31FD">
      <w:pPr>
        <w:jc w:val="both"/>
      </w:pPr>
    </w:p>
    <w:p w:rsidR="000E2A64" w:rsidRDefault="000E2A64" w:rsidP="004A31FD">
      <w:pPr>
        <w:jc w:val="both"/>
      </w:pPr>
      <w:r>
        <w:tab/>
      </w:r>
      <w:r w:rsidRPr="000E2A64">
        <w:rPr>
          <w:position w:val="-24"/>
        </w:rPr>
        <w:object w:dxaOrig="2900" w:dyaOrig="620">
          <v:shape id="_x0000_i1061" type="#_x0000_t75" style="width:145pt;height:31.05pt" o:ole="">
            <v:imagedata r:id="rId88" o:title=""/>
          </v:shape>
          <o:OLEObject Type="Embed" ProgID="Equation.DSMT4" ShapeID="_x0000_i1061" DrawAspect="Content" ObjectID="_1732543173" r:id="rId89"/>
        </w:object>
      </w:r>
      <w:r>
        <w:tab/>
      </w:r>
      <w:r>
        <w:tab/>
      </w:r>
      <w:r>
        <w:tab/>
      </w:r>
      <w:r>
        <w:tab/>
      </w:r>
      <w:r>
        <w:tab/>
        <w:t>(</w:t>
      </w:r>
      <w:r w:rsidR="00730271">
        <w:t>18</w:t>
      </w:r>
      <w:r>
        <w:t>)</w:t>
      </w:r>
    </w:p>
    <w:p w:rsidR="000E2A64" w:rsidRDefault="000E2A64" w:rsidP="004A31FD">
      <w:pPr>
        <w:jc w:val="both"/>
      </w:pPr>
    </w:p>
    <w:p w:rsidR="000E2A64" w:rsidRDefault="000E2A64" w:rsidP="004A31FD">
      <w:pPr>
        <w:jc w:val="both"/>
      </w:pPr>
      <w:r>
        <w:t xml:space="preserve">to </w:t>
      </w:r>
    </w:p>
    <w:p w:rsidR="000E2A64" w:rsidRDefault="000E2A64" w:rsidP="004A31FD">
      <w:pPr>
        <w:jc w:val="both"/>
      </w:pPr>
    </w:p>
    <w:p w:rsidR="000E2A64" w:rsidRDefault="000E2A64" w:rsidP="004A31FD">
      <w:pPr>
        <w:jc w:val="both"/>
      </w:pPr>
      <w:r>
        <w:tab/>
      </w:r>
      <w:r w:rsidR="00446A7D" w:rsidRPr="000E2A64">
        <w:rPr>
          <w:position w:val="-24"/>
        </w:rPr>
        <w:object w:dxaOrig="3560" w:dyaOrig="660">
          <v:shape id="_x0000_i1062" type="#_x0000_t75" style="width:178pt;height:33.05pt" o:ole="">
            <v:imagedata r:id="rId90" o:title=""/>
          </v:shape>
          <o:OLEObject Type="Embed" ProgID="Equation.DSMT4" ShapeID="_x0000_i1062" DrawAspect="Content" ObjectID="_1732543174" r:id="rId91"/>
        </w:object>
      </w:r>
      <w:r>
        <w:tab/>
      </w:r>
      <w:r>
        <w:tab/>
      </w:r>
      <w:r>
        <w:tab/>
      </w:r>
      <w:r>
        <w:tab/>
      </w:r>
      <w:r>
        <w:tab/>
        <w:t>(</w:t>
      </w:r>
      <w:r w:rsidR="00730271">
        <w:t>19</w:t>
      </w:r>
      <w:r>
        <w:t>)</w:t>
      </w:r>
    </w:p>
    <w:p w:rsidR="000E2A64" w:rsidRDefault="000E2A64" w:rsidP="004A31FD">
      <w:pPr>
        <w:jc w:val="both"/>
      </w:pPr>
    </w:p>
    <w:p w:rsidR="00446A7D" w:rsidRDefault="00446A7D" w:rsidP="004A31FD">
      <w:pPr>
        <w:jc w:val="both"/>
      </w:pPr>
      <w:r>
        <w:t xml:space="preserve">Why would you do so? If you </w:t>
      </w:r>
      <w:r w:rsidR="00926D75">
        <w:t>don’t</w:t>
      </w:r>
      <w:r w:rsidR="00E8585B">
        <w:t>,</w:t>
      </w:r>
      <w:r w:rsidR="00926D75">
        <w:t xml:space="preserve"> </w:t>
      </w:r>
      <w:r>
        <w:t xml:space="preserve">you </w:t>
      </w:r>
      <w:r w:rsidR="00926D75">
        <w:t xml:space="preserve">can </w:t>
      </w:r>
      <w:r>
        <w:t>end up using a di</w:t>
      </w:r>
      <w:r w:rsidR="00E8585B">
        <w:t>sproportional</w:t>
      </w:r>
      <w:r w:rsidR="00926D75">
        <w:t xml:space="preserve"> num</w:t>
      </w:r>
      <w:r w:rsidR="00E8585B">
        <w:t>ber of grid points for very extreme</w:t>
      </w:r>
      <w:r w:rsidR="00926D75">
        <w:t xml:space="preserve"> levels and almost none around where they actually matter. The problem increases with maturity of the finite difference grid and it is illustrated in F</w:t>
      </w:r>
      <w:r w:rsidR="00E8585B">
        <w:t>igure 3</w:t>
      </w:r>
      <w:r w:rsidR="00926D75">
        <w:t>.</w:t>
      </w:r>
    </w:p>
    <w:p w:rsidR="00446A7D" w:rsidRDefault="00446A7D" w:rsidP="004A31FD">
      <w:pPr>
        <w:jc w:val="both"/>
      </w:pPr>
    </w:p>
    <w:p w:rsidR="00446A7D" w:rsidRDefault="00926D75" w:rsidP="004A31FD">
      <w:pPr>
        <w:jc w:val="both"/>
      </w:pPr>
      <w:r>
        <w:t>Transforming the PDE as in (</w:t>
      </w:r>
      <w:r w:rsidR="003D4B48">
        <w:t>17-18</w:t>
      </w:r>
      <w:r>
        <w:t xml:space="preserve">) increases </w:t>
      </w:r>
      <w:r w:rsidR="000E2A64">
        <w:t>the formal</w:t>
      </w:r>
      <w:r w:rsidR="002E5D03">
        <w:t xml:space="preserve"> accuracy but it can have </w:t>
      </w:r>
      <w:r w:rsidR="000E2A64">
        <w:t xml:space="preserve">drawbacks, such as for example making it more difficult to control the </w:t>
      </w:r>
      <w:r w:rsidR="00446A7D">
        <w:t>martingale property of the spot. W</w:t>
      </w:r>
      <w:r w:rsidR="003D4B48">
        <w:t>e discuss</w:t>
      </w:r>
      <w:r w:rsidR="00446A7D">
        <w:t xml:space="preserve"> this in Andreasen (2022c). The alternative to transforming the PDE is to use a non-uniform grid spacing. For </w:t>
      </w:r>
      <w:r>
        <w:t xml:space="preserve">the </w:t>
      </w:r>
      <w:r w:rsidR="00446A7D">
        <w:t>case</w:t>
      </w:r>
      <w:r>
        <w:t xml:space="preserve"> of</w:t>
      </w:r>
      <w:r w:rsidR="00446A7D">
        <w:t xml:space="preserve"> (14-15), we could choose </w:t>
      </w:r>
      <w:r>
        <w:t xml:space="preserve">to solve the PDE on </w:t>
      </w:r>
      <w:r w:rsidR="00446A7D">
        <w:t>the grid points</w:t>
      </w:r>
    </w:p>
    <w:p w:rsidR="00446A7D" w:rsidRDefault="00446A7D" w:rsidP="004A31FD">
      <w:pPr>
        <w:jc w:val="both"/>
      </w:pPr>
    </w:p>
    <w:p w:rsidR="00446A7D" w:rsidRDefault="00446A7D" w:rsidP="004A31FD">
      <w:pPr>
        <w:jc w:val="both"/>
      </w:pPr>
      <w:r>
        <w:tab/>
      </w:r>
      <w:r w:rsidRPr="00446A7D">
        <w:rPr>
          <w:position w:val="-12"/>
        </w:rPr>
        <w:object w:dxaOrig="3240" w:dyaOrig="380">
          <v:shape id="_x0000_i1063" type="#_x0000_t75" style="width:162.15pt;height:19.15pt" o:ole="">
            <v:imagedata r:id="rId92" o:title=""/>
          </v:shape>
          <o:OLEObject Type="Embed" ProgID="Equation.DSMT4" ShapeID="_x0000_i1063" DrawAspect="Content" ObjectID="_1732543175" r:id="rId93"/>
        </w:object>
      </w:r>
      <w:r>
        <w:tab/>
      </w:r>
      <w:r>
        <w:tab/>
      </w:r>
      <w:r>
        <w:tab/>
      </w:r>
      <w:r>
        <w:tab/>
      </w:r>
      <w:r>
        <w:tab/>
        <w:t>(</w:t>
      </w:r>
      <w:r w:rsidR="00730271">
        <w:t>20</w:t>
      </w:r>
      <w:r>
        <w:t>)</w:t>
      </w:r>
    </w:p>
    <w:p w:rsidR="00446A7D" w:rsidRDefault="00446A7D" w:rsidP="004A31FD">
      <w:pPr>
        <w:jc w:val="both"/>
      </w:pPr>
    </w:p>
    <w:p w:rsidR="00E8585B" w:rsidRDefault="00926D75" w:rsidP="004A31FD">
      <w:pPr>
        <w:jc w:val="both"/>
      </w:pPr>
      <w:r>
        <w:t xml:space="preserve">This will reduce </w:t>
      </w:r>
      <w:r w:rsidR="00E8585B">
        <w:t>the formal accuracy as the spacing will now be non-uniform. However, in practice, this is often a price worth paying.</w:t>
      </w:r>
    </w:p>
    <w:p w:rsidR="003D4B48" w:rsidRDefault="003D4B48" w:rsidP="004A31FD">
      <w:pPr>
        <w:jc w:val="both"/>
      </w:pPr>
    </w:p>
    <w:p w:rsidR="00367282" w:rsidRDefault="00367282" w:rsidP="00367282">
      <w:pPr>
        <w:jc w:val="center"/>
        <w:rPr>
          <w:b/>
        </w:rPr>
      </w:pPr>
      <w:r w:rsidRPr="00367282">
        <w:rPr>
          <w:b/>
        </w:rPr>
        <w:t>Grid P</w:t>
      </w:r>
      <w:r>
        <w:rPr>
          <w:b/>
        </w:rPr>
        <w:t>oint Placement</w:t>
      </w:r>
    </w:p>
    <w:p w:rsidR="00367282" w:rsidRDefault="0097066D" w:rsidP="0061436F">
      <w:pPr>
        <w:jc w:val="both"/>
      </w:pPr>
      <w:r>
        <w:t xml:space="preserve">… is somewhat more tricky than one would think. </w:t>
      </w:r>
      <w:r w:rsidR="0061436F">
        <w:t xml:space="preserve">Here we describe some of the approaches that can be used. </w:t>
      </w:r>
    </w:p>
    <w:p w:rsidR="0097066D" w:rsidRDefault="0097066D" w:rsidP="0061436F">
      <w:pPr>
        <w:jc w:val="both"/>
      </w:pPr>
    </w:p>
    <w:p w:rsidR="0097066D" w:rsidRDefault="0097066D" w:rsidP="0061436F">
      <w:pPr>
        <w:jc w:val="both"/>
      </w:pPr>
      <w:r>
        <w:t xml:space="preserve">If the strike lands on the grid point the finite difference solution will tend to undervalue the option by a quantity of order </w:t>
      </w:r>
      <w:r w:rsidRPr="0097066D">
        <w:rPr>
          <w:position w:val="-10"/>
        </w:rPr>
        <w:object w:dxaOrig="780" w:dyaOrig="360">
          <v:shape id="_x0000_i1084" type="#_x0000_t75" style="width:38.95pt;height:18.15pt" o:ole="">
            <v:imagedata r:id="rId94" o:title=""/>
          </v:shape>
          <o:OLEObject Type="Embed" ProgID="Equation.DSMT4" ShapeID="_x0000_i1084" DrawAspect="Content" ObjectID="_1732543176" r:id="rId95"/>
        </w:object>
      </w:r>
      <w:r>
        <w:t>. T</w:t>
      </w:r>
      <w:r w:rsidR="0061436F">
        <w:t>he</w:t>
      </w:r>
      <w:r>
        <w:t xml:space="preserve"> bias disappears if the strike is exactly between two grid points. For digital options the bias is </w:t>
      </w:r>
      <w:r w:rsidRPr="0097066D">
        <w:rPr>
          <w:position w:val="-10"/>
        </w:rPr>
        <w:object w:dxaOrig="680" w:dyaOrig="320">
          <v:shape id="_x0000_i1087" type="#_x0000_t75" style="width:34pt;height:15.85pt" o:ole="">
            <v:imagedata r:id="rId96" o:title=""/>
          </v:shape>
          <o:OLEObject Type="Embed" ProgID="Equation.DSMT4" ShapeID="_x0000_i1087" DrawAspect="Content" ObjectID="_1732543177" r:id="rId97"/>
        </w:object>
      </w:r>
      <w:r>
        <w:t xml:space="preserve">. This is not just an issue for the accuracy of the solution. Specifically, if the grid isn’t aligned to the strikes there </w:t>
      </w:r>
      <w:r>
        <w:lastRenderedPageBreak/>
        <w:t xml:space="preserve">will always be a noise of at least </w:t>
      </w:r>
      <w:r w:rsidRPr="0097066D">
        <w:rPr>
          <w:position w:val="-10"/>
        </w:rPr>
        <w:object w:dxaOrig="780" w:dyaOrig="360">
          <v:shape id="_x0000_i1090" type="#_x0000_t75" style="width:38.95pt;height:18.15pt" o:ole="">
            <v:imagedata r:id="rId98" o:title=""/>
          </v:shape>
          <o:OLEObject Type="Embed" ProgID="Equation.DSMT4" ShapeID="_x0000_i1090" DrawAspect="Content" ObjectID="_1732543178" r:id="rId99"/>
        </w:object>
      </w:r>
      <w:r>
        <w:t xml:space="preserve"> in the system and this will particularly affect the Greeks.</w:t>
      </w:r>
    </w:p>
    <w:p w:rsidR="0097066D" w:rsidRDefault="0097066D" w:rsidP="0061436F">
      <w:pPr>
        <w:jc w:val="both"/>
      </w:pPr>
    </w:p>
    <w:p w:rsidR="00730271" w:rsidRDefault="0097066D" w:rsidP="0061436F">
      <w:pPr>
        <w:jc w:val="both"/>
      </w:pPr>
      <w:r>
        <w:t>So ideally, grid points should be placed so strike points are symmetrically surrounded by grid points.</w:t>
      </w:r>
      <w:r w:rsidR="00743D3F">
        <w:t xml:space="preserve"> </w:t>
      </w:r>
    </w:p>
    <w:p w:rsidR="00730271" w:rsidRDefault="00730271" w:rsidP="0061436F">
      <w:pPr>
        <w:jc w:val="both"/>
      </w:pPr>
    </w:p>
    <w:p w:rsidR="0097066D" w:rsidRDefault="00743D3F" w:rsidP="0061436F">
      <w:pPr>
        <w:jc w:val="both"/>
      </w:pPr>
      <w:r>
        <w:t>An alternative</w:t>
      </w:r>
      <w:r w:rsidR="0097066D">
        <w:t xml:space="preserve"> is to smooth the payoff, i.e. to replace the payoff at level </w:t>
      </w:r>
      <w:r w:rsidR="0097066D" w:rsidRPr="0097066D">
        <w:rPr>
          <w:position w:val="-12"/>
        </w:rPr>
        <w:object w:dxaOrig="240" w:dyaOrig="360">
          <v:shape id="_x0000_i1096" type="#_x0000_t75" style="width:11.9pt;height:18.15pt" o:ole="">
            <v:imagedata r:id="rId100" o:title=""/>
          </v:shape>
          <o:OLEObject Type="Embed" ProgID="Equation.DSMT4" ShapeID="_x0000_i1096" DrawAspect="Content" ObjectID="_1732543179" r:id="rId101"/>
        </w:object>
      </w:r>
      <w:r w:rsidR="0097066D">
        <w:t xml:space="preserve"> by</w:t>
      </w:r>
    </w:p>
    <w:p w:rsidR="0097066D" w:rsidRDefault="0097066D" w:rsidP="0061436F">
      <w:pPr>
        <w:jc w:val="both"/>
      </w:pPr>
    </w:p>
    <w:p w:rsidR="0097066D" w:rsidRDefault="0097066D" w:rsidP="0061436F">
      <w:pPr>
        <w:jc w:val="both"/>
      </w:pPr>
      <w:r>
        <w:tab/>
      </w:r>
      <w:r w:rsidRPr="0097066D">
        <w:rPr>
          <w:position w:val="-30"/>
        </w:rPr>
        <w:object w:dxaOrig="2520" w:dyaOrig="680">
          <v:shape id="_x0000_i1099" type="#_x0000_t75" style="width:126.15pt;height:34pt" o:ole="">
            <v:imagedata r:id="rId102" o:title=""/>
          </v:shape>
          <o:OLEObject Type="Embed" ProgID="Equation.DSMT4" ShapeID="_x0000_i1099" DrawAspect="Content" ObjectID="_1732543180" r:id="rId103"/>
        </w:object>
      </w:r>
      <w:r>
        <w:tab/>
      </w:r>
      <w:r>
        <w:tab/>
      </w:r>
      <w:r>
        <w:tab/>
      </w:r>
      <w:r>
        <w:tab/>
      </w:r>
      <w:r>
        <w:tab/>
      </w:r>
      <w:r>
        <w:tab/>
      </w:r>
      <w:r w:rsidR="00730271">
        <w:t>(21</w:t>
      </w:r>
      <w:r>
        <w:t>)</w:t>
      </w:r>
    </w:p>
    <w:p w:rsidR="0097066D" w:rsidRDefault="0097066D" w:rsidP="0061436F">
      <w:pPr>
        <w:jc w:val="both"/>
      </w:pPr>
    </w:p>
    <w:p w:rsidR="0097066D" w:rsidRDefault="0097066D" w:rsidP="0061436F">
      <w:pPr>
        <w:jc w:val="both"/>
      </w:pPr>
      <w:r>
        <w:t>T</w:t>
      </w:r>
      <w:r w:rsidR="0061436F">
        <w:t xml:space="preserve">his is a quite effective methodology and we illustrate this in figure 4 where we show </w:t>
      </w:r>
      <w:r w:rsidR="00630D02">
        <w:t xml:space="preserve">the </w:t>
      </w:r>
      <w:r w:rsidR="0061436F">
        <w:t xml:space="preserve">implied volatility </w:t>
      </w:r>
      <w:r w:rsidR="00630D02">
        <w:t xml:space="preserve">of an option </w:t>
      </w:r>
      <w:r w:rsidR="0061436F">
        <w:t>as function of the strike when the finit</w:t>
      </w:r>
      <w:r w:rsidR="00630D02">
        <w:t>e difference grid is kept fixed, for a non-smooth</w:t>
      </w:r>
      <w:r w:rsidR="00743D3F">
        <w:t>ed</w:t>
      </w:r>
      <w:r w:rsidR="00630D02">
        <w:t xml:space="preserve"> and smoothed terminal payoff.</w:t>
      </w:r>
    </w:p>
    <w:p w:rsidR="00630D02" w:rsidRDefault="00630D02" w:rsidP="0061436F">
      <w:pPr>
        <w:jc w:val="both"/>
      </w:pPr>
    </w:p>
    <w:p w:rsidR="00DB4D0D" w:rsidRDefault="00DB4D0D" w:rsidP="0061436F">
      <w:pPr>
        <w:jc w:val="both"/>
      </w:pPr>
      <w:r>
        <w:t xml:space="preserve">What about barriers? Barriers that are monitored at discrete times should be treated like digital options. I.e. either smooth the payoff or place the grid points symmetrically around the barrier. Continuously monitored barriers can be handled by placing the barrier level on the grid and enforcing absorption on the barrier by setting volatility and drift equal to zero on the barrier: </w:t>
      </w:r>
      <w:r w:rsidRPr="00DB4D0D">
        <w:rPr>
          <w:position w:val="-10"/>
        </w:rPr>
        <w:object w:dxaOrig="999" w:dyaOrig="320">
          <v:shape id="_x0000_i1114" type="#_x0000_t75" style="width:49.85pt;height:15.85pt" o:ole="">
            <v:imagedata r:id="rId104" o:title=""/>
          </v:shape>
          <o:OLEObject Type="Embed" ProgID="Equation.DSMT4" ShapeID="_x0000_i1114" DrawAspect="Content" ObjectID="_1732543181" r:id="rId105"/>
        </w:object>
      </w:r>
      <w:r>
        <w:t>.</w:t>
      </w:r>
      <w:r w:rsidR="00943AC2">
        <w:t xml:space="preserve"> Not doing so, will result in a dramatic accuracy loss of </w:t>
      </w:r>
      <w:r w:rsidR="00943AC2" w:rsidRPr="00943AC2">
        <w:rPr>
          <w:position w:val="-10"/>
        </w:rPr>
        <w:object w:dxaOrig="859" w:dyaOrig="360">
          <v:shape id="_x0000_i1476" type="#_x0000_t75" style="width:42.95pt;height:18.15pt" o:ole="">
            <v:imagedata r:id="rId106" o:title=""/>
          </v:shape>
          <o:OLEObject Type="Embed" ProgID="Equation.DSMT4" ShapeID="_x0000_i1476" DrawAspect="Content" ObjectID="_1732543182" r:id="rId107"/>
        </w:object>
      </w:r>
      <w:r w:rsidR="00943AC2">
        <w:t>.</w:t>
      </w:r>
    </w:p>
    <w:p w:rsidR="00DB4D0D" w:rsidRDefault="00DB4D0D" w:rsidP="0061436F">
      <w:pPr>
        <w:jc w:val="both"/>
      </w:pPr>
    </w:p>
    <w:p w:rsidR="00630D02" w:rsidRDefault="00DB4D0D" w:rsidP="0061436F">
      <w:pPr>
        <w:jc w:val="both"/>
      </w:pPr>
      <w:r>
        <w:t>What about the spot? Generally, we recommend placing the spot on the grid. If it isn’t, the prices at the current time will have to be interpolated. Linear interpolation effectively corresponds to a one-step binomial tree, i.e. additional volatility will be in</w:t>
      </w:r>
      <w:r w:rsidR="00A51F38">
        <w:t xml:space="preserve">jected </w:t>
      </w:r>
      <w:r>
        <w:t>in</w:t>
      </w:r>
      <w:r w:rsidR="00A51F38">
        <w:t>to</w:t>
      </w:r>
      <w:r>
        <w:t xml:space="preserve"> the solution. In the context of local volatility models we can correct for this but it may not always be possible. Higher order interpolation schemes like splines </w:t>
      </w:r>
      <w:r w:rsidR="00A51F38">
        <w:t xml:space="preserve">and polynomials </w:t>
      </w:r>
      <w:r>
        <w:t>wil</w:t>
      </w:r>
      <w:r w:rsidR="00730271">
        <w:t>l generally produce negative</w:t>
      </w:r>
      <w:r>
        <w:t xml:space="preserve"> weights on specific points</w:t>
      </w:r>
      <w:r w:rsidR="00A51F38">
        <w:t xml:space="preserve"> and this will in turn affect stability so we don’t really like that route too much.</w:t>
      </w:r>
    </w:p>
    <w:p w:rsidR="00367282" w:rsidRDefault="00367282" w:rsidP="004A31FD">
      <w:pPr>
        <w:jc w:val="both"/>
      </w:pPr>
    </w:p>
    <w:p w:rsidR="00446A7D" w:rsidRPr="00DC682D" w:rsidRDefault="00DC682D" w:rsidP="00DC682D">
      <w:pPr>
        <w:jc w:val="center"/>
        <w:rPr>
          <w:b/>
        </w:rPr>
      </w:pPr>
      <w:r w:rsidRPr="00DC682D">
        <w:rPr>
          <w:b/>
        </w:rPr>
        <w:t>Stability</w:t>
      </w:r>
    </w:p>
    <w:p w:rsidR="003A256E" w:rsidRDefault="003A256E" w:rsidP="004A31FD">
      <w:pPr>
        <w:jc w:val="both"/>
      </w:pPr>
      <w:r>
        <w:t>Conventionally, st</w:t>
      </w:r>
      <w:r w:rsidR="00876B01">
        <w:t xml:space="preserve">ability is analysed using von </w:t>
      </w:r>
      <w:r>
        <w:t>Neumann analysis. T</w:t>
      </w:r>
      <w:r w:rsidR="00876B01">
        <w:t xml:space="preserve">he idea is to consider </w:t>
      </w:r>
      <w:r w:rsidR="003D3593">
        <w:t xml:space="preserve">eigen </w:t>
      </w:r>
      <w:r w:rsidR="00876B01">
        <w:t>solutions to (13) of the form</w:t>
      </w:r>
    </w:p>
    <w:p w:rsidR="00876B01" w:rsidRDefault="00876B01" w:rsidP="004A31FD">
      <w:pPr>
        <w:jc w:val="both"/>
      </w:pPr>
    </w:p>
    <w:p w:rsidR="00876B01" w:rsidRDefault="00876B01" w:rsidP="004A31FD">
      <w:pPr>
        <w:jc w:val="both"/>
      </w:pPr>
      <w:r>
        <w:tab/>
      </w:r>
      <w:r w:rsidR="00B47BD3" w:rsidRPr="00876B01">
        <w:rPr>
          <w:position w:val="-12"/>
        </w:rPr>
        <w:object w:dxaOrig="3879" w:dyaOrig="400">
          <v:shape id="_x0000_i1360" type="#_x0000_t75" style="width:193.85pt;height:20.15pt" o:ole="">
            <v:imagedata r:id="rId108" o:title=""/>
          </v:shape>
          <o:OLEObject Type="Embed" ProgID="Equation.DSMT4" ShapeID="_x0000_i1360" DrawAspect="Content" ObjectID="_1732543183" r:id="rId109"/>
        </w:object>
      </w:r>
      <w:r>
        <w:tab/>
      </w:r>
      <w:r>
        <w:tab/>
      </w:r>
      <w:r>
        <w:tab/>
      </w:r>
      <w:r>
        <w:tab/>
        <w:t>(</w:t>
      </w:r>
      <w:r w:rsidR="00730271">
        <w:t>22</w:t>
      </w:r>
      <w:r>
        <w:t>)</w:t>
      </w:r>
    </w:p>
    <w:p w:rsidR="003A256E" w:rsidRDefault="003A256E" w:rsidP="004A31FD">
      <w:pPr>
        <w:jc w:val="both"/>
      </w:pPr>
    </w:p>
    <w:p w:rsidR="003D3593" w:rsidRDefault="003D3593" w:rsidP="004A31FD">
      <w:pPr>
        <w:jc w:val="both"/>
      </w:pPr>
      <w:r>
        <w:t xml:space="preserve">If all eigen solutions have the property that </w:t>
      </w:r>
      <w:r w:rsidRPr="003D3593">
        <w:rPr>
          <w:position w:val="-10"/>
        </w:rPr>
        <w:object w:dxaOrig="639" w:dyaOrig="320">
          <v:shape id="_x0000_i1343" type="#_x0000_t75" style="width:32.05pt;height:15.85pt" o:ole="">
            <v:imagedata r:id="rId110" o:title=""/>
          </v:shape>
          <o:OLEObject Type="Embed" ProgID="Equation.DSMT4" ShapeID="_x0000_i1343" DrawAspect="Content" ObjectID="_1732543184" r:id="rId111"/>
        </w:object>
      </w:r>
      <w:r>
        <w:t>, then we say that the scheme is von Neumann stable. Strictly speaking, von Neumann stability is only sufficient to conclude that the scheme is convergent for the constant parameter case. However, there are</w:t>
      </w:r>
      <w:r w:rsidR="00E54CFA">
        <w:t>,</w:t>
      </w:r>
      <w:r>
        <w:t xml:space="preserve"> to my knowledge</w:t>
      </w:r>
      <w:r w:rsidR="00E54CFA">
        <w:t>,</w:t>
      </w:r>
      <w:r>
        <w:t xml:space="preserve"> no counter examples</w:t>
      </w:r>
      <w:r w:rsidR="00072E0C">
        <w:t xml:space="preserve"> of it not being sufficient for non-constant parameters</w:t>
      </w:r>
      <w:r>
        <w:t>.</w:t>
      </w:r>
      <w:r>
        <w:tab/>
      </w:r>
    </w:p>
    <w:p w:rsidR="00B47BD3" w:rsidRDefault="00B47BD3" w:rsidP="004A31FD">
      <w:pPr>
        <w:jc w:val="both"/>
      </w:pPr>
    </w:p>
    <w:p w:rsidR="0058171A" w:rsidRDefault="00B47BD3" w:rsidP="004A31FD">
      <w:pPr>
        <w:jc w:val="both"/>
      </w:pPr>
      <w:r>
        <w:t xml:space="preserve">Von Neumann stability doesn’t always imply that all transition probabilities are positive. But it means that as the number of time steps is increased the transition probabilities over multiple time steps converge to positive values, hence the numerical solution will </w:t>
      </w:r>
      <w:r w:rsidR="00F90702">
        <w:t xml:space="preserve">ultimately </w:t>
      </w:r>
      <w:r>
        <w:t>converge to the continuous time and state solution</w:t>
      </w:r>
      <w:r w:rsidR="00E54CFA">
        <w:t xml:space="preserve"> as both time and spatial steps tend to zero </w:t>
      </w:r>
      <w:r w:rsidR="00E54CFA" w:rsidRPr="00E54CFA">
        <w:rPr>
          <w:position w:val="-10"/>
        </w:rPr>
        <w:object w:dxaOrig="1640" w:dyaOrig="320">
          <v:shape id="_x0000_i1479" type="#_x0000_t75" style="width:81.9pt;height:15.85pt" o:ole="">
            <v:imagedata r:id="rId112" o:title=""/>
          </v:shape>
          <o:OLEObject Type="Embed" ProgID="Equation.DSMT4" ShapeID="_x0000_i1479" DrawAspect="Content" ObjectID="_1732543185" r:id="rId113"/>
        </w:object>
      </w:r>
      <w:r w:rsidR="00E54CFA">
        <w:t>.</w:t>
      </w:r>
    </w:p>
    <w:p w:rsidR="0058171A" w:rsidRDefault="0058171A" w:rsidP="004A31FD">
      <w:pPr>
        <w:jc w:val="both"/>
      </w:pPr>
    </w:p>
    <w:p w:rsidR="003F2A77" w:rsidRDefault="00F90702" w:rsidP="004A31FD">
      <w:pPr>
        <w:jc w:val="both"/>
      </w:pPr>
      <w:r>
        <w:lastRenderedPageBreak/>
        <w:t xml:space="preserve"> </w:t>
      </w:r>
      <w:r w:rsidR="003D3593">
        <w:t xml:space="preserve">For the </w:t>
      </w:r>
      <w:r w:rsidR="003F2A77">
        <w:t>explicit scheme</w:t>
      </w:r>
      <w:r w:rsidR="003678FB">
        <w:t xml:space="preserve">, </w:t>
      </w:r>
      <w:r w:rsidR="003678FB" w:rsidRPr="003678FB">
        <w:rPr>
          <w:position w:val="-6"/>
        </w:rPr>
        <w:object w:dxaOrig="560" w:dyaOrig="279">
          <v:shape id="_x0000_i1327" type="#_x0000_t75" style="width:28.05pt;height:13.85pt" o:ole="">
            <v:imagedata r:id="rId114" o:title=""/>
          </v:shape>
          <o:OLEObject Type="Embed" ProgID="Equation.DSMT4" ShapeID="_x0000_i1327" DrawAspect="Content" ObjectID="_1732543186" r:id="rId115"/>
        </w:object>
      </w:r>
      <w:r w:rsidR="003678FB">
        <w:t>,</w:t>
      </w:r>
      <w:r w:rsidR="003D3593">
        <w:t xml:space="preserve"> von Neumann stability is ensured </w:t>
      </w:r>
      <w:r w:rsidR="003F2A77">
        <w:t xml:space="preserve">if </w:t>
      </w:r>
      <w:r w:rsidR="003678FB">
        <w:t xml:space="preserve">and only </w:t>
      </w:r>
      <w:r w:rsidR="003F2A77">
        <w:t xml:space="preserve">the matrix </w:t>
      </w:r>
      <w:r w:rsidR="003F2A77" w:rsidRPr="003F2A77">
        <w:rPr>
          <w:b/>
          <w:position w:val="-10"/>
        </w:rPr>
        <w:object w:dxaOrig="920" w:dyaOrig="360">
          <v:shape id="_x0000_i1318" type="#_x0000_t75" style="width:45.9pt;height:18.15pt" o:ole="">
            <v:imagedata r:id="rId116" o:title=""/>
          </v:shape>
          <o:OLEObject Type="Embed" ProgID="Equation.DSMT4" ShapeID="_x0000_i1318" DrawAspect="Content" ObjectID="_1732543187" r:id="rId117"/>
        </w:object>
      </w:r>
      <w:r w:rsidR="003F2A77">
        <w:rPr>
          <w:b/>
        </w:rPr>
        <w:t xml:space="preserve"> </w:t>
      </w:r>
      <w:r w:rsidR="003678FB">
        <w:t>has only</w:t>
      </w:r>
      <w:r w:rsidR="003F2A77">
        <w:t xml:space="preserve"> non-negative elements. For the case of </w:t>
      </w:r>
      <w:r w:rsidR="003F2A77" w:rsidRPr="003F2A77">
        <w:rPr>
          <w:position w:val="-10"/>
        </w:rPr>
        <w:object w:dxaOrig="940" w:dyaOrig="320">
          <v:shape id="_x0000_i1321" type="#_x0000_t75" style="width:46.9pt;height:15.85pt" o:ole="">
            <v:imagedata r:id="rId118" o:title=""/>
          </v:shape>
          <o:OLEObject Type="Embed" ProgID="Equation.DSMT4" ShapeID="_x0000_i1321" DrawAspect="Content" ObjectID="_1732543188" r:id="rId119"/>
        </w:object>
      </w:r>
      <w:r w:rsidR="003F2A77">
        <w:t>, this requires</w:t>
      </w:r>
    </w:p>
    <w:p w:rsidR="003F2A77" w:rsidRDefault="003F2A77" w:rsidP="004A31FD">
      <w:pPr>
        <w:jc w:val="both"/>
      </w:pPr>
    </w:p>
    <w:p w:rsidR="003F2A77" w:rsidRPr="003F2A77" w:rsidRDefault="003F2A77" w:rsidP="004A31FD">
      <w:pPr>
        <w:jc w:val="both"/>
      </w:pPr>
      <w:r>
        <w:tab/>
      </w:r>
      <w:r w:rsidRPr="003F2A77">
        <w:rPr>
          <w:position w:val="-24"/>
        </w:rPr>
        <w:object w:dxaOrig="940" w:dyaOrig="660">
          <v:shape id="_x0000_i1324" type="#_x0000_t75" style="width:46.9pt;height:33.05pt" o:ole="">
            <v:imagedata r:id="rId120" o:title=""/>
          </v:shape>
          <o:OLEObject Type="Embed" ProgID="Equation.DSMT4" ShapeID="_x0000_i1324" DrawAspect="Content" ObjectID="_1732543189" r:id="rId121"/>
        </w:object>
      </w:r>
      <w:r>
        <w:tab/>
      </w:r>
      <w:r>
        <w:tab/>
      </w:r>
      <w:r>
        <w:tab/>
      </w:r>
      <w:r>
        <w:tab/>
      </w:r>
      <w:r>
        <w:tab/>
      </w:r>
      <w:r>
        <w:tab/>
      </w:r>
      <w:r>
        <w:tab/>
      </w:r>
      <w:r>
        <w:tab/>
        <w:t>(</w:t>
      </w:r>
      <w:r w:rsidR="00730271">
        <w:t>23</w:t>
      </w:r>
      <w:r>
        <w:t>)</w:t>
      </w:r>
    </w:p>
    <w:p w:rsidR="003F2A77" w:rsidRDefault="003F2A77" w:rsidP="004A31FD">
      <w:pPr>
        <w:jc w:val="both"/>
      </w:pPr>
    </w:p>
    <w:p w:rsidR="003F2A77" w:rsidRDefault="003678FB" w:rsidP="004A31FD">
      <w:pPr>
        <w:jc w:val="both"/>
      </w:pPr>
      <w:r>
        <w:t>For the case when (</w:t>
      </w:r>
      <w:r w:rsidR="00730271">
        <w:t>23</w:t>
      </w:r>
      <w:r>
        <w:t xml:space="preserve">) holds with equality, the explicit scheme corresponds to a binomial tree. In the specific example in the sheet ‘explicit’ this occurs when the number of time steps is exactly 25. </w:t>
      </w:r>
      <w:r w:rsidR="00E819FD">
        <w:t xml:space="preserve">You can wary the number of time steps to see what happens. </w:t>
      </w:r>
    </w:p>
    <w:p w:rsidR="00E819FD" w:rsidRDefault="00E819FD" w:rsidP="004A31FD">
      <w:pPr>
        <w:jc w:val="both"/>
      </w:pPr>
    </w:p>
    <w:p w:rsidR="00887617" w:rsidRDefault="003A256E" w:rsidP="00AF6134">
      <w:pPr>
        <w:jc w:val="both"/>
      </w:pPr>
      <w:r>
        <w:t xml:space="preserve">The implicit scheme, </w:t>
      </w:r>
      <w:r w:rsidRPr="003A256E">
        <w:rPr>
          <w:position w:val="-6"/>
        </w:rPr>
        <w:object w:dxaOrig="540" w:dyaOrig="279">
          <v:shape id="_x0000_i1330" type="#_x0000_t75" style="width:27.1pt;height:13.85pt" o:ole="">
            <v:imagedata r:id="rId122" o:title=""/>
          </v:shape>
          <o:OLEObject Type="Embed" ProgID="Equation.DSMT4" ShapeID="_x0000_i1330" DrawAspect="Content" ObjectID="_1732543190" r:id="rId123"/>
        </w:object>
      </w:r>
      <w:r>
        <w:t xml:space="preserve">, is </w:t>
      </w:r>
      <w:r w:rsidR="003D3593">
        <w:t>always von Neumann stable</w:t>
      </w:r>
      <w:r w:rsidR="00B47BD3">
        <w:t xml:space="preserve"> and thereby convergent</w:t>
      </w:r>
      <w:r w:rsidR="003D3593">
        <w:t>.</w:t>
      </w:r>
      <w:r w:rsidR="00AF6134">
        <w:t xml:space="preserve"> </w:t>
      </w:r>
      <w:r w:rsidR="00F25FE0">
        <w:t>For the drift less case the transition probabilities are always positive</w:t>
      </w:r>
      <w:r w:rsidR="00887617">
        <w:t>,</w:t>
      </w:r>
      <w:r w:rsidR="00F25FE0">
        <w:t xml:space="preserve"> and for constant volatility </w:t>
      </w:r>
      <w:r w:rsidR="00F25FE0" w:rsidRPr="00F25FE0">
        <w:rPr>
          <w:position w:val="-6"/>
        </w:rPr>
        <w:object w:dxaOrig="240" w:dyaOrig="220">
          <v:shape id="_x0000_i1375" type="#_x0000_t75" style="width:11.9pt;height:10.9pt" o:ole="">
            <v:imagedata r:id="rId124" o:title=""/>
          </v:shape>
          <o:OLEObject Type="Embed" ProgID="Equation.DSMT4" ShapeID="_x0000_i1375" DrawAspect="Content" ObjectID="_1732543191" r:id="rId125"/>
        </w:object>
      </w:r>
      <w:r w:rsidR="00887617">
        <w:t>,</w:t>
      </w:r>
      <w:r w:rsidR="00F25FE0">
        <w:t xml:space="preserve"> shaped like a Laplace density, i.e. </w:t>
      </w:r>
      <w:r w:rsidR="00F25FE0" w:rsidRPr="00F25FE0">
        <w:rPr>
          <w:position w:val="-6"/>
        </w:rPr>
        <w:object w:dxaOrig="460" w:dyaOrig="320">
          <v:shape id="_x0000_i1369" type="#_x0000_t75" style="width:23.1pt;height:15.85pt" o:ole="">
            <v:imagedata r:id="rId126" o:title=""/>
          </v:shape>
          <o:OLEObject Type="Embed" ProgID="Equation.DSMT4" ShapeID="_x0000_i1369" DrawAspect="Content" ObjectID="_1732543192" r:id="rId127"/>
        </w:object>
      </w:r>
      <w:r w:rsidR="00F25FE0">
        <w:t xml:space="preserve"> for some positive constant </w:t>
      </w:r>
      <w:r w:rsidR="00F25FE0" w:rsidRPr="00F25FE0">
        <w:rPr>
          <w:position w:val="-6"/>
        </w:rPr>
        <w:object w:dxaOrig="200" w:dyaOrig="279">
          <v:shape id="_x0000_i1372" type="#_x0000_t75" style="width:9.9pt;height:13.85pt" o:ole="">
            <v:imagedata r:id="rId128" o:title=""/>
          </v:shape>
          <o:OLEObject Type="Embed" ProgID="Equation.DSMT4" ShapeID="_x0000_i1372" DrawAspect="Content" ObjectID="_1732543193" r:id="rId129"/>
        </w:object>
      </w:r>
      <w:r w:rsidR="00F25FE0">
        <w:t>. When the number of time steps is increased then the density converges to a Gaussian shape. The sheet ‘implicit 1’ can be used to test this.</w:t>
      </w:r>
      <w:r w:rsidR="00887617">
        <w:t xml:space="preserve"> </w:t>
      </w:r>
    </w:p>
    <w:p w:rsidR="00887617" w:rsidRDefault="00887617" w:rsidP="004A31FD">
      <w:pPr>
        <w:jc w:val="both"/>
      </w:pPr>
    </w:p>
    <w:p w:rsidR="00887617" w:rsidRDefault="00F25FE0" w:rsidP="004A31FD">
      <w:pPr>
        <w:jc w:val="both"/>
      </w:pPr>
      <w:r>
        <w:t>When the problem has a drift, p</w:t>
      </w:r>
      <w:r w:rsidR="003D3593">
        <w:t>ositive transition probabilities are guaranteed only for the case when dynamic up- and do</w:t>
      </w:r>
      <w:r>
        <w:t>wn winding is used for the first derivative</w:t>
      </w:r>
      <w:r w:rsidR="003D3593">
        <w:t>. I</w:t>
      </w:r>
      <w:r w:rsidR="00B47BD3">
        <w:t>.e. if (10) is used rather than (9).</w:t>
      </w:r>
      <w:r>
        <w:t xml:space="preserve"> </w:t>
      </w:r>
      <w:r w:rsidR="00BD0510">
        <w:t>The sheet ‘implicit</w:t>
      </w:r>
      <w:r>
        <w:t xml:space="preserve"> 2</w:t>
      </w:r>
      <w:r w:rsidR="00BD0510">
        <w:t>’</w:t>
      </w:r>
      <w:r w:rsidR="00887617">
        <w:t xml:space="preserve"> implements this. If you recalc the sheet, the forward scheme generates transition probabilities for new random vectors </w:t>
      </w:r>
      <w:r w:rsidR="00887617" w:rsidRPr="00887617">
        <w:rPr>
          <w:position w:val="-10"/>
        </w:rPr>
        <w:object w:dxaOrig="660" w:dyaOrig="260">
          <v:shape id="_x0000_i1378" type="#_x0000_t75" style="width:33.05pt;height:12.9pt" o:ole="">
            <v:imagedata r:id="rId130" o:title=""/>
          </v:shape>
          <o:OLEObject Type="Embed" ProgID="Equation.DSMT4" ShapeID="_x0000_i1378" DrawAspect="Content" ObjectID="_1732543194" r:id="rId131"/>
        </w:object>
      </w:r>
      <w:r w:rsidR="009844AF">
        <w:t xml:space="preserve">. The </w:t>
      </w:r>
      <w:r w:rsidR="00887617">
        <w:t>produced pr</w:t>
      </w:r>
      <w:r w:rsidR="009844AF">
        <w:t>obabilities are always positive, though not always pretty.</w:t>
      </w:r>
    </w:p>
    <w:p w:rsidR="009844AF" w:rsidRDefault="009844AF" w:rsidP="004A31FD">
      <w:pPr>
        <w:jc w:val="both"/>
      </w:pPr>
    </w:p>
    <w:p w:rsidR="00AF6134" w:rsidRDefault="00447CF8" w:rsidP="004A31FD">
      <w:pPr>
        <w:jc w:val="both"/>
      </w:pPr>
      <w:r>
        <w:t xml:space="preserve">The Crank-Nicolson scheme, </w:t>
      </w:r>
      <w:r w:rsidRPr="00447CF8">
        <w:rPr>
          <w:position w:val="-6"/>
        </w:rPr>
        <w:object w:dxaOrig="740" w:dyaOrig="279">
          <v:shape id="_x0000_i1381" type="#_x0000_t75" style="width:37pt;height:13.85pt" o:ole="">
            <v:imagedata r:id="rId132" o:title=""/>
          </v:shape>
          <o:OLEObject Type="Embed" ProgID="Equation.DSMT4" ShapeID="_x0000_i1381" DrawAspect="Content" ObjectID="_1732543195" r:id="rId133"/>
        </w:object>
      </w:r>
      <w:r>
        <w:t>, is also always von Neumann stable and thereb</w:t>
      </w:r>
      <w:r w:rsidR="00730271">
        <w:t>y convergent. But</w:t>
      </w:r>
      <w:r>
        <w:t xml:space="preserve"> </w:t>
      </w:r>
      <w:r w:rsidR="00730271">
        <w:t xml:space="preserve">even for the zero drift case, </w:t>
      </w:r>
      <w:r>
        <w:t xml:space="preserve">the </w:t>
      </w:r>
      <w:r w:rsidR="00730271">
        <w:t>transition probabilities will be non-negative only if the condition (23) is satisfied for the first explicit half time step.</w:t>
      </w:r>
      <w:r w:rsidR="002E1D4E">
        <w:t xml:space="preserve"> The transition probabilities oscillate but converge to a smooth positive Gaussian form as you increase the number of time steps while keeping the </w:t>
      </w:r>
      <w:r w:rsidR="00AF6134">
        <w:t xml:space="preserve">maturity </w:t>
      </w:r>
      <w:r w:rsidR="002E1D4E">
        <w:t xml:space="preserve">constant. </w:t>
      </w:r>
      <w:r w:rsidR="00AF6134">
        <w:t>The sheet ‘cn</w:t>
      </w:r>
      <w:r w:rsidR="005A4040">
        <w:t xml:space="preserve"> 1</w:t>
      </w:r>
      <w:r w:rsidR="00AF6134">
        <w:t>’ shows this. Randall and Tavella (2000) and Andreasen (2011) provide theoretical arguments that if the grid</w:t>
      </w:r>
      <w:r w:rsidR="00803BF5">
        <w:t xml:space="preserve"> is dimensioned </w:t>
      </w:r>
      <w:r w:rsidR="00AF6134">
        <w:t xml:space="preserve">according to the </w:t>
      </w:r>
      <w:r w:rsidR="00AF6134" w:rsidRPr="00AF6134">
        <w:rPr>
          <w:position w:val="-6"/>
        </w:rPr>
        <w:object w:dxaOrig="320" w:dyaOrig="279">
          <v:shape id="_x0000_i1417" type="#_x0000_t75" style="width:15.85pt;height:13.85pt" o:ole="">
            <v:imagedata r:id="rId134" o:title=""/>
          </v:shape>
          <o:OLEObject Type="Embed" ProgID="Equation.DSMT4" ShapeID="_x0000_i1417" DrawAspect="Content" ObjectID="_1732543196" r:id="rId135"/>
        </w:object>
      </w:r>
      <w:r w:rsidR="00AF6134">
        <w:t xml:space="preserve"> standard deviations rule, then the number of time steps should be roughly half of the number of spatial steps: </w:t>
      </w:r>
      <w:r w:rsidR="00AF6134" w:rsidRPr="00AF6134">
        <w:rPr>
          <w:position w:val="-6"/>
        </w:rPr>
        <w:object w:dxaOrig="900" w:dyaOrig="279">
          <v:shape id="_x0000_i1420" type="#_x0000_t75" style="width:44.9pt;height:13.85pt" o:ole="">
            <v:imagedata r:id="rId136" o:title=""/>
          </v:shape>
          <o:OLEObject Type="Embed" ProgID="Equation.DSMT4" ShapeID="_x0000_i1420" DrawAspect="Content" ObjectID="_1732543197" r:id="rId137"/>
        </w:object>
      </w:r>
      <w:r w:rsidR="00AF6134">
        <w:t xml:space="preserve">. </w:t>
      </w:r>
    </w:p>
    <w:p w:rsidR="00AF6134" w:rsidRDefault="00AF6134" w:rsidP="004A31FD">
      <w:pPr>
        <w:jc w:val="both"/>
      </w:pPr>
    </w:p>
    <w:p w:rsidR="002E1D4E" w:rsidRDefault="005A4040" w:rsidP="004A31FD">
      <w:pPr>
        <w:jc w:val="both"/>
      </w:pPr>
      <w:r>
        <w:t xml:space="preserve">Moderate drift is generally not a practical problem for the convergence of any of the finite difference methods. But for problems with very strong drift relative to the diffusion the only </w:t>
      </w:r>
      <w:r w:rsidR="00E21933">
        <w:t xml:space="preserve">bullet proof </w:t>
      </w:r>
      <w:r>
        <w:t>cure is really dynamic up- and down-winding</w:t>
      </w:r>
      <w:r w:rsidR="007A587D">
        <w:t xml:space="preserve"> </w:t>
      </w:r>
      <w:r w:rsidR="00FF6843">
        <w:t>and/</w:t>
      </w:r>
      <w:r w:rsidR="007A587D">
        <w:t>or transforms to remove or reduce the drift.</w:t>
      </w:r>
    </w:p>
    <w:p w:rsidR="00DC682D" w:rsidRDefault="00DC682D" w:rsidP="004A31FD">
      <w:pPr>
        <w:jc w:val="both"/>
      </w:pPr>
    </w:p>
    <w:p w:rsidR="00446A7D" w:rsidRPr="00410853" w:rsidRDefault="00410853" w:rsidP="00410853">
      <w:pPr>
        <w:jc w:val="center"/>
        <w:rPr>
          <w:b/>
        </w:rPr>
      </w:pPr>
      <w:r w:rsidRPr="00410853">
        <w:rPr>
          <w:b/>
        </w:rPr>
        <w:t>Accuracy</w:t>
      </w:r>
    </w:p>
    <w:p w:rsidR="000E2A64" w:rsidRDefault="00410853" w:rsidP="004A31FD">
      <w:pPr>
        <w:jc w:val="both"/>
      </w:pPr>
      <w:r>
        <w:t xml:space="preserve">Using (12) its straightforward to verify that the accuracy of each step in (13) is </w:t>
      </w:r>
      <w:r w:rsidRPr="00773053">
        <w:rPr>
          <w:position w:val="-10"/>
        </w:rPr>
        <w:object w:dxaOrig="760" w:dyaOrig="360">
          <v:shape id="_x0000_i1064" type="#_x0000_t75" style="width:38pt;height:18.15pt" o:ole="">
            <v:imagedata r:id="rId138" o:title=""/>
          </v:shape>
          <o:OLEObject Type="Embed" ProgID="Equation.DSMT4" ShapeID="_x0000_i1064" DrawAspect="Content" ObjectID="_1732543198" r:id="rId139"/>
        </w:object>
      </w:r>
      <w:r>
        <w:t xml:space="preserve"> for </w:t>
      </w:r>
      <w:r w:rsidRPr="00773053">
        <w:rPr>
          <w:position w:val="-6"/>
        </w:rPr>
        <w:object w:dxaOrig="820" w:dyaOrig="279">
          <v:shape id="_x0000_i1065" type="#_x0000_t75" style="width:40.95pt;height:13.85pt" o:ole="">
            <v:imagedata r:id="rId140" o:title=""/>
          </v:shape>
          <o:OLEObject Type="Embed" ProgID="Equation.DSMT4" ShapeID="_x0000_i1065" DrawAspect="Content" ObjectID="_1732543199" r:id="rId141"/>
        </w:object>
      </w:r>
      <w:r>
        <w:t xml:space="preserve"> and </w:t>
      </w:r>
      <w:r w:rsidRPr="00773053">
        <w:rPr>
          <w:position w:val="-10"/>
        </w:rPr>
        <w:object w:dxaOrig="740" w:dyaOrig="360">
          <v:shape id="_x0000_i1066" type="#_x0000_t75" style="width:37pt;height:18.15pt" o:ole="">
            <v:imagedata r:id="rId142" o:title=""/>
          </v:shape>
          <o:OLEObject Type="Embed" ProgID="Equation.DSMT4" ShapeID="_x0000_i1066" DrawAspect="Content" ObjectID="_1732543200" r:id="rId143"/>
        </w:object>
      </w:r>
      <w:r>
        <w:t xml:space="preserve"> for </w:t>
      </w:r>
      <w:r w:rsidRPr="00773053">
        <w:rPr>
          <w:position w:val="-6"/>
        </w:rPr>
        <w:object w:dxaOrig="820" w:dyaOrig="279">
          <v:shape id="_x0000_i1067" type="#_x0000_t75" style="width:40.95pt;height:13.85pt" o:ole="">
            <v:imagedata r:id="rId144" o:title=""/>
          </v:shape>
          <o:OLEObject Type="Embed" ProgID="Equation.DSMT4" ShapeID="_x0000_i1067" DrawAspect="Content" ObjectID="_1732543201" r:id="rId145"/>
        </w:object>
      </w:r>
      <w:r>
        <w:t xml:space="preserve">. As </w:t>
      </w:r>
      <w:r w:rsidR="00FF6843">
        <w:t xml:space="preserve">the </w:t>
      </w:r>
      <w:r>
        <w:t xml:space="preserve">solution of (13) is repeated </w:t>
      </w:r>
      <w:r w:rsidRPr="001D56CF">
        <w:rPr>
          <w:position w:val="-10"/>
        </w:rPr>
        <w:object w:dxaOrig="820" w:dyaOrig="360">
          <v:shape id="_x0000_i1068" type="#_x0000_t75" style="width:40.95pt;height:18.15pt" o:ole="">
            <v:imagedata r:id="rId146" o:title=""/>
          </v:shape>
          <o:OLEObject Type="Embed" ProgID="Equation.DSMT4" ShapeID="_x0000_i1068" DrawAspect="Content" ObjectID="_1732543202" r:id="rId147"/>
        </w:object>
      </w:r>
      <w:r>
        <w:t xml:space="preserve"> times, the accuracy of the total scheme is </w:t>
      </w:r>
      <w:r w:rsidRPr="001D56CF">
        <w:rPr>
          <w:position w:val="-10"/>
        </w:rPr>
        <w:object w:dxaOrig="660" w:dyaOrig="320">
          <v:shape id="_x0000_i1069" type="#_x0000_t75" style="width:33.05pt;height:15.85pt" o:ole="">
            <v:imagedata r:id="rId148" o:title=""/>
          </v:shape>
          <o:OLEObject Type="Embed" ProgID="Equation.DSMT4" ShapeID="_x0000_i1069" DrawAspect="Content" ObjectID="_1732543203" r:id="rId149"/>
        </w:object>
      </w:r>
      <w:r>
        <w:t xml:space="preserve"> for the explicit and implicit schemes and </w:t>
      </w:r>
      <w:r w:rsidRPr="001D56CF">
        <w:rPr>
          <w:position w:val="-10"/>
        </w:rPr>
        <w:object w:dxaOrig="760" w:dyaOrig="360">
          <v:shape id="_x0000_i1070" type="#_x0000_t75" style="width:38pt;height:18.15pt" o:ole="">
            <v:imagedata r:id="rId150" o:title=""/>
          </v:shape>
          <o:OLEObject Type="Embed" ProgID="Equation.DSMT4" ShapeID="_x0000_i1070" DrawAspect="Content" ObjectID="_1732543204" r:id="rId151"/>
        </w:object>
      </w:r>
      <w:r>
        <w:t xml:space="preserve"> for the Crank-Nicolson scheme.</w:t>
      </w:r>
      <w:r w:rsidR="009D7ABD">
        <w:t xml:space="preserve"> </w:t>
      </w:r>
    </w:p>
    <w:p w:rsidR="009D7ABD" w:rsidRDefault="009D7ABD" w:rsidP="004A31FD">
      <w:pPr>
        <w:jc w:val="both"/>
      </w:pPr>
    </w:p>
    <w:p w:rsidR="009D7ABD" w:rsidRDefault="009D7ABD" w:rsidP="004A31FD">
      <w:pPr>
        <w:jc w:val="both"/>
      </w:pPr>
      <w:r>
        <w:t xml:space="preserve">Taylor expansion </w:t>
      </w:r>
      <w:r w:rsidR="00FF6843">
        <w:t>can be used to show</w:t>
      </w:r>
      <w:r>
        <w:t xml:space="preserve"> that </w:t>
      </w:r>
    </w:p>
    <w:p w:rsidR="009D7ABD" w:rsidRDefault="009D7ABD" w:rsidP="004A31FD">
      <w:pPr>
        <w:jc w:val="both"/>
      </w:pPr>
    </w:p>
    <w:p w:rsidR="009D7ABD" w:rsidRDefault="009D7ABD" w:rsidP="004A31FD">
      <w:pPr>
        <w:jc w:val="both"/>
      </w:pPr>
      <w:r>
        <w:lastRenderedPageBreak/>
        <w:tab/>
      </w:r>
      <w:r w:rsidR="00FF6843" w:rsidRPr="00FF6843">
        <w:rPr>
          <w:position w:val="-50"/>
        </w:rPr>
        <w:object w:dxaOrig="2560" w:dyaOrig="1160">
          <v:shape id="_x0000_i1435" type="#_x0000_t75" style="width:127.8pt;height:58.15pt" o:ole="">
            <v:imagedata r:id="rId152" o:title=""/>
          </v:shape>
          <o:OLEObject Type="Embed" ProgID="Equation.DSMT4" ShapeID="_x0000_i1435" DrawAspect="Content" ObjectID="_1732543205" r:id="rId153"/>
        </w:object>
      </w:r>
      <w:r w:rsidR="00FF6843">
        <w:tab/>
      </w:r>
      <w:r w:rsidR="00FF6843">
        <w:tab/>
      </w:r>
      <w:r w:rsidR="00FF6843">
        <w:tab/>
      </w:r>
      <w:r w:rsidR="00FF6843">
        <w:tab/>
      </w:r>
      <w:r w:rsidR="00FF6843">
        <w:tab/>
      </w:r>
      <w:r w:rsidR="00FF6843">
        <w:tab/>
        <w:t>(24)</w:t>
      </w:r>
    </w:p>
    <w:p w:rsidR="00FF6843" w:rsidRDefault="00FF6843" w:rsidP="004A31FD">
      <w:pPr>
        <w:jc w:val="both"/>
      </w:pPr>
    </w:p>
    <w:p w:rsidR="00FF6843" w:rsidRDefault="00FF6843" w:rsidP="004A31FD">
      <w:pPr>
        <w:jc w:val="both"/>
      </w:pPr>
      <w:r>
        <w:t xml:space="preserve">and </w:t>
      </w:r>
    </w:p>
    <w:p w:rsidR="00FF6843" w:rsidRDefault="00FF6843" w:rsidP="004A31FD">
      <w:pPr>
        <w:jc w:val="both"/>
      </w:pPr>
    </w:p>
    <w:p w:rsidR="00FF6843" w:rsidRDefault="00FF6843" w:rsidP="00FF6843">
      <w:pPr>
        <w:ind w:firstLine="720"/>
        <w:jc w:val="both"/>
      </w:pPr>
      <w:r w:rsidRPr="00A657D8">
        <w:rPr>
          <w:position w:val="-30"/>
        </w:rPr>
        <w:object w:dxaOrig="5960" w:dyaOrig="720">
          <v:shape id="_x0000_i1432" type="#_x0000_t75" style="width:297.9pt;height:36pt" o:ole="">
            <v:imagedata r:id="rId154" o:title=""/>
          </v:shape>
          <o:OLEObject Type="Embed" ProgID="Equation.DSMT4" ShapeID="_x0000_i1432" DrawAspect="Content" ObjectID="_1732543206" r:id="rId155"/>
        </w:object>
      </w:r>
      <w:r>
        <w:tab/>
        <w:t>(25)</w:t>
      </w:r>
    </w:p>
    <w:p w:rsidR="00FF6843" w:rsidRDefault="00FF6843" w:rsidP="00FF6843">
      <w:pPr>
        <w:jc w:val="both"/>
      </w:pPr>
    </w:p>
    <w:p w:rsidR="00FF6843" w:rsidRDefault="00FF6843" w:rsidP="00FF6843">
      <w:pPr>
        <w:jc w:val="both"/>
      </w:pPr>
      <w:r>
        <w:t>So in summary</w:t>
      </w:r>
      <w:r w:rsidR="00BE10A2">
        <w:t xml:space="preserve">, the implicit and explicit schemes have accuracies of </w:t>
      </w:r>
      <w:r w:rsidRPr="00FF6843">
        <w:rPr>
          <w:position w:val="-10"/>
        </w:rPr>
        <w:object w:dxaOrig="1219" w:dyaOrig="360">
          <v:shape id="_x0000_i1441" type="#_x0000_t75" style="width:61.1pt;height:18.15pt" o:ole="">
            <v:imagedata r:id="rId156" o:title=""/>
          </v:shape>
          <o:OLEObject Type="Embed" ProgID="Equation.DSMT4" ShapeID="_x0000_i1441" DrawAspect="Content" ObjectID="_1732543207" r:id="rId157"/>
        </w:object>
      </w:r>
      <w:r w:rsidR="00BE10A2">
        <w:t xml:space="preserve">, whereas the Crank-Nicolson scheme has an accuracy of </w:t>
      </w:r>
      <w:r w:rsidR="00BE10A2" w:rsidRPr="00BE10A2">
        <w:rPr>
          <w:position w:val="-10"/>
        </w:rPr>
        <w:object w:dxaOrig="1320" w:dyaOrig="360">
          <v:shape id="_x0000_i1467" type="#_x0000_t75" style="width:66.05pt;height:18.15pt" o:ole="">
            <v:imagedata r:id="rId158" o:title=""/>
          </v:shape>
          <o:OLEObject Type="Embed" ProgID="Equation.DSMT4" ShapeID="_x0000_i1467" DrawAspect="Content" ObjectID="_1732543208" r:id="rId159"/>
        </w:object>
      </w:r>
      <w:r w:rsidR="00BE10A2">
        <w:t xml:space="preserve">. The accuracies drop to respectively </w:t>
      </w:r>
      <w:r w:rsidR="00BE10A2" w:rsidRPr="00BE10A2">
        <w:rPr>
          <w:position w:val="-10"/>
        </w:rPr>
        <w:object w:dxaOrig="1120" w:dyaOrig="320">
          <v:shape id="_x0000_i1470" type="#_x0000_t75" style="width:56.15pt;height:15.85pt" o:ole="">
            <v:imagedata r:id="rId160" o:title=""/>
          </v:shape>
          <o:OLEObject Type="Embed" ProgID="Equation.DSMT4" ShapeID="_x0000_i1470" DrawAspect="Content" ObjectID="_1732543209" r:id="rId161"/>
        </w:object>
      </w:r>
      <w:r w:rsidR="00BE10A2">
        <w:t xml:space="preserve"> and </w:t>
      </w:r>
      <w:r w:rsidR="00BE10A2" w:rsidRPr="00BE10A2">
        <w:rPr>
          <w:position w:val="-10"/>
        </w:rPr>
        <w:object w:dxaOrig="1320" w:dyaOrig="360">
          <v:shape id="_x0000_i1473" type="#_x0000_t75" style="width:66.05pt;height:18.15pt" o:ole="">
            <v:imagedata r:id="rId162" o:title=""/>
          </v:shape>
          <o:OLEObject Type="Embed" ProgID="Equation.DSMT4" ShapeID="_x0000_i1473" DrawAspect="Content" ObjectID="_1732543210" r:id="rId163"/>
        </w:object>
      </w:r>
      <w:r w:rsidR="00BE10A2">
        <w:t xml:space="preserve"> if up- and down-winding is used.</w:t>
      </w:r>
    </w:p>
    <w:p w:rsidR="00BE10A2" w:rsidRDefault="00BE10A2" w:rsidP="00FF6843">
      <w:pPr>
        <w:jc w:val="both"/>
      </w:pPr>
    </w:p>
    <w:p w:rsidR="00BE10A2" w:rsidRDefault="00BE10A2" w:rsidP="00FF6843">
      <w:pPr>
        <w:jc w:val="both"/>
      </w:pPr>
      <w:bookmarkStart w:id="0" w:name="_GoBack"/>
      <w:bookmarkEnd w:id="0"/>
    </w:p>
    <w:p w:rsidR="00BE10A2" w:rsidRDefault="00BE10A2" w:rsidP="00FF6843">
      <w:pPr>
        <w:jc w:val="both"/>
      </w:pPr>
    </w:p>
    <w:p w:rsidR="00BE10A2" w:rsidRDefault="00BE10A2" w:rsidP="00FF6843">
      <w:pPr>
        <w:jc w:val="both"/>
      </w:pPr>
    </w:p>
    <w:p w:rsidR="000E2A64" w:rsidRDefault="00FF6843" w:rsidP="00FF6843">
      <w:pPr>
        <w:jc w:val="both"/>
      </w:pPr>
      <w:r>
        <w:tab/>
      </w:r>
    </w:p>
    <w:p w:rsidR="00FF6843" w:rsidRDefault="00FF6843" w:rsidP="00FF6843">
      <w:pPr>
        <w:ind w:firstLine="720"/>
        <w:jc w:val="both"/>
      </w:pPr>
    </w:p>
    <w:p w:rsidR="00FF6843" w:rsidRDefault="00FF6843" w:rsidP="00FF6843">
      <w:pPr>
        <w:jc w:val="both"/>
      </w:pPr>
    </w:p>
    <w:p w:rsidR="000E2A64" w:rsidRDefault="000E2A64" w:rsidP="004A31FD">
      <w:pPr>
        <w:jc w:val="both"/>
      </w:pPr>
    </w:p>
    <w:p w:rsidR="00D06F3E" w:rsidRPr="003A3EA6" w:rsidRDefault="00D06F3E" w:rsidP="003A3EA6">
      <w:pPr>
        <w:jc w:val="center"/>
        <w:rPr>
          <w:b/>
        </w:rPr>
      </w:pPr>
    </w:p>
    <w:p w:rsidR="0076691E" w:rsidRDefault="0076691E" w:rsidP="001267B1"/>
    <w:p w:rsidR="000E2A64" w:rsidRDefault="000E2A64" w:rsidP="001267B1"/>
    <w:p w:rsidR="000E2A64" w:rsidRDefault="000E2A64" w:rsidP="001267B1"/>
    <w:p w:rsidR="0076691E" w:rsidRDefault="0076691E" w:rsidP="001267B1"/>
    <w:p w:rsidR="0076691E" w:rsidRDefault="0076691E" w:rsidP="001267B1">
      <w:r>
        <w:tab/>
      </w:r>
    </w:p>
    <w:p w:rsidR="00F428F5" w:rsidRDefault="00F428F5"/>
    <w:p w:rsidR="00F428F5" w:rsidRDefault="00F428F5">
      <w:r>
        <w:br w:type="page"/>
      </w:r>
    </w:p>
    <w:p w:rsidR="00AC3A2F" w:rsidRDefault="00AC3A2F" w:rsidP="001267B1"/>
    <w:p w:rsidR="00AC3A2F" w:rsidRPr="00F428F5" w:rsidRDefault="00EE63DC" w:rsidP="00F428F5">
      <w:pPr>
        <w:jc w:val="center"/>
        <w:rPr>
          <w:b/>
        </w:rPr>
      </w:pPr>
      <w:r>
        <w:rPr>
          <w:b/>
        </w:rPr>
        <w:t xml:space="preserve">Figure 1: </w:t>
      </w:r>
      <w:r w:rsidR="00F428F5" w:rsidRPr="00F428F5">
        <w:rPr>
          <w:b/>
        </w:rPr>
        <w:t>Ants</w:t>
      </w:r>
      <w:r>
        <w:rPr>
          <w:b/>
        </w:rPr>
        <w:t xml:space="preserve"> in Your Pants</w:t>
      </w:r>
    </w:p>
    <w:p w:rsidR="00AC3A2F" w:rsidRDefault="00F428F5" w:rsidP="00F428F5">
      <w:pPr>
        <w:jc w:val="center"/>
      </w:pPr>
      <w:r w:rsidRPr="00F428F5">
        <w:rPr>
          <w:noProof/>
        </w:rPr>
        <w:drawing>
          <wp:inline distT="0" distB="0" distL="0" distR="0">
            <wp:extent cx="2856230" cy="1602105"/>
            <wp:effectExtent l="0" t="0" r="1270" b="0"/>
            <wp:docPr id="2" name="Picture 2" descr="C:\Users\saxouser\Pictures\Saved Pictures\ivan olsens my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saxouser\Pictures\Saved Pictures\ivan olsens myrer.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856230" cy="1602105"/>
                    </a:xfrm>
                    <a:prstGeom prst="rect">
                      <a:avLst/>
                    </a:prstGeom>
                    <a:noFill/>
                    <a:ln>
                      <a:noFill/>
                    </a:ln>
                  </pic:spPr>
                </pic:pic>
              </a:graphicData>
            </a:graphic>
          </wp:inline>
        </w:drawing>
      </w:r>
    </w:p>
    <w:p w:rsidR="00A14C3A" w:rsidRDefault="00F428F5" w:rsidP="00F428F5">
      <w:pPr>
        <w:jc w:val="center"/>
      </w:pPr>
      <w:r>
        <w:t>Finite difference code doesn’t have to look like this.</w:t>
      </w:r>
      <w:r w:rsidR="00A14C3A">
        <w:t xml:space="preserve"> </w:t>
      </w:r>
    </w:p>
    <w:p w:rsidR="00342365" w:rsidRDefault="00342365" w:rsidP="00342365"/>
    <w:p w:rsidR="00342365" w:rsidRDefault="00342365" w:rsidP="00342365"/>
    <w:p w:rsidR="00342365" w:rsidRDefault="00342365" w:rsidP="00342365"/>
    <w:p w:rsidR="00E96AE0" w:rsidRDefault="00926D75" w:rsidP="00E96AE0">
      <w:pPr>
        <w:jc w:val="center"/>
        <w:rPr>
          <w:b/>
        </w:rPr>
      </w:pPr>
      <w:r>
        <w:br w:type="page"/>
      </w:r>
      <w:r w:rsidR="00F0742F">
        <w:rPr>
          <w:b/>
        </w:rPr>
        <w:lastRenderedPageBreak/>
        <w:t>Table</w:t>
      </w:r>
      <w:r w:rsidR="00E96AE0">
        <w:rPr>
          <w:b/>
        </w:rPr>
        <w:t xml:space="preserve"> 2: Option Price as Function of Grid Width</w:t>
      </w:r>
    </w:p>
    <w:p w:rsidR="00F0742F" w:rsidRDefault="00F0742F" w:rsidP="00E96AE0">
      <w:pPr>
        <w:jc w:val="center"/>
        <w:rPr>
          <w:b/>
        </w:rPr>
      </w:pPr>
    </w:p>
    <w:tbl>
      <w:tblPr>
        <w:tblStyle w:val="TableGrid"/>
        <w:tblW w:w="0" w:type="auto"/>
        <w:tblInd w:w="1555" w:type="dxa"/>
        <w:tblLook w:val="04A0" w:firstRow="1" w:lastRow="0" w:firstColumn="1" w:lastColumn="0" w:noHBand="0" w:noVBand="1"/>
      </w:tblPr>
      <w:tblGrid>
        <w:gridCol w:w="2593"/>
        <w:gridCol w:w="2793"/>
      </w:tblGrid>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num std</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imp vol</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1</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0.098001088456667</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2</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0.100039426492236</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3</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0.100056953428725</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4</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0.100056956186182</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5</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6</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7</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8</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9</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r w:rsidR="00F0742F" w:rsidTr="00F0742F">
        <w:tc>
          <w:tcPr>
            <w:tcW w:w="25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10</w:t>
            </w:r>
          </w:p>
        </w:tc>
        <w:tc>
          <w:tcPr>
            <w:tcW w:w="2793" w:type="dxa"/>
            <w:vAlign w:val="bottom"/>
          </w:tcPr>
          <w:p w:rsidR="00F0742F" w:rsidRDefault="00F0742F" w:rsidP="00F0742F">
            <w:pPr>
              <w:jc w:val="center"/>
              <w:rPr>
                <w:rFonts w:ascii="Calibri" w:hAnsi="Calibri" w:cs="Calibri"/>
                <w:color w:val="000000"/>
                <w:sz w:val="22"/>
                <w:szCs w:val="22"/>
              </w:rPr>
            </w:pPr>
            <w:r>
              <w:rPr>
                <w:rFonts w:ascii="Calibri" w:hAnsi="Calibri" w:cs="Calibri"/>
                <w:color w:val="000000"/>
                <w:sz w:val="22"/>
                <w:szCs w:val="22"/>
              </w:rPr>
              <w:t>0.100056956190353</w:t>
            </w:r>
          </w:p>
        </w:tc>
      </w:tr>
    </w:tbl>
    <w:p w:rsidR="00F0742F" w:rsidRDefault="00F0742F" w:rsidP="00824937">
      <w:pPr>
        <w:jc w:val="both"/>
      </w:pPr>
    </w:p>
    <w:p w:rsidR="00E96AE0" w:rsidRPr="00F0742F" w:rsidRDefault="00F0742F" w:rsidP="00824937">
      <w:pPr>
        <w:jc w:val="both"/>
      </w:pPr>
      <w:r>
        <w:t xml:space="preserve">Finite difference solution for different grid width specified in number of standard deviations </w:t>
      </w:r>
      <w:r w:rsidR="00B47BD3" w:rsidRPr="00F0742F">
        <w:rPr>
          <w:position w:val="-10"/>
        </w:rPr>
        <w:object w:dxaOrig="1120" w:dyaOrig="320">
          <v:shape id="_x0000_i1351" type="#_x0000_t75" style="width:56.15pt;height:15.85pt" o:ole="">
            <v:imagedata r:id="rId165" o:title=""/>
          </v:shape>
          <o:OLEObject Type="Embed" ProgID="Equation.DSMT4" ShapeID="_x0000_i1351" DrawAspect="Content" ObjectID="_1732543211" r:id="rId166"/>
        </w:object>
      </w:r>
      <w:r>
        <w:t xml:space="preserve"> and </w:t>
      </w:r>
      <w:r w:rsidRPr="00F0742F">
        <w:rPr>
          <w:position w:val="-6"/>
        </w:rPr>
        <w:object w:dxaOrig="999" w:dyaOrig="279">
          <v:shape id="_x0000_i1072" type="#_x0000_t75" style="width:49.85pt;height:13.85pt" o:ole="">
            <v:imagedata r:id="rId167" o:title=""/>
          </v:shape>
          <o:OLEObject Type="Embed" ProgID="Equation.DSMT4" ShapeID="_x0000_i1072" DrawAspect="Content" ObjectID="_1732543212" r:id="rId168"/>
        </w:object>
      </w:r>
      <w:r>
        <w:t xml:space="preserve"> held constant. Other parameters are </w:t>
      </w:r>
      <w:r w:rsidR="00367282" w:rsidRPr="00F0742F">
        <w:rPr>
          <w:position w:val="-12"/>
        </w:rPr>
        <w:object w:dxaOrig="6200" w:dyaOrig="360">
          <v:shape id="_x0000_i1073" type="#_x0000_t75" style="width:310.15pt;height:18.15pt" o:ole="">
            <v:imagedata r:id="rId169" o:title=""/>
          </v:shape>
          <o:OLEObject Type="Embed" ProgID="Equation.DSMT4" ShapeID="_x0000_i1073" DrawAspect="Content" ObjectID="_1732543213" r:id="rId170"/>
        </w:object>
      </w:r>
      <w:r>
        <w:t xml:space="preserve">. See sheet ‘grid width’. </w:t>
      </w:r>
    </w:p>
    <w:p w:rsidR="00824937" w:rsidRPr="00824937" w:rsidRDefault="00824937" w:rsidP="00824937">
      <w:pPr>
        <w:jc w:val="both"/>
      </w:pPr>
    </w:p>
    <w:p w:rsidR="00F0742F" w:rsidRDefault="00F0742F">
      <w:pPr>
        <w:rPr>
          <w:b/>
        </w:rPr>
      </w:pPr>
      <w:r>
        <w:rPr>
          <w:b/>
        </w:rPr>
        <w:br w:type="page"/>
      </w:r>
    </w:p>
    <w:p w:rsidR="00CB2953" w:rsidRDefault="00926D75" w:rsidP="00926D75">
      <w:pPr>
        <w:jc w:val="center"/>
        <w:rPr>
          <w:b/>
        </w:rPr>
      </w:pPr>
      <w:r w:rsidRPr="00926D75">
        <w:rPr>
          <w:b/>
        </w:rPr>
        <w:lastRenderedPageBreak/>
        <w:t>F</w:t>
      </w:r>
      <w:r w:rsidR="00E96AE0">
        <w:rPr>
          <w:b/>
        </w:rPr>
        <w:t>igure 3</w:t>
      </w:r>
      <w:r w:rsidRPr="00926D75">
        <w:rPr>
          <w:b/>
        </w:rPr>
        <w:t xml:space="preserve">: Points Below </w:t>
      </w:r>
      <w:r w:rsidRPr="00926D75">
        <w:rPr>
          <w:b/>
          <w:position w:val="-10"/>
        </w:rPr>
        <w:object w:dxaOrig="499" w:dyaOrig="320">
          <v:shape id="_x0000_i1074" type="#_x0000_t75" style="width:25.1pt;height:15.85pt" o:ole="">
            <v:imagedata r:id="rId171" o:title=""/>
          </v:shape>
          <o:OLEObject Type="Embed" ProgID="Equation.DSMT4" ShapeID="_x0000_i1074" DrawAspect="Content" ObjectID="_1732543214" r:id="rId172"/>
        </w:object>
      </w:r>
      <w:r w:rsidRPr="00926D75">
        <w:rPr>
          <w:b/>
        </w:rPr>
        <w:t xml:space="preserve"> as Function of </w:t>
      </w:r>
      <w:r w:rsidRPr="00926D75">
        <w:rPr>
          <w:b/>
          <w:position w:val="-4"/>
        </w:rPr>
        <w:object w:dxaOrig="220" w:dyaOrig="260">
          <v:shape id="_x0000_i1075" type="#_x0000_t75" style="width:10.9pt;height:12.9pt" o:ole="">
            <v:imagedata r:id="rId173" o:title=""/>
          </v:shape>
          <o:OLEObject Type="Embed" ProgID="Equation.DSMT4" ShapeID="_x0000_i1075" DrawAspect="Content" ObjectID="_1732543215" r:id="rId174"/>
        </w:object>
      </w:r>
    </w:p>
    <w:p w:rsidR="00824937" w:rsidRPr="00E96AE0" w:rsidRDefault="00824937" w:rsidP="00824937">
      <w:pPr>
        <w:jc w:val="center"/>
      </w:pPr>
    </w:p>
    <w:p w:rsidR="00824937" w:rsidRDefault="008D2070" w:rsidP="00824937">
      <w:pPr>
        <w:jc w:val="center"/>
        <w:rPr>
          <w:b/>
        </w:rPr>
      </w:pPr>
      <w:r>
        <w:rPr>
          <w:b/>
          <w:noProof/>
        </w:rPr>
        <w:drawing>
          <wp:inline distT="0" distB="0" distL="0" distR="0" wp14:anchorId="317DE638">
            <wp:extent cx="45720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pic:spPr>
                </pic:pic>
              </a:graphicData>
            </a:graphic>
          </wp:inline>
        </w:drawing>
      </w:r>
    </w:p>
    <w:p w:rsidR="00824937" w:rsidRDefault="00824937" w:rsidP="00824937">
      <w:pPr>
        <w:jc w:val="both"/>
        <w:rPr>
          <w:b/>
        </w:rPr>
      </w:pPr>
    </w:p>
    <w:p w:rsidR="00824937" w:rsidRDefault="00824937" w:rsidP="00824937">
      <w:pPr>
        <w:jc w:val="both"/>
      </w:pPr>
      <w:r>
        <w:t xml:space="preserve">How many grid points out of total number of </w:t>
      </w:r>
      <w:r w:rsidRPr="00824937">
        <w:rPr>
          <w:position w:val="-6"/>
        </w:rPr>
        <w:object w:dxaOrig="780" w:dyaOrig="279">
          <v:shape id="_x0000_i1076" type="#_x0000_t75" style="width:38.95pt;height:13.85pt" o:ole="">
            <v:imagedata r:id="rId176" o:title=""/>
          </v:shape>
          <o:OLEObject Type="Embed" ProgID="Equation.DSMT4" ShapeID="_x0000_i1076" DrawAspect="Content" ObjectID="_1732543216" r:id="rId177"/>
        </w:object>
      </w:r>
      <w:r>
        <w:t xml:space="preserve"> grid points is below </w:t>
      </w:r>
      <w:r w:rsidRPr="00824937">
        <w:rPr>
          <w:position w:val="-10"/>
        </w:rPr>
        <w:object w:dxaOrig="499" w:dyaOrig="320">
          <v:shape id="_x0000_i1077" type="#_x0000_t75" style="width:25.1pt;height:15.85pt" o:ole="">
            <v:imagedata r:id="rId178" o:title=""/>
          </v:shape>
          <o:OLEObject Type="Embed" ProgID="Equation.DSMT4" ShapeID="_x0000_i1077" DrawAspect="Content" ObjectID="_1732543217" r:id="rId179"/>
        </w:object>
      </w:r>
      <w:r>
        <w:t xml:space="preserve"> when we use constant spacing </w:t>
      </w:r>
      <w:r w:rsidRPr="00824937">
        <w:rPr>
          <w:position w:val="-12"/>
        </w:rPr>
        <w:object w:dxaOrig="1860" w:dyaOrig="360">
          <v:shape id="_x0000_i1078" type="#_x0000_t75" style="width:93.15pt;height:18.15pt" o:ole="">
            <v:imagedata r:id="rId180" o:title=""/>
          </v:shape>
          <o:OLEObject Type="Embed" ProgID="Equation.DSMT4" ShapeID="_x0000_i1078" DrawAspect="Content" ObjectID="_1732543218" r:id="rId181"/>
        </w:object>
      </w:r>
      <w:r>
        <w:t xml:space="preserve"> in a log-normal model with </w:t>
      </w:r>
      <w:r w:rsidRPr="00824937">
        <w:rPr>
          <w:position w:val="-10"/>
        </w:rPr>
        <w:object w:dxaOrig="1620" w:dyaOrig="320">
          <v:shape id="_x0000_i1079" type="#_x0000_t75" style="width:80.9pt;height:15.85pt" o:ole="">
            <v:imagedata r:id="rId182" o:title=""/>
          </v:shape>
          <o:OLEObject Type="Embed" ProgID="Equation.DSMT4" ShapeID="_x0000_i1079" DrawAspect="Content" ObjectID="_1732543219" r:id="rId183"/>
        </w:object>
      </w:r>
      <w:r>
        <w:t xml:space="preserve">, and a grid width of </w:t>
      </w:r>
      <w:r w:rsidRPr="00824937">
        <w:rPr>
          <w:position w:val="-12"/>
        </w:rPr>
        <w:object w:dxaOrig="2280" w:dyaOrig="420">
          <v:shape id="_x0000_i1080" type="#_x0000_t75" style="width:113.95pt;height:21.15pt" o:ole="">
            <v:imagedata r:id="rId184" o:title=""/>
          </v:shape>
          <o:OLEObject Type="Embed" ProgID="Equation.DSMT4" ShapeID="_x0000_i1080" DrawAspect="Content" ObjectID="_1732543220" r:id="rId185"/>
        </w:object>
      </w:r>
      <w:r>
        <w:t>.</w:t>
      </w:r>
      <w:r w:rsidR="00F0742F">
        <w:t xml:space="preserve"> See sheet ‘transform’.</w:t>
      </w:r>
    </w:p>
    <w:p w:rsidR="00E96AE0" w:rsidRPr="00926D75" w:rsidRDefault="00E96AE0" w:rsidP="00E96AE0">
      <w:pPr>
        <w:rPr>
          <w:b/>
        </w:rPr>
      </w:pPr>
    </w:p>
    <w:p w:rsidR="00976BC1" w:rsidRDefault="00976BC1">
      <w:r>
        <w:br w:type="page"/>
      </w:r>
    </w:p>
    <w:p w:rsidR="007F24DB" w:rsidRDefault="007F24DB" w:rsidP="007F24DB">
      <w:pPr>
        <w:jc w:val="center"/>
        <w:rPr>
          <w:b/>
        </w:rPr>
      </w:pPr>
      <w:r w:rsidRPr="00926D75">
        <w:rPr>
          <w:b/>
        </w:rPr>
        <w:lastRenderedPageBreak/>
        <w:t>F</w:t>
      </w:r>
      <w:r w:rsidR="00E062A6">
        <w:rPr>
          <w:b/>
        </w:rPr>
        <w:t>igure 4</w:t>
      </w:r>
      <w:r w:rsidRPr="00926D75">
        <w:rPr>
          <w:b/>
        </w:rPr>
        <w:t xml:space="preserve">: </w:t>
      </w:r>
      <w:r>
        <w:rPr>
          <w:b/>
        </w:rPr>
        <w:t>Implied Volatility As Function of Strike</w:t>
      </w:r>
    </w:p>
    <w:p w:rsidR="007F24DB" w:rsidRDefault="007F24DB" w:rsidP="007F24DB">
      <w:pPr>
        <w:jc w:val="center"/>
      </w:pPr>
    </w:p>
    <w:p w:rsidR="00CB2953" w:rsidRDefault="008D2070" w:rsidP="007F24DB">
      <w:pPr>
        <w:jc w:val="center"/>
      </w:pPr>
      <w:r>
        <w:rPr>
          <w:noProof/>
        </w:rPr>
        <w:drawing>
          <wp:inline distT="0" distB="0" distL="0" distR="0" wp14:anchorId="5BABF4AB">
            <wp:extent cx="4579620" cy="275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pic:spPr>
                </pic:pic>
              </a:graphicData>
            </a:graphic>
          </wp:inline>
        </w:drawing>
      </w:r>
    </w:p>
    <w:p w:rsidR="00CB2953" w:rsidRDefault="00CB2953" w:rsidP="00E51540">
      <w:pPr>
        <w:jc w:val="both"/>
      </w:pPr>
    </w:p>
    <w:p w:rsidR="00E062A6" w:rsidRDefault="007F24DB" w:rsidP="00E51540">
      <w:pPr>
        <w:jc w:val="both"/>
      </w:pPr>
      <w:r>
        <w:t xml:space="preserve">Implied volatility of option </w:t>
      </w:r>
      <w:r w:rsidR="002E5D03">
        <w:t xml:space="preserve">price </w:t>
      </w:r>
      <w:r>
        <w:t>as function of strike</w:t>
      </w:r>
      <w:r w:rsidR="00E062A6">
        <w:t xml:space="preserve"> for non-smoothed and smoothed option payoffs</w:t>
      </w:r>
      <w:r>
        <w:t>.</w:t>
      </w:r>
      <w:r w:rsidR="00E062A6">
        <w:t xml:space="preserve"> </w:t>
      </w:r>
    </w:p>
    <w:p w:rsidR="002E5D03" w:rsidRDefault="00E062A6" w:rsidP="00E51540">
      <w:pPr>
        <w:jc w:val="both"/>
      </w:pPr>
      <w:r>
        <w:t xml:space="preserve">Parameters: </w:t>
      </w:r>
      <w:r w:rsidRPr="00E062A6">
        <w:rPr>
          <w:position w:val="-12"/>
        </w:rPr>
        <w:object w:dxaOrig="6080" w:dyaOrig="360">
          <v:shape id="_x0000_i1081" type="#_x0000_t75" style="width:303.85pt;height:18.15pt" o:ole="">
            <v:imagedata r:id="rId187" o:title=""/>
          </v:shape>
          <o:OLEObject Type="Embed" ProgID="Equation.DSMT4" ShapeID="_x0000_i1081" DrawAspect="Content" ObjectID="_1732543221" r:id="rId188"/>
        </w:object>
      </w:r>
      <w:r>
        <w:t xml:space="preserve">. </w:t>
      </w:r>
    </w:p>
    <w:p w:rsidR="00E062A6" w:rsidRDefault="00420E37" w:rsidP="00E51540">
      <w:pPr>
        <w:jc w:val="both"/>
      </w:pPr>
      <w:r>
        <w:t>See sheet</w:t>
      </w:r>
      <w:r w:rsidR="00E062A6">
        <w:t xml:space="preserve"> ‘smooth’.</w:t>
      </w:r>
    </w:p>
    <w:p w:rsidR="007F24DB" w:rsidRDefault="007F24DB" w:rsidP="00E51540">
      <w:pPr>
        <w:jc w:val="both"/>
      </w:pPr>
    </w:p>
    <w:p w:rsidR="007F24DB" w:rsidRDefault="007F24DB" w:rsidP="00E51540">
      <w:pPr>
        <w:jc w:val="both"/>
      </w:pPr>
    </w:p>
    <w:p w:rsidR="00C944E3" w:rsidRDefault="00C944E3" w:rsidP="00E51540">
      <w:pPr>
        <w:jc w:val="both"/>
      </w:pPr>
    </w:p>
    <w:p w:rsidR="00154DB2" w:rsidRDefault="00154DB2" w:rsidP="00E51540">
      <w:pPr>
        <w:jc w:val="both"/>
      </w:pPr>
      <w:r>
        <w:tab/>
      </w:r>
    </w:p>
    <w:p w:rsidR="00CB0E19" w:rsidRDefault="00CB0E19" w:rsidP="00E51540">
      <w:pPr>
        <w:jc w:val="both"/>
      </w:pPr>
    </w:p>
    <w:p w:rsidR="00714504" w:rsidRDefault="00714504">
      <w:r>
        <w:br w:type="page"/>
      </w:r>
    </w:p>
    <w:p w:rsidR="00B436E3" w:rsidRPr="0060195A" w:rsidRDefault="00B436E3" w:rsidP="0060195A">
      <w:pPr>
        <w:jc w:val="center"/>
      </w:pPr>
      <w:r>
        <w:rPr>
          <w:b/>
        </w:rPr>
        <w:lastRenderedPageBreak/>
        <w:t>References</w:t>
      </w:r>
    </w:p>
    <w:p w:rsidR="009E7354" w:rsidRDefault="009E7354" w:rsidP="00A67E2B">
      <w:pPr>
        <w:jc w:val="both"/>
      </w:pPr>
      <w:r>
        <w:t>Andreasen, J (2022</w:t>
      </w:r>
      <w:r w:rsidR="00CB21B1">
        <w:t>a</w:t>
      </w:r>
      <w:r>
        <w:t xml:space="preserve">): </w:t>
      </w:r>
      <w:r w:rsidR="00214EEA">
        <w:t xml:space="preserve">“By the Rivers of Babylon.” </w:t>
      </w:r>
      <w:r w:rsidR="00214EEA" w:rsidRPr="0060195A">
        <w:rPr>
          <w:i/>
        </w:rPr>
        <w:t>Wilmott</w:t>
      </w:r>
      <w:r w:rsidR="00214EEA">
        <w:t xml:space="preserve"> </w:t>
      </w:r>
      <w:r w:rsidR="0060195A">
        <w:t>September.</w:t>
      </w:r>
    </w:p>
    <w:p w:rsidR="00CB21B1" w:rsidRDefault="00CB21B1" w:rsidP="00A67E2B">
      <w:pPr>
        <w:jc w:val="both"/>
      </w:pPr>
    </w:p>
    <w:p w:rsidR="00CB21B1" w:rsidRPr="009E7354" w:rsidRDefault="00CB21B1" w:rsidP="00A67E2B">
      <w:pPr>
        <w:jc w:val="both"/>
      </w:pPr>
      <w:r>
        <w:t xml:space="preserve">Andreasen, J (2022b): “Three Strikes and You’re Out.” </w:t>
      </w:r>
      <w:r w:rsidRPr="00CB21B1">
        <w:rPr>
          <w:i/>
        </w:rPr>
        <w:t>Wilmott</w:t>
      </w:r>
      <w:r>
        <w:t xml:space="preserve"> November.</w:t>
      </w:r>
    </w:p>
    <w:p w:rsidR="009E7354" w:rsidRDefault="009E7354" w:rsidP="00A67E2B">
      <w:pPr>
        <w:jc w:val="both"/>
        <w:rPr>
          <w:b/>
        </w:rPr>
      </w:pPr>
    </w:p>
    <w:p w:rsidR="00B436E3" w:rsidRDefault="00B436E3" w:rsidP="00A67E2B">
      <w:pPr>
        <w:jc w:val="both"/>
      </w:pPr>
      <w:r>
        <w:t xml:space="preserve">Andreasen, J and B Huge (2011a): “Volatility Interpolation.” </w:t>
      </w:r>
      <w:r w:rsidRPr="00B436E3">
        <w:rPr>
          <w:i/>
        </w:rPr>
        <w:t>Risk</w:t>
      </w:r>
      <w:r>
        <w:t xml:space="preserve"> March.</w:t>
      </w:r>
    </w:p>
    <w:p w:rsidR="00B436E3" w:rsidRDefault="00B436E3" w:rsidP="00A67E2B">
      <w:pPr>
        <w:jc w:val="both"/>
      </w:pPr>
    </w:p>
    <w:p w:rsidR="00B436E3" w:rsidRDefault="00B436E3" w:rsidP="00A67E2B">
      <w:pPr>
        <w:jc w:val="both"/>
      </w:pPr>
      <w:r>
        <w:t xml:space="preserve">Andreasen, J and B Huge (2011b): “Random Grids.” </w:t>
      </w:r>
      <w:r w:rsidRPr="00B436E3">
        <w:rPr>
          <w:i/>
        </w:rPr>
        <w:t>Risk</w:t>
      </w:r>
      <w:r>
        <w:t xml:space="preserve"> June.</w:t>
      </w:r>
    </w:p>
    <w:p w:rsidR="005647DD" w:rsidRDefault="005647DD" w:rsidP="00A67E2B">
      <w:pPr>
        <w:jc w:val="both"/>
      </w:pPr>
    </w:p>
    <w:p w:rsidR="005647DD" w:rsidRPr="00EB2E57" w:rsidRDefault="005647DD" w:rsidP="00A67E2B">
      <w:pPr>
        <w:jc w:val="both"/>
      </w:pPr>
      <w:r w:rsidRPr="00EB2E57">
        <w:t xml:space="preserve">Andreasen, J, B Huge and F Kryger-Baggesen (2022): ”Git Hub Repository.” </w:t>
      </w:r>
    </w:p>
    <w:p w:rsidR="009E7354" w:rsidRPr="00EB2E57" w:rsidRDefault="009E7354" w:rsidP="00A67E2B">
      <w:pPr>
        <w:jc w:val="both"/>
      </w:pPr>
    </w:p>
    <w:p w:rsidR="009E7354" w:rsidRDefault="009E7354" w:rsidP="00A67E2B">
      <w:pPr>
        <w:jc w:val="both"/>
      </w:pPr>
      <w:r>
        <w:t xml:space="preserve">Austing, P (2020): “Finite Difference Schemes with Exact Recovery of Vanilla Option Prices.” </w:t>
      </w:r>
      <w:r w:rsidRPr="009E7354">
        <w:rPr>
          <w:i/>
        </w:rPr>
        <w:t>Risk</w:t>
      </w:r>
      <w:r>
        <w:t xml:space="preserve"> November.</w:t>
      </w:r>
    </w:p>
    <w:p w:rsidR="00B436E3" w:rsidRDefault="00B436E3" w:rsidP="00A67E2B">
      <w:pPr>
        <w:jc w:val="both"/>
      </w:pPr>
    </w:p>
    <w:p w:rsidR="00B436E3" w:rsidRDefault="00B436E3" w:rsidP="00A67E2B">
      <w:pPr>
        <w:jc w:val="both"/>
      </w:pPr>
      <w:r>
        <w:t xml:space="preserve">Dupire, B (1994): “Pricing with a Smile.” </w:t>
      </w:r>
      <w:r w:rsidRPr="00B436E3">
        <w:rPr>
          <w:i/>
        </w:rPr>
        <w:t>Risk</w:t>
      </w:r>
      <w:r>
        <w:t xml:space="preserve"> January.</w:t>
      </w:r>
    </w:p>
    <w:p w:rsidR="00607CE6" w:rsidRDefault="00607CE6" w:rsidP="00A67E2B">
      <w:pPr>
        <w:jc w:val="both"/>
      </w:pPr>
    </w:p>
    <w:p w:rsidR="00DB0270" w:rsidRDefault="00DB0270">
      <w:r>
        <w:br w:type="page"/>
      </w:r>
    </w:p>
    <w:sectPr w:rsidR="00DB0270" w:rsidSect="00B422BD">
      <w:footerReference w:type="even" r:id="rId189"/>
      <w:footerReference w:type="default" r:id="rId19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C73" w:rsidRDefault="00497C73">
      <w:r>
        <w:separator/>
      </w:r>
    </w:p>
  </w:endnote>
  <w:endnote w:type="continuationSeparator" w:id="0">
    <w:p w:rsidR="00497C73" w:rsidRDefault="0049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D0D" w:rsidRDefault="00DB4D0D" w:rsidP="005C62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A77">
      <w:rPr>
        <w:rStyle w:val="PageNumber"/>
        <w:noProof/>
      </w:rPr>
      <w:t>1</w:t>
    </w:r>
    <w:r>
      <w:rPr>
        <w:rStyle w:val="PageNumber"/>
      </w:rPr>
      <w:fldChar w:fldCharType="end"/>
    </w:r>
  </w:p>
  <w:p w:rsidR="00DB4D0D" w:rsidRDefault="00DB4D0D" w:rsidP="00CF68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D0D" w:rsidRDefault="00DB4D0D" w:rsidP="005C62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39C9">
      <w:rPr>
        <w:rStyle w:val="PageNumber"/>
        <w:noProof/>
      </w:rPr>
      <w:t>9</w:t>
    </w:r>
    <w:r>
      <w:rPr>
        <w:rStyle w:val="PageNumber"/>
      </w:rPr>
      <w:fldChar w:fldCharType="end"/>
    </w:r>
  </w:p>
  <w:p w:rsidR="00DB4D0D" w:rsidRDefault="00DB4D0D" w:rsidP="00CF68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C73" w:rsidRDefault="00497C73">
      <w:r>
        <w:separator/>
      </w:r>
    </w:p>
  </w:footnote>
  <w:footnote w:type="continuationSeparator" w:id="0">
    <w:p w:rsidR="00497C73" w:rsidRDefault="00497C73">
      <w:r>
        <w:continuationSeparator/>
      </w:r>
    </w:p>
  </w:footnote>
  <w:footnote w:id="1">
    <w:p w:rsidR="00420E37" w:rsidRPr="00E92943" w:rsidRDefault="00420E37" w:rsidP="00420E37">
      <w:pPr>
        <w:pStyle w:val="FootnoteText"/>
      </w:pPr>
      <w:r>
        <w:rPr>
          <w:rStyle w:val="FootnoteReference"/>
        </w:rPr>
        <w:footnoteRef/>
      </w:r>
      <w:r>
        <w:t xml:space="preserve"> </w:t>
      </w:r>
      <w:r w:rsidRPr="00E92943">
        <w:t>I</w:t>
      </w:r>
      <w:r w:rsidR="00561CA0">
        <w:t>n-</w:t>
      </w:r>
      <w:r w:rsidRPr="00E92943">
        <w:t>M</w:t>
      </w:r>
      <w:r w:rsidR="00561CA0">
        <w:t>y-</w:t>
      </w:r>
      <w:r>
        <w:t>U</w:t>
      </w:r>
      <w:r w:rsidR="00561CA0">
        <w:t>sual-</w:t>
      </w:r>
      <w:r w:rsidRPr="00E92943">
        <w:t>H</w:t>
      </w:r>
      <w:r w:rsidR="00561CA0">
        <w:t>umble-</w:t>
      </w:r>
      <w:r w:rsidRPr="00E92943">
        <w:t>Opinion.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1FA"/>
    <w:multiLevelType w:val="hybridMultilevel"/>
    <w:tmpl w:val="14740A34"/>
    <w:lvl w:ilvl="0" w:tplc="7488E60C">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1647CB9"/>
    <w:multiLevelType w:val="hybridMultilevel"/>
    <w:tmpl w:val="3E5A6E08"/>
    <w:lvl w:ilvl="0" w:tplc="8BF49AE8">
      <w:start w:val="1"/>
      <w:numFmt w:val="lowerRoman"/>
      <w:lvlText w:val="%1."/>
      <w:lvlJc w:val="left"/>
      <w:pPr>
        <w:ind w:left="1440" w:hanging="72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38F3234"/>
    <w:multiLevelType w:val="hybridMultilevel"/>
    <w:tmpl w:val="4A96B354"/>
    <w:lvl w:ilvl="0" w:tplc="F9445B3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7F2FD7"/>
    <w:multiLevelType w:val="hybridMultilevel"/>
    <w:tmpl w:val="46F0BCBC"/>
    <w:lvl w:ilvl="0" w:tplc="8D64C5C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6505B86"/>
    <w:multiLevelType w:val="hybridMultilevel"/>
    <w:tmpl w:val="6486C38A"/>
    <w:lvl w:ilvl="0" w:tplc="C4AEFE90">
      <w:start w:val="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9177423"/>
    <w:multiLevelType w:val="hybridMultilevel"/>
    <w:tmpl w:val="30D01782"/>
    <w:lvl w:ilvl="0" w:tplc="6658D9A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7A18E1"/>
    <w:multiLevelType w:val="hybridMultilevel"/>
    <w:tmpl w:val="0AC44E9A"/>
    <w:lvl w:ilvl="0" w:tplc="21DE90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9539FA"/>
    <w:multiLevelType w:val="hybridMultilevel"/>
    <w:tmpl w:val="D4F0AE8C"/>
    <w:lvl w:ilvl="0" w:tplc="0406000F">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51157D5"/>
    <w:multiLevelType w:val="hybridMultilevel"/>
    <w:tmpl w:val="607E212E"/>
    <w:lvl w:ilvl="0" w:tplc="6E7AC446">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DF86B91"/>
    <w:multiLevelType w:val="multilevel"/>
    <w:tmpl w:val="D878F9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DA2E5F"/>
    <w:multiLevelType w:val="hybridMultilevel"/>
    <w:tmpl w:val="CE6EDBDE"/>
    <w:lvl w:ilvl="0" w:tplc="E96A0E4C">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C87437"/>
    <w:multiLevelType w:val="hybridMultilevel"/>
    <w:tmpl w:val="FE9AFD8E"/>
    <w:lvl w:ilvl="0" w:tplc="0874A8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041F15"/>
    <w:multiLevelType w:val="hybridMultilevel"/>
    <w:tmpl w:val="6CA0B980"/>
    <w:lvl w:ilvl="0" w:tplc="F264A57E">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6484DF4"/>
    <w:multiLevelType w:val="hybridMultilevel"/>
    <w:tmpl w:val="938CD6BA"/>
    <w:lvl w:ilvl="0" w:tplc="B004235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DA06BC"/>
    <w:multiLevelType w:val="hybridMultilevel"/>
    <w:tmpl w:val="119CF0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83D5ED2"/>
    <w:multiLevelType w:val="hybridMultilevel"/>
    <w:tmpl w:val="A67A30F6"/>
    <w:lvl w:ilvl="0" w:tplc="0406000F">
      <w:numFmt w:val="decimal"/>
      <w:lvlText w:val="%1."/>
      <w:lvlJc w:val="left"/>
      <w:pPr>
        <w:tabs>
          <w:tab w:val="num" w:pos="720"/>
        </w:tabs>
        <w:ind w:left="720" w:hanging="360"/>
      </w:pPr>
      <w:rPr>
        <w:rFonts w:hint="default"/>
      </w:r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6" w15:restartNumberingAfterBreak="0">
    <w:nsid w:val="2BB73B92"/>
    <w:multiLevelType w:val="hybridMultilevel"/>
    <w:tmpl w:val="5838D866"/>
    <w:lvl w:ilvl="0" w:tplc="E616663A">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0B53DE"/>
    <w:multiLevelType w:val="hybridMultilevel"/>
    <w:tmpl w:val="81725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542EAC"/>
    <w:multiLevelType w:val="hybridMultilevel"/>
    <w:tmpl w:val="9F24A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9607E4"/>
    <w:multiLevelType w:val="hybridMultilevel"/>
    <w:tmpl w:val="F4B44C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4527394"/>
    <w:multiLevelType w:val="hybridMultilevel"/>
    <w:tmpl w:val="ED0208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B6685C"/>
    <w:multiLevelType w:val="hybridMultilevel"/>
    <w:tmpl w:val="3FE81F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75F0174"/>
    <w:multiLevelType w:val="hybridMultilevel"/>
    <w:tmpl w:val="481A5F74"/>
    <w:lvl w:ilvl="0" w:tplc="359C02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667436"/>
    <w:multiLevelType w:val="hybridMultilevel"/>
    <w:tmpl w:val="EC7031FC"/>
    <w:lvl w:ilvl="0" w:tplc="497C967E">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A7F55F0"/>
    <w:multiLevelType w:val="hybridMultilevel"/>
    <w:tmpl w:val="FC9A2D12"/>
    <w:lvl w:ilvl="0" w:tplc="E3467EE8">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BC959B8"/>
    <w:multiLevelType w:val="hybridMultilevel"/>
    <w:tmpl w:val="E4B48038"/>
    <w:lvl w:ilvl="0" w:tplc="F890668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F9E406D"/>
    <w:multiLevelType w:val="hybridMultilevel"/>
    <w:tmpl w:val="BA2A4D7A"/>
    <w:lvl w:ilvl="0" w:tplc="7C3EDBDA">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0370D2"/>
    <w:multiLevelType w:val="hybridMultilevel"/>
    <w:tmpl w:val="6458DBDA"/>
    <w:lvl w:ilvl="0" w:tplc="CC6A9BC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5432CD"/>
    <w:multiLevelType w:val="hybridMultilevel"/>
    <w:tmpl w:val="94CC0446"/>
    <w:lvl w:ilvl="0" w:tplc="525E4124">
      <w:start w:val="1"/>
      <w:numFmt w:val="lowerLetter"/>
      <w:lvlText w:val="%1."/>
      <w:lvlJc w:val="left"/>
      <w:pPr>
        <w:ind w:left="1800" w:hanging="360"/>
      </w:pPr>
      <w:rPr>
        <w:rFonts w:hint="default"/>
      </w:r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29" w15:restartNumberingAfterBreak="0">
    <w:nsid w:val="516F5E9D"/>
    <w:multiLevelType w:val="hybridMultilevel"/>
    <w:tmpl w:val="0234D1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1E67A43"/>
    <w:multiLevelType w:val="hybridMultilevel"/>
    <w:tmpl w:val="4BA446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822D89"/>
    <w:multiLevelType w:val="hybridMultilevel"/>
    <w:tmpl w:val="FA948A18"/>
    <w:lvl w:ilvl="0" w:tplc="EA80E35C">
      <w:start w:val="360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81D516F"/>
    <w:multiLevelType w:val="hybridMultilevel"/>
    <w:tmpl w:val="F1CA8252"/>
    <w:lvl w:ilvl="0" w:tplc="555C21A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B2546D"/>
    <w:multiLevelType w:val="hybridMultilevel"/>
    <w:tmpl w:val="016CD23A"/>
    <w:lvl w:ilvl="0" w:tplc="41D052E8">
      <w:start w:val="36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23"/>
  </w:num>
  <w:num w:numId="4">
    <w:abstractNumId w:val="24"/>
  </w:num>
  <w:num w:numId="5">
    <w:abstractNumId w:val="14"/>
  </w:num>
  <w:num w:numId="6">
    <w:abstractNumId w:val="19"/>
  </w:num>
  <w:num w:numId="7">
    <w:abstractNumId w:val="16"/>
  </w:num>
  <w:num w:numId="8">
    <w:abstractNumId w:val="8"/>
  </w:num>
  <w:num w:numId="9">
    <w:abstractNumId w:val="10"/>
  </w:num>
  <w:num w:numId="10">
    <w:abstractNumId w:val="12"/>
  </w:num>
  <w:num w:numId="11">
    <w:abstractNumId w:val="0"/>
  </w:num>
  <w:num w:numId="12">
    <w:abstractNumId w:val="26"/>
  </w:num>
  <w:num w:numId="13">
    <w:abstractNumId w:val="9"/>
  </w:num>
  <w:num w:numId="14">
    <w:abstractNumId w:val="29"/>
  </w:num>
  <w:num w:numId="15">
    <w:abstractNumId w:val="7"/>
  </w:num>
  <w:num w:numId="16">
    <w:abstractNumId w:val="28"/>
  </w:num>
  <w:num w:numId="17">
    <w:abstractNumId w:val="21"/>
  </w:num>
  <w:num w:numId="18">
    <w:abstractNumId w:val="33"/>
  </w:num>
  <w:num w:numId="19">
    <w:abstractNumId w:val="31"/>
  </w:num>
  <w:num w:numId="20">
    <w:abstractNumId w:val="3"/>
  </w:num>
  <w:num w:numId="21">
    <w:abstractNumId w:val="30"/>
  </w:num>
  <w:num w:numId="22">
    <w:abstractNumId w:val="25"/>
  </w:num>
  <w:num w:numId="23">
    <w:abstractNumId w:val="17"/>
  </w:num>
  <w:num w:numId="24">
    <w:abstractNumId w:val="13"/>
  </w:num>
  <w:num w:numId="25">
    <w:abstractNumId w:val="22"/>
  </w:num>
  <w:num w:numId="26">
    <w:abstractNumId w:val="11"/>
  </w:num>
  <w:num w:numId="27">
    <w:abstractNumId w:val="4"/>
  </w:num>
  <w:num w:numId="28">
    <w:abstractNumId w:val="18"/>
  </w:num>
  <w:num w:numId="29">
    <w:abstractNumId w:val="20"/>
  </w:num>
  <w:num w:numId="30">
    <w:abstractNumId w:val="2"/>
  </w:num>
  <w:num w:numId="31">
    <w:abstractNumId w:val="32"/>
  </w:num>
  <w:num w:numId="32">
    <w:abstractNumId w:val="6"/>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6"/>
  <w:activeWritingStyle w:appName="MSWord" w:lang="da-DK"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AB"/>
    <w:rsid w:val="000004F9"/>
    <w:rsid w:val="000008AD"/>
    <w:rsid w:val="00000FAF"/>
    <w:rsid w:val="00001AD1"/>
    <w:rsid w:val="00001F9A"/>
    <w:rsid w:val="00002FB3"/>
    <w:rsid w:val="000036F7"/>
    <w:rsid w:val="0000592C"/>
    <w:rsid w:val="00010024"/>
    <w:rsid w:val="0001020F"/>
    <w:rsid w:val="00011A22"/>
    <w:rsid w:val="00011DE8"/>
    <w:rsid w:val="00012970"/>
    <w:rsid w:val="00013900"/>
    <w:rsid w:val="0001562A"/>
    <w:rsid w:val="00015B23"/>
    <w:rsid w:val="000204DB"/>
    <w:rsid w:val="00021A02"/>
    <w:rsid w:val="00021B23"/>
    <w:rsid w:val="00022C1B"/>
    <w:rsid w:val="00022DC7"/>
    <w:rsid w:val="0002478D"/>
    <w:rsid w:val="00025303"/>
    <w:rsid w:val="00025DE0"/>
    <w:rsid w:val="00026048"/>
    <w:rsid w:val="0002613E"/>
    <w:rsid w:val="00026908"/>
    <w:rsid w:val="00026B97"/>
    <w:rsid w:val="00026E35"/>
    <w:rsid w:val="0003084D"/>
    <w:rsid w:val="00031F43"/>
    <w:rsid w:val="00033AAB"/>
    <w:rsid w:val="0003613F"/>
    <w:rsid w:val="000365E5"/>
    <w:rsid w:val="00036A8C"/>
    <w:rsid w:val="000377D3"/>
    <w:rsid w:val="00037D9A"/>
    <w:rsid w:val="0004102B"/>
    <w:rsid w:val="00041FE4"/>
    <w:rsid w:val="000439D0"/>
    <w:rsid w:val="00045AE3"/>
    <w:rsid w:val="00045B60"/>
    <w:rsid w:val="00045D61"/>
    <w:rsid w:val="000525F3"/>
    <w:rsid w:val="00052BA8"/>
    <w:rsid w:val="000535AB"/>
    <w:rsid w:val="00054681"/>
    <w:rsid w:val="00054F64"/>
    <w:rsid w:val="000572D9"/>
    <w:rsid w:val="000602FC"/>
    <w:rsid w:val="000605C0"/>
    <w:rsid w:val="0006082C"/>
    <w:rsid w:val="000608D1"/>
    <w:rsid w:val="000608D4"/>
    <w:rsid w:val="000624D6"/>
    <w:rsid w:val="00062EE6"/>
    <w:rsid w:val="00063878"/>
    <w:rsid w:val="00063C13"/>
    <w:rsid w:val="00065041"/>
    <w:rsid w:val="00065403"/>
    <w:rsid w:val="0006746C"/>
    <w:rsid w:val="00071F79"/>
    <w:rsid w:val="00072B6B"/>
    <w:rsid w:val="00072E0C"/>
    <w:rsid w:val="00073655"/>
    <w:rsid w:val="00074415"/>
    <w:rsid w:val="00074D96"/>
    <w:rsid w:val="000801B8"/>
    <w:rsid w:val="000801BD"/>
    <w:rsid w:val="00081796"/>
    <w:rsid w:val="00082986"/>
    <w:rsid w:val="00086A46"/>
    <w:rsid w:val="000874F1"/>
    <w:rsid w:val="000900CF"/>
    <w:rsid w:val="00090581"/>
    <w:rsid w:val="00091073"/>
    <w:rsid w:val="000918BA"/>
    <w:rsid w:val="00092D28"/>
    <w:rsid w:val="00093080"/>
    <w:rsid w:val="00093E24"/>
    <w:rsid w:val="00095953"/>
    <w:rsid w:val="00095CB3"/>
    <w:rsid w:val="000A078C"/>
    <w:rsid w:val="000A0E9E"/>
    <w:rsid w:val="000A1DC7"/>
    <w:rsid w:val="000A3647"/>
    <w:rsid w:val="000A410C"/>
    <w:rsid w:val="000A4192"/>
    <w:rsid w:val="000A41CB"/>
    <w:rsid w:val="000A5487"/>
    <w:rsid w:val="000A5867"/>
    <w:rsid w:val="000A6450"/>
    <w:rsid w:val="000B0DE3"/>
    <w:rsid w:val="000B282B"/>
    <w:rsid w:val="000B2FF1"/>
    <w:rsid w:val="000B3C0E"/>
    <w:rsid w:val="000B5ADB"/>
    <w:rsid w:val="000C551F"/>
    <w:rsid w:val="000C58BA"/>
    <w:rsid w:val="000D12B0"/>
    <w:rsid w:val="000D1D98"/>
    <w:rsid w:val="000D20B1"/>
    <w:rsid w:val="000D2267"/>
    <w:rsid w:val="000D44A0"/>
    <w:rsid w:val="000D495E"/>
    <w:rsid w:val="000D5C66"/>
    <w:rsid w:val="000D6BDC"/>
    <w:rsid w:val="000D7875"/>
    <w:rsid w:val="000E2A64"/>
    <w:rsid w:val="000E2DD2"/>
    <w:rsid w:val="000E3284"/>
    <w:rsid w:val="000E3F16"/>
    <w:rsid w:val="000E4560"/>
    <w:rsid w:val="000E4617"/>
    <w:rsid w:val="000E6A33"/>
    <w:rsid w:val="000F0318"/>
    <w:rsid w:val="000F32DC"/>
    <w:rsid w:val="000F3607"/>
    <w:rsid w:val="000F3823"/>
    <w:rsid w:val="000F3C23"/>
    <w:rsid w:val="000F450B"/>
    <w:rsid w:val="000F5766"/>
    <w:rsid w:val="000F7F2B"/>
    <w:rsid w:val="00101577"/>
    <w:rsid w:val="0010513D"/>
    <w:rsid w:val="001067AD"/>
    <w:rsid w:val="001106CB"/>
    <w:rsid w:val="001113A0"/>
    <w:rsid w:val="00111C51"/>
    <w:rsid w:val="00113F94"/>
    <w:rsid w:val="00114283"/>
    <w:rsid w:val="00115191"/>
    <w:rsid w:val="00115775"/>
    <w:rsid w:val="001177FC"/>
    <w:rsid w:val="00120D60"/>
    <w:rsid w:val="0012195F"/>
    <w:rsid w:val="00122049"/>
    <w:rsid w:val="001227A9"/>
    <w:rsid w:val="0012376B"/>
    <w:rsid w:val="00123B54"/>
    <w:rsid w:val="0012640B"/>
    <w:rsid w:val="001267B1"/>
    <w:rsid w:val="001272C4"/>
    <w:rsid w:val="00127BA5"/>
    <w:rsid w:val="00131224"/>
    <w:rsid w:val="001331EF"/>
    <w:rsid w:val="001338BB"/>
    <w:rsid w:val="001367B9"/>
    <w:rsid w:val="00137647"/>
    <w:rsid w:val="0014227F"/>
    <w:rsid w:val="00142B44"/>
    <w:rsid w:val="00142D03"/>
    <w:rsid w:val="00142DAC"/>
    <w:rsid w:val="001439C9"/>
    <w:rsid w:val="00143EC0"/>
    <w:rsid w:val="0014424A"/>
    <w:rsid w:val="00144334"/>
    <w:rsid w:val="00144B8D"/>
    <w:rsid w:val="00145754"/>
    <w:rsid w:val="001467D9"/>
    <w:rsid w:val="00147199"/>
    <w:rsid w:val="001474E1"/>
    <w:rsid w:val="00150D84"/>
    <w:rsid w:val="00151FF3"/>
    <w:rsid w:val="0015400D"/>
    <w:rsid w:val="00154DB2"/>
    <w:rsid w:val="00156346"/>
    <w:rsid w:val="001574F8"/>
    <w:rsid w:val="0016180C"/>
    <w:rsid w:val="00163131"/>
    <w:rsid w:val="00163E44"/>
    <w:rsid w:val="0017077B"/>
    <w:rsid w:val="00171477"/>
    <w:rsid w:val="00171681"/>
    <w:rsid w:val="001727F1"/>
    <w:rsid w:val="00173B69"/>
    <w:rsid w:val="00174CFF"/>
    <w:rsid w:val="0017509E"/>
    <w:rsid w:val="001772D8"/>
    <w:rsid w:val="00177C56"/>
    <w:rsid w:val="00180E16"/>
    <w:rsid w:val="00180F3E"/>
    <w:rsid w:val="00181F2F"/>
    <w:rsid w:val="00183EC2"/>
    <w:rsid w:val="00185792"/>
    <w:rsid w:val="0018796A"/>
    <w:rsid w:val="00187B3A"/>
    <w:rsid w:val="001950EB"/>
    <w:rsid w:val="00195315"/>
    <w:rsid w:val="00195A6B"/>
    <w:rsid w:val="00195B79"/>
    <w:rsid w:val="00195BC4"/>
    <w:rsid w:val="00196ABB"/>
    <w:rsid w:val="001A089E"/>
    <w:rsid w:val="001A4EBB"/>
    <w:rsid w:val="001A5EA6"/>
    <w:rsid w:val="001A6AA3"/>
    <w:rsid w:val="001B0151"/>
    <w:rsid w:val="001B1918"/>
    <w:rsid w:val="001B19B8"/>
    <w:rsid w:val="001B34CA"/>
    <w:rsid w:val="001B3EAB"/>
    <w:rsid w:val="001B405B"/>
    <w:rsid w:val="001B4FAA"/>
    <w:rsid w:val="001B5598"/>
    <w:rsid w:val="001B55DA"/>
    <w:rsid w:val="001B5D70"/>
    <w:rsid w:val="001B74BA"/>
    <w:rsid w:val="001B7C2E"/>
    <w:rsid w:val="001C103F"/>
    <w:rsid w:val="001C2688"/>
    <w:rsid w:val="001C288F"/>
    <w:rsid w:val="001C3803"/>
    <w:rsid w:val="001C50F0"/>
    <w:rsid w:val="001C5C08"/>
    <w:rsid w:val="001C5D51"/>
    <w:rsid w:val="001C64D2"/>
    <w:rsid w:val="001D0C3D"/>
    <w:rsid w:val="001D0C99"/>
    <w:rsid w:val="001D1533"/>
    <w:rsid w:val="001D2613"/>
    <w:rsid w:val="001D34C6"/>
    <w:rsid w:val="001D47D4"/>
    <w:rsid w:val="001D56CF"/>
    <w:rsid w:val="001D6351"/>
    <w:rsid w:val="001E101B"/>
    <w:rsid w:val="001E1264"/>
    <w:rsid w:val="001E15D6"/>
    <w:rsid w:val="001E236D"/>
    <w:rsid w:val="001E34B3"/>
    <w:rsid w:val="001E35FF"/>
    <w:rsid w:val="001E383B"/>
    <w:rsid w:val="001E4798"/>
    <w:rsid w:val="001E4B55"/>
    <w:rsid w:val="001E5F93"/>
    <w:rsid w:val="001E7AFF"/>
    <w:rsid w:val="001E7EE7"/>
    <w:rsid w:val="001F0574"/>
    <w:rsid w:val="001F0816"/>
    <w:rsid w:val="001F3698"/>
    <w:rsid w:val="001F3DA4"/>
    <w:rsid w:val="001F3E4A"/>
    <w:rsid w:val="001F65DB"/>
    <w:rsid w:val="00200F24"/>
    <w:rsid w:val="00201E3D"/>
    <w:rsid w:val="002052ED"/>
    <w:rsid w:val="002059E5"/>
    <w:rsid w:val="00205A82"/>
    <w:rsid w:val="0020656D"/>
    <w:rsid w:val="0021071A"/>
    <w:rsid w:val="0021090F"/>
    <w:rsid w:val="00211588"/>
    <w:rsid w:val="00214EEA"/>
    <w:rsid w:val="002156DB"/>
    <w:rsid w:val="00216222"/>
    <w:rsid w:val="0021654D"/>
    <w:rsid w:val="002169A8"/>
    <w:rsid w:val="00217841"/>
    <w:rsid w:val="002201FA"/>
    <w:rsid w:val="002216ED"/>
    <w:rsid w:val="0022238E"/>
    <w:rsid w:val="002236C6"/>
    <w:rsid w:val="002240E9"/>
    <w:rsid w:val="0022626A"/>
    <w:rsid w:val="00227CDA"/>
    <w:rsid w:val="00227D51"/>
    <w:rsid w:val="00230CD5"/>
    <w:rsid w:val="00231115"/>
    <w:rsid w:val="00234871"/>
    <w:rsid w:val="0023492A"/>
    <w:rsid w:val="00236461"/>
    <w:rsid w:val="00236DEE"/>
    <w:rsid w:val="00237503"/>
    <w:rsid w:val="00237760"/>
    <w:rsid w:val="00240F6A"/>
    <w:rsid w:val="00241467"/>
    <w:rsid w:val="00242578"/>
    <w:rsid w:val="00243685"/>
    <w:rsid w:val="00243E89"/>
    <w:rsid w:val="0024646A"/>
    <w:rsid w:val="0025081E"/>
    <w:rsid w:val="00253B0A"/>
    <w:rsid w:val="00254D36"/>
    <w:rsid w:val="00255E9A"/>
    <w:rsid w:val="00256974"/>
    <w:rsid w:val="00257C61"/>
    <w:rsid w:val="00261174"/>
    <w:rsid w:val="00265638"/>
    <w:rsid w:val="002670BF"/>
    <w:rsid w:val="00267700"/>
    <w:rsid w:val="00267A06"/>
    <w:rsid w:val="002714F7"/>
    <w:rsid w:val="002756FC"/>
    <w:rsid w:val="00277AC6"/>
    <w:rsid w:val="002805B5"/>
    <w:rsid w:val="00280CB0"/>
    <w:rsid w:val="00281CB4"/>
    <w:rsid w:val="0028275D"/>
    <w:rsid w:val="002830CD"/>
    <w:rsid w:val="002844DA"/>
    <w:rsid w:val="00284737"/>
    <w:rsid w:val="0028541F"/>
    <w:rsid w:val="00285BE7"/>
    <w:rsid w:val="002868D3"/>
    <w:rsid w:val="002879F2"/>
    <w:rsid w:val="00287DB2"/>
    <w:rsid w:val="002913D3"/>
    <w:rsid w:val="0029213B"/>
    <w:rsid w:val="00294650"/>
    <w:rsid w:val="00295BCB"/>
    <w:rsid w:val="00296463"/>
    <w:rsid w:val="00297840"/>
    <w:rsid w:val="00297CFA"/>
    <w:rsid w:val="002A01D3"/>
    <w:rsid w:val="002A0CA5"/>
    <w:rsid w:val="002A1312"/>
    <w:rsid w:val="002A162A"/>
    <w:rsid w:val="002A1802"/>
    <w:rsid w:val="002A240D"/>
    <w:rsid w:val="002A2E62"/>
    <w:rsid w:val="002A415D"/>
    <w:rsid w:val="002A4BF0"/>
    <w:rsid w:val="002A6241"/>
    <w:rsid w:val="002A7493"/>
    <w:rsid w:val="002A7A97"/>
    <w:rsid w:val="002B1889"/>
    <w:rsid w:val="002B2384"/>
    <w:rsid w:val="002B266E"/>
    <w:rsid w:val="002B401C"/>
    <w:rsid w:val="002B53E1"/>
    <w:rsid w:val="002B5991"/>
    <w:rsid w:val="002C239E"/>
    <w:rsid w:val="002C3D61"/>
    <w:rsid w:val="002C65C9"/>
    <w:rsid w:val="002D053D"/>
    <w:rsid w:val="002D0C84"/>
    <w:rsid w:val="002D2589"/>
    <w:rsid w:val="002D3FCD"/>
    <w:rsid w:val="002D41B7"/>
    <w:rsid w:val="002D6589"/>
    <w:rsid w:val="002E054D"/>
    <w:rsid w:val="002E0560"/>
    <w:rsid w:val="002E0A68"/>
    <w:rsid w:val="002E1486"/>
    <w:rsid w:val="002E1CE2"/>
    <w:rsid w:val="002E1D4E"/>
    <w:rsid w:val="002E21CB"/>
    <w:rsid w:val="002E27BC"/>
    <w:rsid w:val="002E3F97"/>
    <w:rsid w:val="002E4602"/>
    <w:rsid w:val="002E4938"/>
    <w:rsid w:val="002E4CFE"/>
    <w:rsid w:val="002E586D"/>
    <w:rsid w:val="002E5D03"/>
    <w:rsid w:val="002E7B2E"/>
    <w:rsid w:val="002E7DC1"/>
    <w:rsid w:val="002F0AB0"/>
    <w:rsid w:val="002F1903"/>
    <w:rsid w:val="002F5115"/>
    <w:rsid w:val="002F7303"/>
    <w:rsid w:val="002F767B"/>
    <w:rsid w:val="002F79A1"/>
    <w:rsid w:val="00300088"/>
    <w:rsid w:val="0030068B"/>
    <w:rsid w:val="003021B4"/>
    <w:rsid w:val="00304727"/>
    <w:rsid w:val="0030581D"/>
    <w:rsid w:val="0030630B"/>
    <w:rsid w:val="00306349"/>
    <w:rsid w:val="0030758F"/>
    <w:rsid w:val="00307780"/>
    <w:rsid w:val="003123A4"/>
    <w:rsid w:val="00312480"/>
    <w:rsid w:val="0031303C"/>
    <w:rsid w:val="003132E9"/>
    <w:rsid w:val="00313667"/>
    <w:rsid w:val="003150A4"/>
    <w:rsid w:val="003168B9"/>
    <w:rsid w:val="00317FA1"/>
    <w:rsid w:val="00320EBC"/>
    <w:rsid w:val="00320F5A"/>
    <w:rsid w:val="00323238"/>
    <w:rsid w:val="00324D70"/>
    <w:rsid w:val="0032507A"/>
    <w:rsid w:val="00325559"/>
    <w:rsid w:val="003255A8"/>
    <w:rsid w:val="003273E5"/>
    <w:rsid w:val="0032792A"/>
    <w:rsid w:val="00330270"/>
    <w:rsid w:val="00331652"/>
    <w:rsid w:val="00332393"/>
    <w:rsid w:val="00332BDB"/>
    <w:rsid w:val="00332DB8"/>
    <w:rsid w:val="00333FEB"/>
    <w:rsid w:val="003345F3"/>
    <w:rsid w:val="00341550"/>
    <w:rsid w:val="00342365"/>
    <w:rsid w:val="00342BE8"/>
    <w:rsid w:val="003437F0"/>
    <w:rsid w:val="00343B4E"/>
    <w:rsid w:val="00344857"/>
    <w:rsid w:val="00344CE2"/>
    <w:rsid w:val="00345455"/>
    <w:rsid w:val="00345478"/>
    <w:rsid w:val="00345581"/>
    <w:rsid w:val="0034573C"/>
    <w:rsid w:val="00347E3E"/>
    <w:rsid w:val="00350FE4"/>
    <w:rsid w:val="00352693"/>
    <w:rsid w:val="00353438"/>
    <w:rsid w:val="0035463F"/>
    <w:rsid w:val="0035499E"/>
    <w:rsid w:val="0035520B"/>
    <w:rsid w:val="00356930"/>
    <w:rsid w:val="003569CD"/>
    <w:rsid w:val="00356FFD"/>
    <w:rsid w:val="00357914"/>
    <w:rsid w:val="003601A5"/>
    <w:rsid w:val="003617CC"/>
    <w:rsid w:val="0036219B"/>
    <w:rsid w:val="00362FFE"/>
    <w:rsid w:val="0036478C"/>
    <w:rsid w:val="003653CD"/>
    <w:rsid w:val="00366AA7"/>
    <w:rsid w:val="00367282"/>
    <w:rsid w:val="003678FB"/>
    <w:rsid w:val="0037029A"/>
    <w:rsid w:val="003720C3"/>
    <w:rsid w:val="00372591"/>
    <w:rsid w:val="003729AA"/>
    <w:rsid w:val="003754FA"/>
    <w:rsid w:val="0037689E"/>
    <w:rsid w:val="00376D5F"/>
    <w:rsid w:val="00376EB0"/>
    <w:rsid w:val="00382148"/>
    <w:rsid w:val="003824AE"/>
    <w:rsid w:val="00382D52"/>
    <w:rsid w:val="00382FFD"/>
    <w:rsid w:val="00383528"/>
    <w:rsid w:val="0038725A"/>
    <w:rsid w:val="00387706"/>
    <w:rsid w:val="00391369"/>
    <w:rsid w:val="00391509"/>
    <w:rsid w:val="00392F19"/>
    <w:rsid w:val="0039322B"/>
    <w:rsid w:val="00393F83"/>
    <w:rsid w:val="00394600"/>
    <w:rsid w:val="00394C33"/>
    <w:rsid w:val="00394D15"/>
    <w:rsid w:val="00394E3C"/>
    <w:rsid w:val="0039537F"/>
    <w:rsid w:val="003963BF"/>
    <w:rsid w:val="003A22C3"/>
    <w:rsid w:val="003A256E"/>
    <w:rsid w:val="003A3EA6"/>
    <w:rsid w:val="003A4108"/>
    <w:rsid w:val="003A4663"/>
    <w:rsid w:val="003A7CD6"/>
    <w:rsid w:val="003B0BD0"/>
    <w:rsid w:val="003B0FF2"/>
    <w:rsid w:val="003B1491"/>
    <w:rsid w:val="003B25E6"/>
    <w:rsid w:val="003B2B53"/>
    <w:rsid w:val="003B31CD"/>
    <w:rsid w:val="003B38B6"/>
    <w:rsid w:val="003B640E"/>
    <w:rsid w:val="003C2351"/>
    <w:rsid w:val="003C2CE4"/>
    <w:rsid w:val="003C348D"/>
    <w:rsid w:val="003D0FA2"/>
    <w:rsid w:val="003D15F7"/>
    <w:rsid w:val="003D23EF"/>
    <w:rsid w:val="003D3593"/>
    <w:rsid w:val="003D4029"/>
    <w:rsid w:val="003D4B48"/>
    <w:rsid w:val="003E06F9"/>
    <w:rsid w:val="003E0A20"/>
    <w:rsid w:val="003E1015"/>
    <w:rsid w:val="003E1B89"/>
    <w:rsid w:val="003E2C8A"/>
    <w:rsid w:val="003E4323"/>
    <w:rsid w:val="003E4AEB"/>
    <w:rsid w:val="003E4F05"/>
    <w:rsid w:val="003E5845"/>
    <w:rsid w:val="003E5E26"/>
    <w:rsid w:val="003E7C33"/>
    <w:rsid w:val="003F11E6"/>
    <w:rsid w:val="003F24A3"/>
    <w:rsid w:val="003F2A77"/>
    <w:rsid w:val="003F4ED6"/>
    <w:rsid w:val="003F5408"/>
    <w:rsid w:val="003F56AB"/>
    <w:rsid w:val="003F66C4"/>
    <w:rsid w:val="003F672E"/>
    <w:rsid w:val="00400237"/>
    <w:rsid w:val="00407713"/>
    <w:rsid w:val="00407E9E"/>
    <w:rsid w:val="00410853"/>
    <w:rsid w:val="00411316"/>
    <w:rsid w:val="004118B4"/>
    <w:rsid w:val="00411937"/>
    <w:rsid w:val="00411CD1"/>
    <w:rsid w:val="00411E06"/>
    <w:rsid w:val="0041448B"/>
    <w:rsid w:val="00414715"/>
    <w:rsid w:val="0041515C"/>
    <w:rsid w:val="00415548"/>
    <w:rsid w:val="00415F44"/>
    <w:rsid w:val="00416AA2"/>
    <w:rsid w:val="00417ED8"/>
    <w:rsid w:val="00420BCA"/>
    <w:rsid w:val="00420E37"/>
    <w:rsid w:val="00421ADD"/>
    <w:rsid w:val="00424419"/>
    <w:rsid w:val="0042584C"/>
    <w:rsid w:val="00425EB1"/>
    <w:rsid w:val="00430D94"/>
    <w:rsid w:val="00431ACD"/>
    <w:rsid w:val="004324E1"/>
    <w:rsid w:val="00433A80"/>
    <w:rsid w:val="004344B5"/>
    <w:rsid w:val="00434937"/>
    <w:rsid w:val="00436AB1"/>
    <w:rsid w:val="00437EA8"/>
    <w:rsid w:val="00441A52"/>
    <w:rsid w:val="004443FE"/>
    <w:rsid w:val="00445331"/>
    <w:rsid w:val="0044640E"/>
    <w:rsid w:val="00446A7D"/>
    <w:rsid w:val="00447CF8"/>
    <w:rsid w:val="00453FE7"/>
    <w:rsid w:val="00454A6F"/>
    <w:rsid w:val="00455276"/>
    <w:rsid w:val="00460562"/>
    <w:rsid w:val="00460C3F"/>
    <w:rsid w:val="00467266"/>
    <w:rsid w:val="00467C17"/>
    <w:rsid w:val="00470891"/>
    <w:rsid w:val="004715E6"/>
    <w:rsid w:val="00471671"/>
    <w:rsid w:val="00474EF7"/>
    <w:rsid w:val="00475A3A"/>
    <w:rsid w:val="00475BA9"/>
    <w:rsid w:val="00476222"/>
    <w:rsid w:val="00476ED0"/>
    <w:rsid w:val="004778AE"/>
    <w:rsid w:val="004801CF"/>
    <w:rsid w:val="004812CD"/>
    <w:rsid w:val="00482652"/>
    <w:rsid w:val="00482C89"/>
    <w:rsid w:val="00482D84"/>
    <w:rsid w:val="00485391"/>
    <w:rsid w:val="0048651E"/>
    <w:rsid w:val="004872AE"/>
    <w:rsid w:val="004916A6"/>
    <w:rsid w:val="00491DE9"/>
    <w:rsid w:val="00492969"/>
    <w:rsid w:val="00492B72"/>
    <w:rsid w:val="004932D5"/>
    <w:rsid w:val="00493962"/>
    <w:rsid w:val="00494514"/>
    <w:rsid w:val="0049480E"/>
    <w:rsid w:val="0049579A"/>
    <w:rsid w:val="00496D58"/>
    <w:rsid w:val="00497C73"/>
    <w:rsid w:val="004A0154"/>
    <w:rsid w:val="004A0CA3"/>
    <w:rsid w:val="004A2810"/>
    <w:rsid w:val="004A2CA3"/>
    <w:rsid w:val="004A2F4B"/>
    <w:rsid w:val="004A31FD"/>
    <w:rsid w:val="004A3AED"/>
    <w:rsid w:val="004A4606"/>
    <w:rsid w:val="004A4AAB"/>
    <w:rsid w:val="004A5F10"/>
    <w:rsid w:val="004B11F8"/>
    <w:rsid w:val="004B3E98"/>
    <w:rsid w:val="004B6EF2"/>
    <w:rsid w:val="004B75B3"/>
    <w:rsid w:val="004C301D"/>
    <w:rsid w:val="004C3080"/>
    <w:rsid w:val="004C4E25"/>
    <w:rsid w:val="004D341C"/>
    <w:rsid w:val="004D3699"/>
    <w:rsid w:val="004D3723"/>
    <w:rsid w:val="004D49E6"/>
    <w:rsid w:val="004D59D7"/>
    <w:rsid w:val="004D6B0E"/>
    <w:rsid w:val="004E028C"/>
    <w:rsid w:val="004E05DA"/>
    <w:rsid w:val="004E23A0"/>
    <w:rsid w:val="004E57BE"/>
    <w:rsid w:val="004E61FE"/>
    <w:rsid w:val="004E70AF"/>
    <w:rsid w:val="004E72D1"/>
    <w:rsid w:val="004F295D"/>
    <w:rsid w:val="004F2CCE"/>
    <w:rsid w:val="004F3435"/>
    <w:rsid w:val="004F3650"/>
    <w:rsid w:val="004F6867"/>
    <w:rsid w:val="004F737B"/>
    <w:rsid w:val="00500C42"/>
    <w:rsid w:val="005037C5"/>
    <w:rsid w:val="005060BA"/>
    <w:rsid w:val="00506C18"/>
    <w:rsid w:val="00506F6C"/>
    <w:rsid w:val="00507805"/>
    <w:rsid w:val="00507CE4"/>
    <w:rsid w:val="00510E86"/>
    <w:rsid w:val="00511F22"/>
    <w:rsid w:val="0051235B"/>
    <w:rsid w:val="00514556"/>
    <w:rsid w:val="005149CA"/>
    <w:rsid w:val="00515725"/>
    <w:rsid w:val="005158E0"/>
    <w:rsid w:val="00516FD0"/>
    <w:rsid w:val="00517755"/>
    <w:rsid w:val="005205A2"/>
    <w:rsid w:val="00521DB0"/>
    <w:rsid w:val="005225A9"/>
    <w:rsid w:val="00522D2C"/>
    <w:rsid w:val="0052378C"/>
    <w:rsid w:val="00524DC5"/>
    <w:rsid w:val="00524EAA"/>
    <w:rsid w:val="0052598C"/>
    <w:rsid w:val="00525BDF"/>
    <w:rsid w:val="005265D6"/>
    <w:rsid w:val="005268A8"/>
    <w:rsid w:val="005273CC"/>
    <w:rsid w:val="005276F7"/>
    <w:rsid w:val="005279DF"/>
    <w:rsid w:val="00530F93"/>
    <w:rsid w:val="005328AD"/>
    <w:rsid w:val="0053366D"/>
    <w:rsid w:val="00533F83"/>
    <w:rsid w:val="0053402D"/>
    <w:rsid w:val="005340B5"/>
    <w:rsid w:val="00535723"/>
    <w:rsid w:val="0053623F"/>
    <w:rsid w:val="005362F5"/>
    <w:rsid w:val="00536383"/>
    <w:rsid w:val="00536CA3"/>
    <w:rsid w:val="00540BF6"/>
    <w:rsid w:val="00540D10"/>
    <w:rsid w:val="00541BD4"/>
    <w:rsid w:val="0054263B"/>
    <w:rsid w:val="00542B61"/>
    <w:rsid w:val="005431F0"/>
    <w:rsid w:val="005459A1"/>
    <w:rsid w:val="00545AF8"/>
    <w:rsid w:val="00545F5F"/>
    <w:rsid w:val="00550300"/>
    <w:rsid w:val="00550DC6"/>
    <w:rsid w:val="00553D77"/>
    <w:rsid w:val="00554464"/>
    <w:rsid w:val="00556BF9"/>
    <w:rsid w:val="00556DE1"/>
    <w:rsid w:val="005606EA"/>
    <w:rsid w:val="00561248"/>
    <w:rsid w:val="005619B8"/>
    <w:rsid w:val="00561CA0"/>
    <w:rsid w:val="00563A7F"/>
    <w:rsid w:val="005647DD"/>
    <w:rsid w:val="00564968"/>
    <w:rsid w:val="00570DD2"/>
    <w:rsid w:val="00572A8C"/>
    <w:rsid w:val="00573618"/>
    <w:rsid w:val="005751BB"/>
    <w:rsid w:val="005769F9"/>
    <w:rsid w:val="005774CA"/>
    <w:rsid w:val="00580BE9"/>
    <w:rsid w:val="0058171A"/>
    <w:rsid w:val="00581C2C"/>
    <w:rsid w:val="005821CC"/>
    <w:rsid w:val="00582EF6"/>
    <w:rsid w:val="00583012"/>
    <w:rsid w:val="00583601"/>
    <w:rsid w:val="0058363F"/>
    <w:rsid w:val="00583928"/>
    <w:rsid w:val="00584F31"/>
    <w:rsid w:val="0058565F"/>
    <w:rsid w:val="00585BE4"/>
    <w:rsid w:val="00590BFF"/>
    <w:rsid w:val="005929C0"/>
    <w:rsid w:val="00592A9F"/>
    <w:rsid w:val="005938BD"/>
    <w:rsid w:val="00593ECF"/>
    <w:rsid w:val="00595073"/>
    <w:rsid w:val="005958FD"/>
    <w:rsid w:val="00596067"/>
    <w:rsid w:val="0059675F"/>
    <w:rsid w:val="00596DA1"/>
    <w:rsid w:val="005A0C64"/>
    <w:rsid w:val="005A1BA2"/>
    <w:rsid w:val="005A209D"/>
    <w:rsid w:val="005A2162"/>
    <w:rsid w:val="005A3142"/>
    <w:rsid w:val="005A4013"/>
    <w:rsid w:val="005A4040"/>
    <w:rsid w:val="005A42ED"/>
    <w:rsid w:val="005A5E6E"/>
    <w:rsid w:val="005A5EC9"/>
    <w:rsid w:val="005A621A"/>
    <w:rsid w:val="005A6EBF"/>
    <w:rsid w:val="005A765C"/>
    <w:rsid w:val="005A7CC3"/>
    <w:rsid w:val="005B079B"/>
    <w:rsid w:val="005B216B"/>
    <w:rsid w:val="005B4CF6"/>
    <w:rsid w:val="005B55AB"/>
    <w:rsid w:val="005B6BCD"/>
    <w:rsid w:val="005B762F"/>
    <w:rsid w:val="005C0CA3"/>
    <w:rsid w:val="005C0DCE"/>
    <w:rsid w:val="005C0E71"/>
    <w:rsid w:val="005C2DC5"/>
    <w:rsid w:val="005C47DE"/>
    <w:rsid w:val="005C542A"/>
    <w:rsid w:val="005C625D"/>
    <w:rsid w:val="005C6290"/>
    <w:rsid w:val="005C65A6"/>
    <w:rsid w:val="005C7BD7"/>
    <w:rsid w:val="005C7F64"/>
    <w:rsid w:val="005D0AC1"/>
    <w:rsid w:val="005D0C14"/>
    <w:rsid w:val="005D2A51"/>
    <w:rsid w:val="005D3869"/>
    <w:rsid w:val="005D3CA7"/>
    <w:rsid w:val="005E0854"/>
    <w:rsid w:val="005E199B"/>
    <w:rsid w:val="005E3657"/>
    <w:rsid w:val="005E38E5"/>
    <w:rsid w:val="005E3D85"/>
    <w:rsid w:val="005E5BB5"/>
    <w:rsid w:val="005E5F9A"/>
    <w:rsid w:val="005E7238"/>
    <w:rsid w:val="005F0A92"/>
    <w:rsid w:val="005F0D65"/>
    <w:rsid w:val="005F1022"/>
    <w:rsid w:val="005F2B8D"/>
    <w:rsid w:val="005F3805"/>
    <w:rsid w:val="005F3980"/>
    <w:rsid w:val="005F46AC"/>
    <w:rsid w:val="005F48FB"/>
    <w:rsid w:val="005F5416"/>
    <w:rsid w:val="005F5D41"/>
    <w:rsid w:val="005F7664"/>
    <w:rsid w:val="00600256"/>
    <w:rsid w:val="0060195A"/>
    <w:rsid w:val="0060386D"/>
    <w:rsid w:val="00605288"/>
    <w:rsid w:val="006057CA"/>
    <w:rsid w:val="00606165"/>
    <w:rsid w:val="0060732F"/>
    <w:rsid w:val="00607BC0"/>
    <w:rsid w:val="00607CE6"/>
    <w:rsid w:val="00610B99"/>
    <w:rsid w:val="00610E84"/>
    <w:rsid w:val="00610EE8"/>
    <w:rsid w:val="00610F17"/>
    <w:rsid w:val="0061317A"/>
    <w:rsid w:val="0061436F"/>
    <w:rsid w:val="00614F38"/>
    <w:rsid w:val="00614F75"/>
    <w:rsid w:val="00616454"/>
    <w:rsid w:val="00617908"/>
    <w:rsid w:val="00620D02"/>
    <w:rsid w:val="00621382"/>
    <w:rsid w:val="006223B6"/>
    <w:rsid w:val="00622ADE"/>
    <w:rsid w:val="00623063"/>
    <w:rsid w:val="00624727"/>
    <w:rsid w:val="00624B76"/>
    <w:rsid w:val="00624EE8"/>
    <w:rsid w:val="00626939"/>
    <w:rsid w:val="00630D02"/>
    <w:rsid w:val="006312A5"/>
    <w:rsid w:val="00631457"/>
    <w:rsid w:val="00631489"/>
    <w:rsid w:val="00631E1B"/>
    <w:rsid w:val="0063267B"/>
    <w:rsid w:val="00633525"/>
    <w:rsid w:val="0063434F"/>
    <w:rsid w:val="00635D45"/>
    <w:rsid w:val="0063646F"/>
    <w:rsid w:val="00637155"/>
    <w:rsid w:val="0063718D"/>
    <w:rsid w:val="00637468"/>
    <w:rsid w:val="00637609"/>
    <w:rsid w:val="00640488"/>
    <w:rsid w:val="00642EF3"/>
    <w:rsid w:val="00644A39"/>
    <w:rsid w:val="00644CC4"/>
    <w:rsid w:val="00645D5C"/>
    <w:rsid w:val="0064714C"/>
    <w:rsid w:val="00647417"/>
    <w:rsid w:val="00647661"/>
    <w:rsid w:val="00647BA8"/>
    <w:rsid w:val="006506E2"/>
    <w:rsid w:val="00652D14"/>
    <w:rsid w:val="00653B0B"/>
    <w:rsid w:val="006544F1"/>
    <w:rsid w:val="00654EA4"/>
    <w:rsid w:val="00656737"/>
    <w:rsid w:val="006571D0"/>
    <w:rsid w:val="00657306"/>
    <w:rsid w:val="00660E67"/>
    <w:rsid w:val="0066299E"/>
    <w:rsid w:val="00663DC6"/>
    <w:rsid w:val="00664319"/>
    <w:rsid w:val="00664EA3"/>
    <w:rsid w:val="006651D3"/>
    <w:rsid w:val="00665212"/>
    <w:rsid w:val="006659D2"/>
    <w:rsid w:val="006668AF"/>
    <w:rsid w:val="00666D5E"/>
    <w:rsid w:val="0066728B"/>
    <w:rsid w:val="00667656"/>
    <w:rsid w:val="00671369"/>
    <w:rsid w:val="0067209E"/>
    <w:rsid w:val="00675D1B"/>
    <w:rsid w:val="006765A3"/>
    <w:rsid w:val="00677002"/>
    <w:rsid w:val="00677D14"/>
    <w:rsid w:val="0068078E"/>
    <w:rsid w:val="006822E7"/>
    <w:rsid w:val="006823C3"/>
    <w:rsid w:val="00682B42"/>
    <w:rsid w:val="006837CC"/>
    <w:rsid w:val="006839CD"/>
    <w:rsid w:val="00684A0D"/>
    <w:rsid w:val="0068533C"/>
    <w:rsid w:val="0068539A"/>
    <w:rsid w:val="00686571"/>
    <w:rsid w:val="006867A2"/>
    <w:rsid w:val="0068787C"/>
    <w:rsid w:val="00690954"/>
    <w:rsid w:val="00690A90"/>
    <w:rsid w:val="006916E5"/>
    <w:rsid w:val="00691DDD"/>
    <w:rsid w:val="00695094"/>
    <w:rsid w:val="0069592B"/>
    <w:rsid w:val="00695CC5"/>
    <w:rsid w:val="00695DC1"/>
    <w:rsid w:val="0069697E"/>
    <w:rsid w:val="006A3E84"/>
    <w:rsid w:val="006A4384"/>
    <w:rsid w:val="006A545E"/>
    <w:rsid w:val="006A61BA"/>
    <w:rsid w:val="006A6558"/>
    <w:rsid w:val="006A7225"/>
    <w:rsid w:val="006B1249"/>
    <w:rsid w:val="006B19C8"/>
    <w:rsid w:val="006B24A1"/>
    <w:rsid w:val="006B30B7"/>
    <w:rsid w:val="006B3931"/>
    <w:rsid w:val="006B3E7F"/>
    <w:rsid w:val="006B6B01"/>
    <w:rsid w:val="006B6E58"/>
    <w:rsid w:val="006C13EF"/>
    <w:rsid w:val="006C1B47"/>
    <w:rsid w:val="006C2FCB"/>
    <w:rsid w:val="006C3F84"/>
    <w:rsid w:val="006C47E3"/>
    <w:rsid w:val="006C51AC"/>
    <w:rsid w:val="006C56BF"/>
    <w:rsid w:val="006C5886"/>
    <w:rsid w:val="006C7AE4"/>
    <w:rsid w:val="006D0B57"/>
    <w:rsid w:val="006D150E"/>
    <w:rsid w:val="006D256D"/>
    <w:rsid w:val="006D2FE8"/>
    <w:rsid w:val="006D39D9"/>
    <w:rsid w:val="006D3EA1"/>
    <w:rsid w:val="006D44E2"/>
    <w:rsid w:val="006D5BA3"/>
    <w:rsid w:val="006E0A0F"/>
    <w:rsid w:val="006E3512"/>
    <w:rsid w:val="006E4566"/>
    <w:rsid w:val="006E4888"/>
    <w:rsid w:val="006E5F50"/>
    <w:rsid w:val="006E6FEF"/>
    <w:rsid w:val="006F1431"/>
    <w:rsid w:val="006F1A36"/>
    <w:rsid w:val="006F2ED8"/>
    <w:rsid w:val="006F545F"/>
    <w:rsid w:val="006F66C7"/>
    <w:rsid w:val="006F72C9"/>
    <w:rsid w:val="00701455"/>
    <w:rsid w:val="00704BCC"/>
    <w:rsid w:val="0070599F"/>
    <w:rsid w:val="00705ABB"/>
    <w:rsid w:val="0070604A"/>
    <w:rsid w:val="00706C70"/>
    <w:rsid w:val="00706F1B"/>
    <w:rsid w:val="00707CAF"/>
    <w:rsid w:val="00710B87"/>
    <w:rsid w:val="00712976"/>
    <w:rsid w:val="0071359D"/>
    <w:rsid w:val="00714427"/>
    <w:rsid w:val="00714504"/>
    <w:rsid w:val="00714542"/>
    <w:rsid w:val="00714A8E"/>
    <w:rsid w:val="00714DE7"/>
    <w:rsid w:val="0072114E"/>
    <w:rsid w:val="007212E2"/>
    <w:rsid w:val="007232B7"/>
    <w:rsid w:val="00725409"/>
    <w:rsid w:val="007269AC"/>
    <w:rsid w:val="007277AB"/>
    <w:rsid w:val="00730271"/>
    <w:rsid w:val="00732D45"/>
    <w:rsid w:val="00732D64"/>
    <w:rsid w:val="00732F20"/>
    <w:rsid w:val="007331B8"/>
    <w:rsid w:val="007334FD"/>
    <w:rsid w:val="007338DD"/>
    <w:rsid w:val="00736429"/>
    <w:rsid w:val="00737A32"/>
    <w:rsid w:val="00737AA1"/>
    <w:rsid w:val="007400E4"/>
    <w:rsid w:val="00740DEA"/>
    <w:rsid w:val="007432F1"/>
    <w:rsid w:val="007432FF"/>
    <w:rsid w:val="00743D3F"/>
    <w:rsid w:val="00746810"/>
    <w:rsid w:val="00746C65"/>
    <w:rsid w:val="007473A6"/>
    <w:rsid w:val="007474C7"/>
    <w:rsid w:val="007478D2"/>
    <w:rsid w:val="007500E0"/>
    <w:rsid w:val="0075019F"/>
    <w:rsid w:val="00750337"/>
    <w:rsid w:val="0075330E"/>
    <w:rsid w:val="00754B64"/>
    <w:rsid w:val="007551FE"/>
    <w:rsid w:val="00756971"/>
    <w:rsid w:val="00756B88"/>
    <w:rsid w:val="007571FB"/>
    <w:rsid w:val="00757474"/>
    <w:rsid w:val="00760032"/>
    <w:rsid w:val="007606AA"/>
    <w:rsid w:val="00763D3C"/>
    <w:rsid w:val="00763F1E"/>
    <w:rsid w:val="00764A2A"/>
    <w:rsid w:val="00764C4D"/>
    <w:rsid w:val="0076691E"/>
    <w:rsid w:val="00766AE8"/>
    <w:rsid w:val="00766CFE"/>
    <w:rsid w:val="007674E0"/>
    <w:rsid w:val="0077064C"/>
    <w:rsid w:val="00772222"/>
    <w:rsid w:val="00773053"/>
    <w:rsid w:val="0077309C"/>
    <w:rsid w:val="007734C1"/>
    <w:rsid w:val="00775E0F"/>
    <w:rsid w:val="00777BFF"/>
    <w:rsid w:val="00780F7B"/>
    <w:rsid w:val="0078140D"/>
    <w:rsid w:val="00786697"/>
    <w:rsid w:val="00786A25"/>
    <w:rsid w:val="007924FD"/>
    <w:rsid w:val="0079291B"/>
    <w:rsid w:val="00793292"/>
    <w:rsid w:val="00794AAA"/>
    <w:rsid w:val="00795DF5"/>
    <w:rsid w:val="007961F4"/>
    <w:rsid w:val="007A02B7"/>
    <w:rsid w:val="007A2C2C"/>
    <w:rsid w:val="007A3D29"/>
    <w:rsid w:val="007A4606"/>
    <w:rsid w:val="007A587D"/>
    <w:rsid w:val="007A5D6C"/>
    <w:rsid w:val="007B1498"/>
    <w:rsid w:val="007B29A5"/>
    <w:rsid w:val="007B4F2E"/>
    <w:rsid w:val="007B548E"/>
    <w:rsid w:val="007B5E63"/>
    <w:rsid w:val="007C0D24"/>
    <w:rsid w:val="007C10C9"/>
    <w:rsid w:val="007C14F8"/>
    <w:rsid w:val="007C28C6"/>
    <w:rsid w:val="007C3347"/>
    <w:rsid w:val="007C4F39"/>
    <w:rsid w:val="007C64DE"/>
    <w:rsid w:val="007C7FFE"/>
    <w:rsid w:val="007D07B8"/>
    <w:rsid w:val="007D08CA"/>
    <w:rsid w:val="007D19A7"/>
    <w:rsid w:val="007D1D38"/>
    <w:rsid w:val="007D2317"/>
    <w:rsid w:val="007D5E07"/>
    <w:rsid w:val="007D6A04"/>
    <w:rsid w:val="007D6C2F"/>
    <w:rsid w:val="007D6DDF"/>
    <w:rsid w:val="007E4191"/>
    <w:rsid w:val="007E46E6"/>
    <w:rsid w:val="007E5F05"/>
    <w:rsid w:val="007E737C"/>
    <w:rsid w:val="007E74F2"/>
    <w:rsid w:val="007F02D1"/>
    <w:rsid w:val="007F129C"/>
    <w:rsid w:val="007F173E"/>
    <w:rsid w:val="007F17AF"/>
    <w:rsid w:val="007F1937"/>
    <w:rsid w:val="007F24DB"/>
    <w:rsid w:val="007F33CE"/>
    <w:rsid w:val="007F56C0"/>
    <w:rsid w:val="008006CA"/>
    <w:rsid w:val="00800721"/>
    <w:rsid w:val="008017C6"/>
    <w:rsid w:val="00801A04"/>
    <w:rsid w:val="00803BF5"/>
    <w:rsid w:val="00803F85"/>
    <w:rsid w:val="00804FB8"/>
    <w:rsid w:val="008055C7"/>
    <w:rsid w:val="00806FD4"/>
    <w:rsid w:val="00811485"/>
    <w:rsid w:val="00812E61"/>
    <w:rsid w:val="00813937"/>
    <w:rsid w:val="008143AF"/>
    <w:rsid w:val="00815617"/>
    <w:rsid w:val="00816117"/>
    <w:rsid w:val="0081619D"/>
    <w:rsid w:val="00820912"/>
    <w:rsid w:val="00821F9A"/>
    <w:rsid w:val="008225ED"/>
    <w:rsid w:val="008227AB"/>
    <w:rsid w:val="008228C9"/>
    <w:rsid w:val="00823946"/>
    <w:rsid w:val="00824239"/>
    <w:rsid w:val="008243F7"/>
    <w:rsid w:val="00824937"/>
    <w:rsid w:val="00825B84"/>
    <w:rsid w:val="008263D5"/>
    <w:rsid w:val="008271D9"/>
    <w:rsid w:val="0083088B"/>
    <w:rsid w:val="00830A79"/>
    <w:rsid w:val="00833B83"/>
    <w:rsid w:val="00836B7C"/>
    <w:rsid w:val="00837396"/>
    <w:rsid w:val="00840B78"/>
    <w:rsid w:val="00842F9C"/>
    <w:rsid w:val="00845246"/>
    <w:rsid w:val="00845D51"/>
    <w:rsid w:val="00845E7F"/>
    <w:rsid w:val="008460FD"/>
    <w:rsid w:val="008476EE"/>
    <w:rsid w:val="00847728"/>
    <w:rsid w:val="00847B24"/>
    <w:rsid w:val="008506F4"/>
    <w:rsid w:val="00850B3A"/>
    <w:rsid w:val="008511BF"/>
    <w:rsid w:val="00852B65"/>
    <w:rsid w:val="00854D00"/>
    <w:rsid w:val="00856AEF"/>
    <w:rsid w:val="00856B35"/>
    <w:rsid w:val="00861B2F"/>
    <w:rsid w:val="00863C85"/>
    <w:rsid w:val="008648BF"/>
    <w:rsid w:val="00870F58"/>
    <w:rsid w:val="008720A4"/>
    <w:rsid w:val="00874F75"/>
    <w:rsid w:val="00875C0F"/>
    <w:rsid w:val="008760D9"/>
    <w:rsid w:val="00876B01"/>
    <w:rsid w:val="00881260"/>
    <w:rsid w:val="0088371F"/>
    <w:rsid w:val="00885EFA"/>
    <w:rsid w:val="008863F6"/>
    <w:rsid w:val="00887497"/>
    <w:rsid w:val="00887617"/>
    <w:rsid w:val="00890599"/>
    <w:rsid w:val="00892067"/>
    <w:rsid w:val="00892D81"/>
    <w:rsid w:val="00893A5B"/>
    <w:rsid w:val="00893C33"/>
    <w:rsid w:val="0089797C"/>
    <w:rsid w:val="00897E26"/>
    <w:rsid w:val="00897FAC"/>
    <w:rsid w:val="008A0849"/>
    <w:rsid w:val="008A30AC"/>
    <w:rsid w:val="008A3B00"/>
    <w:rsid w:val="008A418F"/>
    <w:rsid w:val="008A5826"/>
    <w:rsid w:val="008A7A77"/>
    <w:rsid w:val="008A7FFA"/>
    <w:rsid w:val="008B11C2"/>
    <w:rsid w:val="008B1D81"/>
    <w:rsid w:val="008B2524"/>
    <w:rsid w:val="008B258B"/>
    <w:rsid w:val="008B2A9A"/>
    <w:rsid w:val="008B3892"/>
    <w:rsid w:val="008B41F2"/>
    <w:rsid w:val="008B4D48"/>
    <w:rsid w:val="008B6EEE"/>
    <w:rsid w:val="008C1EA9"/>
    <w:rsid w:val="008C3042"/>
    <w:rsid w:val="008C3384"/>
    <w:rsid w:val="008C3872"/>
    <w:rsid w:val="008C5140"/>
    <w:rsid w:val="008C6E79"/>
    <w:rsid w:val="008D2070"/>
    <w:rsid w:val="008D3E4A"/>
    <w:rsid w:val="008D3FF1"/>
    <w:rsid w:val="008D73AA"/>
    <w:rsid w:val="008E032F"/>
    <w:rsid w:val="008E04CD"/>
    <w:rsid w:val="008E0F2F"/>
    <w:rsid w:val="008E1142"/>
    <w:rsid w:val="008E1E63"/>
    <w:rsid w:val="008E48E2"/>
    <w:rsid w:val="008E61F8"/>
    <w:rsid w:val="008E7001"/>
    <w:rsid w:val="008E79F8"/>
    <w:rsid w:val="008F31E7"/>
    <w:rsid w:val="008F3888"/>
    <w:rsid w:val="008F5474"/>
    <w:rsid w:val="008F5957"/>
    <w:rsid w:val="008F638C"/>
    <w:rsid w:val="008F6729"/>
    <w:rsid w:val="00900E70"/>
    <w:rsid w:val="009028BD"/>
    <w:rsid w:val="009035D3"/>
    <w:rsid w:val="00905840"/>
    <w:rsid w:val="0090758A"/>
    <w:rsid w:val="0091082E"/>
    <w:rsid w:val="00910AAE"/>
    <w:rsid w:val="00911B05"/>
    <w:rsid w:val="00912436"/>
    <w:rsid w:val="00914BE8"/>
    <w:rsid w:val="009150B3"/>
    <w:rsid w:val="00916C27"/>
    <w:rsid w:val="00916F8A"/>
    <w:rsid w:val="00917FA4"/>
    <w:rsid w:val="00920A2C"/>
    <w:rsid w:val="009219D2"/>
    <w:rsid w:val="00922AED"/>
    <w:rsid w:val="00922C28"/>
    <w:rsid w:val="009241DD"/>
    <w:rsid w:val="00924391"/>
    <w:rsid w:val="009247B7"/>
    <w:rsid w:val="00924911"/>
    <w:rsid w:val="00926D75"/>
    <w:rsid w:val="0093236B"/>
    <w:rsid w:val="00932C23"/>
    <w:rsid w:val="00932D6F"/>
    <w:rsid w:val="009335F8"/>
    <w:rsid w:val="00934813"/>
    <w:rsid w:val="00934D53"/>
    <w:rsid w:val="009361A8"/>
    <w:rsid w:val="00936D88"/>
    <w:rsid w:val="00940840"/>
    <w:rsid w:val="009427ED"/>
    <w:rsid w:val="0094303A"/>
    <w:rsid w:val="00943AC2"/>
    <w:rsid w:val="00943BFA"/>
    <w:rsid w:val="00944D76"/>
    <w:rsid w:val="00944E75"/>
    <w:rsid w:val="00945D18"/>
    <w:rsid w:val="00946EE6"/>
    <w:rsid w:val="0094710C"/>
    <w:rsid w:val="00950742"/>
    <w:rsid w:val="00952AA2"/>
    <w:rsid w:val="009530A8"/>
    <w:rsid w:val="00953242"/>
    <w:rsid w:val="00953F91"/>
    <w:rsid w:val="00953FE2"/>
    <w:rsid w:val="00954770"/>
    <w:rsid w:val="00954A01"/>
    <w:rsid w:val="0095662F"/>
    <w:rsid w:val="0096050A"/>
    <w:rsid w:val="00960723"/>
    <w:rsid w:val="00960B97"/>
    <w:rsid w:val="00961BDA"/>
    <w:rsid w:val="00961D10"/>
    <w:rsid w:val="00963602"/>
    <w:rsid w:val="00964042"/>
    <w:rsid w:val="009642B0"/>
    <w:rsid w:val="0096566C"/>
    <w:rsid w:val="00966347"/>
    <w:rsid w:val="00966DAC"/>
    <w:rsid w:val="0097066D"/>
    <w:rsid w:val="00970D25"/>
    <w:rsid w:val="009723A5"/>
    <w:rsid w:val="0097284E"/>
    <w:rsid w:val="00973A93"/>
    <w:rsid w:val="00975342"/>
    <w:rsid w:val="00976BC1"/>
    <w:rsid w:val="009814BA"/>
    <w:rsid w:val="009820DD"/>
    <w:rsid w:val="009844AF"/>
    <w:rsid w:val="009846A4"/>
    <w:rsid w:val="00984F09"/>
    <w:rsid w:val="009850E2"/>
    <w:rsid w:val="00985A09"/>
    <w:rsid w:val="00985BCA"/>
    <w:rsid w:val="0099027F"/>
    <w:rsid w:val="00991064"/>
    <w:rsid w:val="00991D9E"/>
    <w:rsid w:val="00993A60"/>
    <w:rsid w:val="00994865"/>
    <w:rsid w:val="00994DF7"/>
    <w:rsid w:val="00995091"/>
    <w:rsid w:val="00996BFA"/>
    <w:rsid w:val="00997B07"/>
    <w:rsid w:val="009A058D"/>
    <w:rsid w:val="009A1C78"/>
    <w:rsid w:val="009A30E4"/>
    <w:rsid w:val="009A4412"/>
    <w:rsid w:val="009A530A"/>
    <w:rsid w:val="009A5B1E"/>
    <w:rsid w:val="009A6E50"/>
    <w:rsid w:val="009B0E3C"/>
    <w:rsid w:val="009B0EEB"/>
    <w:rsid w:val="009B24F6"/>
    <w:rsid w:val="009B3AFA"/>
    <w:rsid w:val="009B501D"/>
    <w:rsid w:val="009B53AF"/>
    <w:rsid w:val="009B5931"/>
    <w:rsid w:val="009C0B05"/>
    <w:rsid w:val="009C15CD"/>
    <w:rsid w:val="009C1ACA"/>
    <w:rsid w:val="009C22F9"/>
    <w:rsid w:val="009C2A84"/>
    <w:rsid w:val="009C2D29"/>
    <w:rsid w:val="009C3BDB"/>
    <w:rsid w:val="009C3E6A"/>
    <w:rsid w:val="009C4DA1"/>
    <w:rsid w:val="009C57B4"/>
    <w:rsid w:val="009C6FFE"/>
    <w:rsid w:val="009C70FC"/>
    <w:rsid w:val="009D0BC3"/>
    <w:rsid w:val="009D0BF9"/>
    <w:rsid w:val="009D1D8D"/>
    <w:rsid w:val="009D29B2"/>
    <w:rsid w:val="009D2CA5"/>
    <w:rsid w:val="009D45D7"/>
    <w:rsid w:val="009D5863"/>
    <w:rsid w:val="009D627F"/>
    <w:rsid w:val="009D6635"/>
    <w:rsid w:val="009D76C6"/>
    <w:rsid w:val="009D7ABD"/>
    <w:rsid w:val="009E07F8"/>
    <w:rsid w:val="009E0BA6"/>
    <w:rsid w:val="009E2373"/>
    <w:rsid w:val="009E55A8"/>
    <w:rsid w:val="009E7354"/>
    <w:rsid w:val="009E76D1"/>
    <w:rsid w:val="009F0111"/>
    <w:rsid w:val="009F10EF"/>
    <w:rsid w:val="009F286A"/>
    <w:rsid w:val="009F2C0A"/>
    <w:rsid w:val="009F323F"/>
    <w:rsid w:val="009F39F7"/>
    <w:rsid w:val="009F4140"/>
    <w:rsid w:val="009F61A6"/>
    <w:rsid w:val="009F677B"/>
    <w:rsid w:val="009F6AF5"/>
    <w:rsid w:val="00A03CDC"/>
    <w:rsid w:val="00A03E88"/>
    <w:rsid w:val="00A042BC"/>
    <w:rsid w:val="00A04563"/>
    <w:rsid w:val="00A11023"/>
    <w:rsid w:val="00A11908"/>
    <w:rsid w:val="00A14C3A"/>
    <w:rsid w:val="00A1549F"/>
    <w:rsid w:val="00A154B1"/>
    <w:rsid w:val="00A154D6"/>
    <w:rsid w:val="00A15AC1"/>
    <w:rsid w:val="00A17DE3"/>
    <w:rsid w:val="00A206F9"/>
    <w:rsid w:val="00A20AC2"/>
    <w:rsid w:val="00A20E7C"/>
    <w:rsid w:val="00A20F9A"/>
    <w:rsid w:val="00A212F2"/>
    <w:rsid w:val="00A2209F"/>
    <w:rsid w:val="00A22F78"/>
    <w:rsid w:val="00A232FD"/>
    <w:rsid w:val="00A23D91"/>
    <w:rsid w:val="00A25465"/>
    <w:rsid w:val="00A26834"/>
    <w:rsid w:val="00A27BBE"/>
    <w:rsid w:val="00A31BB7"/>
    <w:rsid w:val="00A333B5"/>
    <w:rsid w:val="00A3507D"/>
    <w:rsid w:val="00A35979"/>
    <w:rsid w:val="00A359D6"/>
    <w:rsid w:val="00A35A67"/>
    <w:rsid w:val="00A35D1A"/>
    <w:rsid w:val="00A367A1"/>
    <w:rsid w:val="00A36DBC"/>
    <w:rsid w:val="00A37263"/>
    <w:rsid w:val="00A377FD"/>
    <w:rsid w:val="00A37C4A"/>
    <w:rsid w:val="00A40800"/>
    <w:rsid w:val="00A418A0"/>
    <w:rsid w:val="00A42104"/>
    <w:rsid w:val="00A424B6"/>
    <w:rsid w:val="00A43583"/>
    <w:rsid w:val="00A43E26"/>
    <w:rsid w:val="00A458FE"/>
    <w:rsid w:val="00A462FA"/>
    <w:rsid w:val="00A46398"/>
    <w:rsid w:val="00A469D1"/>
    <w:rsid w:val="00A47D06"/>
    <w:rsid w:val="00A5077C"/>
    <w:rsid w:val="00A50B53"/>
    <w:rsid w:val="00A51A65"/>
    <w:rsid w:val="00A51F38"/>
    <w:rsid w:val="00A522AA"/>
    <w:rsid w:val="00A52C75"/>
    <w:rsid w:val="00A52F63"/>
    <w:rsid w:val="00A53364"/>
    <w:rsid w:val="00A53FAC"/>
    <w:rsid w:val="00A554BD"/>
    <w:rsid w:val="00A56529"/>
    <w:rsid w:val="00A56954"/>
    <w:rsid w:val="00A56F91"/>
    <w:rsid w:val="00A638FF"/>
    <w:rsid w:val="00A64E2D"/>
    <w:rsid w:val="00A65A70"/>
    <w:rsid w:val="00A66973"/>
    <w:rsid w:val="00A67E2B"/>
    <w:rsid w:val="00A71925"/>
    <w:rsid w:val="00A71AB9"/>
    <w:rsid w:val="00A71BC7"/>
    <w:rsid w:val="00A722A6"/>
    <w:rsid w:val="00A728DB"/>
    <w:rsid w:val="00A733CE"/>
    <w:rsid w:val="00A747BB"/>
    <w:rsid w:val="00A75E98"/>
    <w:rsid w:val="00A76AE3"/>
    <w:rsid w:val="00A813DB"/>
    <w:rsid w:val="00A8177D"/>
    <w:rsid w:val="00A82ACD"/>
    <w:rsid w:val="00A841B7"/>
    <w:rsid w:val="00A8465F"/>
    <w:rsid w:val="00A856A3"/>
    <w:rsid w:val="00A85918"/>
    <w:rsid w:val="00A85E88"/>
    <w:rsid w:val="00A8799D"/>
    <w:rsid w:val="00A91247"/>
    <w:rsid w:val="00A92A89"/>
    <w:rsid w:val="00A93472"/>
    <w:rsid w:val="00A93E48"/>
    <w:rsid w:val="00A9549A"/>
    <w:rsid w:val="00A9615D"/>
    <w:rsid w:val="00A97A08"/>
    <w:rsid w:val="00AA05B0"/>
    <w:rsid w:val="00AA0604"/>
    <w:rsid w:val="00AA1DDA"/>
    <w:rsid w:val="00AA25A8"/>
    <w:rsid w:val="00AA25E9"/>
    <w:rsid w:val="00AA6728"/>
    <w:rsid w:val="00AA6B3C"/>
    <w:rsid w:val="00AA7B3D"/>
    <w:rsid w:val="00AB1B28"/>
    <w:rsid w:val="00AB1E3D"/>
    <w:rsid w:val="00AB342E"/>
    <w:rsid w:val="00AB3A19"/>
    <w:rsid w:val="00AB453B"/>
    <w:rsid w:val="00AB52B4"/>
    <w:rsid w:val="00AB5396"/>
    <w:rsid w:val="00AB6741"/>
    <w:rsid w:val="00AB7FD6"/>
    <w:rsid w:val="00AC1710"/>
    <w:rsid w:val="00AC32F6"/>
    <w:rsid w:val="00AC3A2F"/>
    <w:rsid w:val="00AC631C"/>
    <w:rsid w:val="00AC67C3"/>
    <w:rsid w:val="00AC69F9"/>
    <w:rsid w:val="00AD1344"/>
    <w:rsid w:val="00AD168B"/>
    <w:rsid w:val="00AD1747"/>
    <w:rsid w:val="00AD18CB"/>
    <w:rsid w:val="00AD2054"/>
    <w:rsid w:val="00AD39C9"/>
    <w:rsid w:val="00AD4672"/>
    <w:rsid w:val="00AD70A2"/>
    <w:rsid w:val="00AD7621"/>
    <w:rsid w:val="00AE08C0"/>
    <w:rsid w:val="00AE2AEC"/>
    <w:rsid w:val="00AE2F6D"/>
    <w:rsid w:val="00AE32E6"/>
    <w:rsid w:val="00AE4A1F"/>
    <w:rsid w:val="00AE6865"/>
    <w:rsid w:val="00AE751D"/>
    <w:rsid w:val="00AF27AC"/>
    <w:rsid w:val="00AF2D9B"/>
    <w:rsid w:val="00AF372B"/>
    <w:rsid w:val="00AF44A0"/>
    <w:rsid w:val="00AF6134"/>
    <w:rsid w:val="00B04CB7"/>
    <w:rsid w:val="00B05FD1"/>
    <w:rsid w:val="00B07584"/>
    <w:rsid w:val="00B0796D"/>
    <w:rsid w:val="00B10DE3"/>
    <w:rsid w:val="00B1160E"/>
    <w:rsid w:val="00B117B3"/>
    <w:rsid w:val="00B12FE3"/>
    <w:rsid w:val="00B1300D"/>
    <w:rsid w:val="00B164DA"/>
    <w:rsid w:val="00B17327"/>
    <w:rsid w:val="00B17A40"/>
    <w:rsid w:val="00B208D9"/>
    <w:rsid w:val="00B228DC"/>
    <w:rsid w:val="00B23803"/>
    <w:rsid w:val="00B24FD9"/>
    <w:rsid w:val="00B25479"/>
    <w:rsid w:val="00B25517"/>
    <w:rsid w:val="00B26241"/>
    <w:rsid w:val="00B26939"/>
    <w:rsid w:val="00B30420"/>
    <w:rsid w:val="00B31B0D"/>
    <w:rsid w:val="00B32F6D"/>
    <w:rsid w:val="00B33DD6"/>
    <w:rsid w:val="00B36316"/>
    <w:rsid w:val="00B37E76"/>
    <w:rsid w:val="00B422BD"/>
    <w:rsid w:val="00B436E3"/>
    <w:rsid w:val="00B439CF"/>
    <w:rsid w:val="00B4442A"/>
    <w:rsid w:val="00B453EA"/>
    <w:rsid w:val="00B45FEB"/>
    <w:rsid w:val="00B4618F"/>
    <w:rsid w:val="00B468F5"/>
    <w:rsid w:val="00B479B6"/>
    <w:rsid w:val="00B47BD3"/>
    <w:rsid w:val="00B50091"/>
    <w:rsid w:val="00B5036B"/>
    <w:rsid w:val="00B51615"/>
    <w:rsid w:val="00B519D0"/>
    <w:rsid w:val="00B52770"/>
    <w:rsid w:val="00B542DF"/>
    <w:rsid w:val="00B55940"/>
    <w:rsid w:val="00B55C47"/>
    <w:rsid w:val="00B56D8F"/>
    <w:rsid w:val="00B5742F"/>
    <w:rsid w:val="00B6048B"/>
    <w:rsid w:val="00B60812"/>
    <w:rsid w:val="00B60ABB"/>
    <w:rsid w:val="00B60D58"/>
    <w:rsid w:val="00B62315"/>
    <w:rsid w:val="00B630BF"/>
    <w:rsid w:val="00B64427"/>
    <w:rsid w:val="00B64554"/>
    <w:rsid w:val="00B64DB2"/>
    <w:rsid w:val="00B65BB4"/>
    <w:rsid w:val="00B72216"/>
    <w:rsid w:val="00B72F94"/>
    <w:rsid w:val="00B744CE"/>
    <w:rsid w:val="00B75322"/>
    <w:rsid w:val="00B75895"/>
    <w:rsid w:val="00B769B6"/>
    <w:rsid w:val="00B76E5A"/>
    <w:rsid w:val="00B77D7A"/>
    <w:rsid w:val="00B81069"/>
    <w:rsid w:val="00B81BD4"/>
    <w:rsid w:val="00B81C59"/>
    <w:rsid w:val="00B82478"/>
    <w:rsid w:val="00B85F00"/>
    <w:rsid w:val="00B86CB5"/>
    <w:rsid w:val="00B877D2"/>
    <w:rsid w:val="00B8796B"/>
    <w:rsid w:val="00B90D5F"/>
    <w:rsid w:val="00B91132"/>
    <w:rsid w:val="00B95634"/>
    <w:rsid w:val="00BA0EBF"/>
    <w:rsid w:val="00BA22C8"/>
    <w:rsid w:val="00BA4487"/>
    <w:rsid w:val="00BA451C"/>
    <w:rsid w:val="00BA5DBE"/>
    <w:rsid w:val="00BA607B"/>
    <w:rsid w:val="00BA6125"/>
    <w:rsid w:val="00BB09BB"/>
    <w:rsid w:val="00BB0BBD"/>
    <w:rsid w:val="00BB1540"/>
    <w:rsid w:val="00BB52AF"/>
    <w:rsid w:val="00BB5495"/>
    <w:rsid w:val="00BB5586"/>
    <w:rsid w:val="00BB59FD"/>
    <w:rsid w:val="00BC62BB"/>
    <w:rsid w:val="00BC7A48"/>
    <w:rsid w:val="00BD0510"/>
    <w:rsid w:val="00BD06A3"/>
    <w:rsid w:val="00BD14E4"/>
    <w:rsid w:val="00BD14E6"/>
    <w:rsid w:val="00BD2012"/>
    <w:rsid w:val="00BD274D"/>
    <w:rsid w:val="00BD347F"/>
    <w:rsid w:val="00BD3D61"/>
    <w:rsid w:val="00BD3DB1"/>
    <w:rsid w:val="00BD41B9"/>
    <w:rsid w:val="00BD6743"/>
    <w:rsid w:val="00BD6AAE"/>
    <w:rsid w:val="00BD705D"/>
    <w:rsid w:val="00BE10A2"/>
    <w:rsid w:val="00BE3077"/>
    <w:rsid w:val="00BE37C4"/>
    <w:rsid w:val="00BE39B7"/>
    <w:rsid w:val="00BE5FDE"/>
    <w:rsid w:val="00BE6AAD"/>
    <w:rsid w:val="00BE7711"/>
    <w:rsid w:val="00BF0486"/>
    <w:rsid w:val="00BF2C06"/>
    <w:rsid w:val="00BF3934"/>
    <w:rsid w:val="00BF40BD"/>
    <w:rsid w:val="00BF49EA"/>
    <w:rsid w:val="00BF4B35"/>
    <w:rsid w:val="00BF5951"/>
    <w:rsid w:val="00BF6C44"/>
    <w:rsid w:val="00BF6DF0"/>
    <w:rsid w:val="00BF6ED6"/>
    <w:rsid w:val="00C00D4B"/>
    <w:rsid w:val="00C0129C"/>
    <w:rsid w:val="00C02990"/>
    <w:rsid w:val="00C04724"/>
    <w:rsid w:val="00C07D62"/>
    <w:rsid w:val="00C07FC9"/>
    <w:rsid w:val="00C10E6D"/>
    <w:rsid w:val="00C14142"/>
    <w:rsid w:val="00C1645C"/>
    <w:rsid w:val="00C17047"/>
    <w:rsid w:val="00C201D2"/>
    <w:rsid w:val="00C2160C"/>
    <w:rsid w:val="00C2163D"/>
    <w:rsid w:val="00C269E6"/>
    <w:rsid w:val="00C27F15"/>
    <w:rsid w:val="00C31020"/>
    <w:rsid w:val="00C31265"/>
    <w:rsid w:val="00C3141B"/>
    <w:rsid w:val="00C3532C"/>
    <w:rsid w:val="00C3571A"/>
    <w:rsid w:val="00C357EC"/>
    <w:rsid w:val="00C366F8"/>
    <w:rsid w:val="00C40964"/>
    <w:rsid w:val="00C4159E"/>
    <w:rsid w:val="00C41AFC"/>
    <w:rsid w:val="00C41DCD"/>
    <w:rsid w:val="00C420EF"/>
    <w:rsid w:val="00C42367"/>
    <w:rsid w:val="00C42A10"/>
    <w:rsid w:val="00C4486D"/>
    <w:rsid w:val="00C448B0"/>
    <w:rsid w:val="00C46DB5"/>
    <w:rsid w:val="00C50886"/>
    <w:rsid w:val="00C52657"/>
    <w:rsid w:val="00C52EAC"/>
    <w:rsid w:val="00C54ED1"/>
    <w:rsid w:val="00C57090"/>
    <w:rsid w:val="00C57C9A"/>
    <w:rsid w:val="00C602DF"/>
    <w:rsid w:val="00C6088C"/>
    <w:rsid w:val="00C61662"/>
    <w:rsid w:val="00C61884"/>
    <w:rsid w:val="00C61B5C"/>
    <w:rsid w:val="00C61EA0"/>
    <w:rsid w:val="00C63059"/>
    <w:rsid w:val="00C63D0A"/>
    <w:rsid w:val="00C70198"/>
    <w:rsid w:val="00C72015"/>
    <w:rsid w:val="00C7230E"/>
    <w:rsid w:val="00C73554"/>
    <w:rsid w:val="00C73CB7"/>
    <w:rsid w:val="00C75267"/>
    <w:rsid w:val="00C75E56"/>
    <w:rsid w:val="00C76171"/>
    <w:rsid w:val="00C76840"/>
    <w:rsid w:val="00C7745B"/>
    <w:rsid w:val="00C83234"/>
    <w:rsid w:val="00C83AAD"/>
    <w:rsid w:val="00C85B6D"/>
    <w:rsid w:val="00C85B7B"/>
    <w:rsid w:val="00C865FF"/>
    <w:rsid w:val="00C86E1B"/>
    <w:rsid w:val="00C87992"/>
    <w:rsid w:val="00C90939"/>
    <w:rsid w:val="00C90D3E"/>
    <w:rsid w:val="00C912E6"/>
    <w:rsid w:val="00C921D1"/>
    <w:rsid w:val="00C938BC"/>
    <w:rsid w:val="00C93CDD"/>
    <w:rsid w:val="00C93E61"/>
    <w:rsid w:val="00C94044"/>
    <w:rsid w:val="00C944E3"/>
    <w:rsid w:val="00C96B72"/>
    <w:rsid w:val="00C96DF7"/>
    <w:rsid w:val="00CA0203"/>
    <w:rsid w:val="00CA1278"/>
    <w:rsid w:val="00CA1502"/>
    <w:rsid w:val="00CA157B"/>
    <w:rsid w:val="00CA406B"/>
    <w:rsid w:val="00CA51D5"/>
    <w:rsid w:val="00CA5DE0"/>
    <w:rsid w:val="00CA759F"/>
    <w:rsid w:val="00CA7DB0"/>
    <w:rsid w:val="00CB0E19"/>
    <w:rsid w:val="00CB1EDC"/>
    <w:rsid w:val="00CB21B1"/>
    <w:rsid w:val="00CB2953"/>
    <w:rsid w:val="00CB5576"/>
    <w:rsid w:val="00CB59DE"/>
    <w:rsid w:val="00CB673D"/>
    <w:rsid w:val="00CB7E0F"/>
    <w:rsid w:val="00CC0A6C"/>
    <w:rsid w:val="00CC3AAA"/>
    <w:rsid w:val="00CC3AAB"/>
    <w:rsid w:val="00CC4386"/>
    <w:rsid w:val="00CC4978"/>
    <w:rsid w:val="00CC5161"/>
    <w:rsid w:val="00CC5DC1"/>
    <w:rsid w:val="00CC5E40"/>
    <w:rsid w:val="00CC6329"/>
    <w:rsid w:val="00CC7AC4"/>
    <w:rsid w:val="00CD0D9F"/>
    <w:rsid w:val="00CD1E93"/>
    <w:rsid w:val="00CD2068"/>
    <w:rsid w:val="00CD22DC"/>
    <w:rsid w:val="00CD3049"/>
    <w:rsid w:val="00CD41D4"/>
    <w:rsid w:val="00CD6102"/>
    <w:rsid w:val="00CD64E5"/>
    <w:rsid w:val="00CD658F"/>
    <w:rsid w:val="00CD78A5"/>
    <w:rsid w:val="00CE0CA7"/>
    <w:rsid w:val="00CE290E"/>
    <w:rsid w:val="00CE41E2"/>
    <w:rsid w:val="00CF320D"/>
    <w:rsid w:val="00CF33E8"/>
    <w:rsid w:val="00CF66D3"/>
    <w:rsid w:val="00CF6898"/>
    <w:rsid w:val="00CF74FE"/>
    <w:rsid w:val="00CF7BDB"/>
    <w:rsid w:val="00CF7E2C"/>
    <w:rsid w:val="00D01ACA"/>
    <w:rsid w:val="00D01E3C"/>
    <w:rsid w:val="00D03755"/>
    <w:rsid w:val="00D042CD"/>
    <w:rsid w:val="00D042EB"/>
    <w:rsid w:val="00D0638E"/>
    <w:rsid w:val="00D06F3E"/>
    <w:rsid w:val="00D0765D"/>
    <w:rsid w:val="00D076F8"/>
    <w:rsid w:val="00D07A35"/>
    <w:rsid w:val="00D10F91"/>
    <w:rsid w:val="00D12184"/>
    <w:rsid w:val="00D13ECC"/>
    <w:rsid w:val="00D14D02"/>
    <w:rsid w:val="00D179C9"/>
    <w:rsid w:val="00D200E5"/>
    <w:rsid w:val="00D204FB"/>
    <w:rsid w:val="00D20942"/>
    <w:rsid w:val="00D22596"/>
    <w:rsid w:val="00D225FB"/>
    <w:rsid w:val="00D25448"/>
    <w:rsid w:val="00D25E9A"/>
    <w:rsid w:val="00D303FD"/>
    <w:rsid w:val="00D30AF2"/>
    <w:rsid w:val="00D30E60"/>
    <w:rsid w:val="00D30E63"/>
    <w:rsid w:val="00D31B35"/>
    <w:rsid w:val="00D32E95"/>
    <w:rsid w:val="00D33CCC"/>
    <w:rsid w:val="00D34242"/>
    <w:rsid w:val="00D35A82"/>
    <w:rsid w:val="00D375C1"/>
    <w:rsid w:val="00D40381"/>
    <w:rsid w:val="00D4063F"/>
    <w:rsid w:val="00D409A0"/>
    <w:rsid w:val="00D42C19"/>
    <w:rsid w:val="00D43BA4"/>
    <w:rsid w:val="00D4401D"/>
    <w:rsid w:val="00D448AB"/>
    <w:rsid w:val="00D47785"/>
    <w:rsid w:val="00D50180"/>
    <w:rsid w:val="00D50E58"/>
    <w:rsid w:val="00D51569"/>
    <w:rsid w:val="00D52642"/>
    <w:rsid w:val="00D52650"/>
    <w:rsid w:val="00D52785"/>
    <w:rsid w:val="00D569BF"/>
    <w:rsid w:val="00D575E8"/>
    <w:rsid w:val="00D60952"/>
    <w:rsid w:val="00D6231B"/>
    <w:rsid w:val="00D63244"/>
    <w:rsid w:val="00D64687"/>
    <w:rsid w:val="00D66102"/>
    <w:rsid w:val="00D663A6"/>
    <w:rsid w:val="00D669A0"/>
    <w:rsid w:val="00D71B82"/>
    <w:rsid w:val="00D734B6"/>
    <w:rsid w:val="00D74C85"/>
    <w:rsid w:val="00D76448"/>
    <w:rsid w:val="00D76A13"/>
    <w:rsid w:val="00D803FB"/>
    <w:rsid w:val="00D805BF"/>
    <w:rsid w:val="00D80D84"/>
    <w:rsid w:val="00D80E06"/>
    <w:rsid w:val="00D81E32"/>
    <w:rsid w:val="00D821BE"/>
    <w:rsid w:val="00D83308"/>
    <w:rsid w:val="00D84D2E"/>
    <w:rsid w:val="00D85350"/>
    <w:rsid w:val="00D85823"/>
    <w:rsid w:val="00D85E3A"/>
    <w:rsid w:val="00D870CF"/>
    <w:rsid w:val="00D8711A"/>
    <w:rsid w:val="00D8748B"/>
    <w:rsid w:val="00D87DF0"/>
    <w:rsid w:val="00D9230A"/>
    <w:rsid w:val="00D923F9"/>
    <w:rsid w:val="00D94A19"/>
    <w:rsid w:val="00D95DE1"/>
    <w:rsid w:val="00D95ECF"/>
    <w:rsid w:val="00D97897"/>
    <w:rsid w:val="00DA0427"/>
    <w:rsid w:val="00DA2E21"/>
    <w:rsid w:val="00DA483E"/>
    <w:rsid w:val="00DA4B23"/>
    <w:rsid w:val="00DA67B1"/>
    <w:rsid w:val="00DA6B4B"/>
    <w:rsid w:val="00DA6BC8"/>
    <w:rsid w:val="00DA6E3B"/>
    <w:rsid w:val="00DB0270"/>
    <w:rsid w:val="00DB210E"/>
    <w:rsid w:val="00DB46AF"/>
    <w:rsid w:val="00DB4D0D"/>
    <w:rsid w:val="00DB63B6"/>
    <w:rsid w:val="00DB664B"/>
    <w:rsid w:val="00DB6E57"/>
    <w:rsid w:val="00DB79D0"/>
    <w:rsid w:val="00DC062A"/>
    <w:rsid w:val="00DC12D8"/>
    <w:rsid w:val="00DC255C"/>
    <w:rsid w:val="00DC682D"/>
    <w:rsid w:val="00DC6AB3"/>
    <w:rsid w:val="00DC7F4E"/>
    <w:rsid w:val="00DD001D"/>
    <w:rsid w:val="00DD1927"/>
    <w:rsid w:val="00DD3DD9"/>
    <w:rsid w:val="00DD405F"/>
    <w:rsid w:val="00DD5331"/>
    <w:rsid w:val="00DD64D1"/>
    <w:rsid w:val="00DD6D81"/>
    <w:rsid w:val="00DD7A8A"/>
    <w:rsid w:val="00DE02A9"/>
    <w:rsid w:val="00DE0C6B"/>
    <w:rsid w:val="00DE1361"/>
    <w:rsid w:val="00DE2D3D"/>
    <w:rsid w:val="00DE49AB"/>
    <w:rsid w:val="00DE4B2F"/>
    <w:rsid w:val="00DE4FB3"/>
    <w:rsid w:val="00DE7822"/>
    <w:rsid w:val="00DF05DE"/>
    <w:rsid w:val="00DF0FB0"/>
    <w:rsid w:val="00DF161E"/>
    <w:rsid w:val="00DF18DB"/>
    <w:rsid w:val="00DF2850"/>
    <w:rsid w:val="00DF411E"/>
    <w:rsid w:val="00DF5FE8"/>
    <w:rsid w:val="00DF6E71"/>
    <w:rsid w:val="00DF766E"/>
    <w:rsid w:val="00DF7B02"/>
    <w:rsid w:val="00E02138"/>
    <w:rsid w:val="00E032CB"/>
    <w:rsid w:val="00E062A5"/>
    <w:rsid w:val="00E062A6"/>
    <w:rsid w:val="00E0698E"/>
    <w:rsid w:val="00E10C31"/>
    <w:rsid w:val="00E11BE3"/>
    <w:rsid w:val="00E13283"/>
    <w:rsid w:val="00E1348D"/>
    <w:rsid w:val="00E1519E"/>
    <w:rsid w:val="00E17189"/>
    <w:rsid w:val="00E17D8F"/>
    <w:rsid w:val="00E21933"/>
    <w:rsid w:val="00E242BA"/>
    <w:rsid w:val="00E24E9F"/>
    <w:rsid w:val="00E250BE"/>
    <w:rsid w:val="00E258F0"/>
    <w:rsid w:val="00E25B95"/>
    <w:rsid w:val="00E263E7"/>
    <w:rsid w:val="00E2740F"/>
    <w:rsid w:val="00E30AA1"/>
    <w:rsid w:val="00E31802"/>
    <w:rsid w:val="00E33356"/>
    <w:rsid w:val="00E341B1"/>
    <w:rsid w:val="00E349A2"/>
    <w:rsid w:val="00E37C10"/>
    <w:rsid w:val="00E42201"/>
    <w:rsid w:val="00E42CD7"/>
    <w:rsid w:val="00E43B91"/>
    <w:rsid w:val="00E4414D"/>
    <w:rsid w:val="00E47569"/>
    <w:rsid w:val="00E47FBD"/>
    <w:rsid w:val="00E50417"/>
    <w:rsid w:val="00E50F23"/>
    <w:rsid w:val="00E51540"/>
    <w:rsid w:val="00E5266A"/>
    <w:rsid w:val="00E54B77"/>
    <w:rsid w:val="00E54CFA"/>
    <w:rsid w:val="00E5664E"/>
    <w:rsid w:val="00E600CE"/>
    <w:rsid w:val="00E60926"/>
    <w:rsid w:val="00E60D9C"/>
    <w:rsid w:val="00E60DA8"/>
    <w:rsid w:val="00E636A7"/>
    <w:rsid w:val="00E63C47"/>
    <w:rsid w:val="00E6586F"/>
    <w:rsid w:val="00E6791C"/>
    <w:rsid w:val="00E67996"/>
    <w:rsid w:val="00E679FE"/>
    <w:rsid w:val="00E67A5F"/>
    <w:rsid w:val="00E7137B"/>
    <w:rsid w:val="00E7362C"/>
    <w:rsid w:val="00E73BD6"/>
    <w:rsid w:val="00E76328"/>
    <w:rsid w:val="00E775A7"/>
    <w:rsid w:val="00E77830"/>
    <w:rsid w:val="00E819FD"/>
    <w:rsid w:val="00E81DEB"/>
    <w:rsid w:val="00E8226B"/>
    <w:rsid w:val="00E83C3E"/>
    <w:rsid w:val="00E849C0"/>
    <w:rsid w:val="00E8585B"/>
    <w:rsid w:val="00E8628D"/>
    <w:rsid w:val="00E86A38"/>
    <w:rsid w:val="00E879C8"/>
    <w:rsid w:val="00E9026D"/>
    <w:rsid w:val="00E90B47"/>
    <w:rsid w:val="00E90B5F"/>
    <w:rsid w:val="00E91A17"/>
    <w:rsid w:val="00E91CBB"/>
    <w:rsid w:val="00E9239D"/>
    <w:rsid w:val="00E92943"/>
    <w:rsid w:val="00E9597A"/>
    <w:rsid w:val="00E969E5"/>
    <w:rsid w:val="00E96AE0"/>
    <w:rsid w:val="00EA0146"/>
    <w:rsid w:val="00EA0862"/>
    <w:rsid w:val="00EA093B"/>
    <w:rsid w:val="00EA30B6"/>
    <w:rsid w:val="00EA4D2D"/>
    <w:rsid w:val="00EA5B4D"/>
    <w:rsid w:val="00EA606D"/>
    <w:rsid w:val="00EA62F5"/>
    <w:rsid w:val="00EB01D3"/>
    <w:rsid w:val="00EB099A"/>
    <w:rsid w:val="00EB0D8C"/>
    <w:rsid w:val="00EB1298"/>
    <w:rsid w:val="00EB1FD7"/>
    <w:rsid w:val="00EB2E57"/>
    <w:rsid w:val="00EB4D20"/>
    <w:rsid w:val="00EB5569"/>
    <w:rsid w:val="00EB5B52"/>
    <w:rsid w:val="00EC0C4C"/>
    <w:rsid w:val="00EC13B2"/>
    <w:rsid w:val="00EC2A42"/>
    <w:rsid w:val="00EC42C8"/>
    <w:rsid w:val="00EC78CF"/>
    <w:rsid w:val="00EC7C0C"/>
    <w:rsid w:val="00ED0468"/>
    <w:rsid w:val="00ED05A1"/>
    <w:rsid w:val="00ED05E6"/>
    <w:rsid w:val="00ED339E"/>
    <w:rsid w:val="00ED42A2"/>
    <w:rsid w:val="00ED472E"/>
    <w:rsid w:val="00ED602F"/>
    <w:rsid w:val="00ED6D9B"/>
    <w:rsid w:val="00ED7EE2"/>
    <w:rsid w:val="00EE0EA5"/>
    <w:rsid w:val="00EE3BC3"/>
    <w:rsid w:val="00EE44E2"/>
    <w:rsid w:val="00EE63DC"/>
    <w:rsid w:val="00EE6B0D"/>
    <w:rsid w:val="00EE6C75"/>
    <w:rsid w:val="00EE7F66"/>
    <w:rsid w:val="00EF01DC"/>
    <w:rsid w:val="00EF1466"/>
    <w:rsid w:val="00EF3D5D"/>
    <w:rsid w:val="00EF4AD5"/>
    <w:rsid w:val="00EF546E"/>
    <w:rsid w:val="00EF5A83"/>
    <w:rsid w:val="00EF618E"/>
    <w:rsid w:val="00EF66BC"/>
    <w:rsid w:val="00EF6EC7"/>
    <w:rsid w:val="00F012DE"/>
    <w:rsid w:val="00F01714"/>
    <w:rsid w:val="00F0446A"/>
    <w:rsid w:val="00F05AA3"/>
    <w:rsid w:val="00F060BF"/>
    <w:rsid w:val="00F0742F"/>
    <w:rsid w:val="00F122C6"/>
    <w:rsid w:val="00F12F9D"/>
    <w:rsid w:val="00F1334E"/>
    <w:rsid w:val="00F163D4"/>
    <w:rsid w:val="00F1760F"/>
    <w:rsid w:val="00F200CF"/>
    <w:rsid w:val="00F2020B"/>
    <w:rsid w:val="00F21E77"/>
    <w:rsid w:val="00F23318"/>
    <w:rsid w:val="00F25942"/>
    <w:rsid w:val="00F25FE0"/>
    <w:rsid w:val="00F26DDC"/>
    <w:rsid w:val="00F301A7"/>
    <w:rsid w:val="00F30640"/>
    <w:rsid w:val="00F30869"/>
    <w:rsid w:val="00F34539"/>
    <w:rsid w:val="00F35051"/>
    <w:rsid w:val="00F35BCB"/>
    <w:rsid w:val="00F36FCE"/>
    <w:rsid w:val="00F37594"/>
    <w:rsid w:val="00F37F81"/>
    <w:rsid w:val="00F41342"/>
    <w:rsid w:val="00F428F5"/>
    <w:rsid w:val="00F4394C"/>
    <w:rsid w:val="00F445A9"/>
    <w:rsid w:val="00F447EC"/>
    <w:rsid w:val="00F4545B"/>
    <w:rsid w:val="00F45D4B"/>
    <w:rsid w:val="00F4646B"/>
    <w:rsid w:val="00F46BE7"/>
    <w:rsid w:val="00F476F4"/>
    <w:rsid w:val="00F47752"/>
    <w:rsid w:val="00F47920"/>
    <w:rsid w:val="00F47DE4"/>
    <w:rsid w:val="00F522C0"/>
    <w:rsid w:val="00F53A6B"/>
    <w:rsid w:val="00F544E2"/>
    <w:rsid w:val="00F5532A"/>
    <w:rsid w:val="00F57041"/>
    <w:rsid w:val="00F60DE1"/>
    <w:rsid w:val="00F61605"/>
    <w:rsid w:val="00F61936"/>
    <w:rsid w:val="00F62279"/>
    <w:rsid w:val="00F6320A"/>
    <w:rsid w:val="00F644C6"/>
    <w:rsid w:val="00F7058D"/>
    <w:rsid w:val="00F712DF"/>
    <w:rsid w:val="00F718BB"/>
    <w:rsid w:val="00F73F7F"/>
    <w:rsid w:val="00F7442A"/>
    <w:rsid w:val="00F74560"/>
    <w:rsid w:val="00F74634"/>
    <w:rsid w:val="00F749E0"/>
    <w:rsid w:val="00F757A3"/>
    <w:rsid w:val="00F75829"/>
    <w:rsid w:val="00F77E3F"/>
    <w:rsid w:val="00F80C3D"/>
    <w:rsid w:val="00F811A1"/>
    <w:rsid w:val="00F82B30"/>
    <w:rsid w:val="00F8375E"/>
    <w:rsid w:val="00F8483D"/>
    <w:rsid w:val="00F86B2D"/>
    <w:rsid w:val="00F90702"/>
    <w:rsid w:val="00F9151A"/>
    <w:rsid w:val="00F918E2"/>
    <w:rsid w:val="00F94E01"/>
    <w:rsid w:val="00F9580F"/>
    <w:rsid w:val="00F97FC4"/>
    <w:rsid w:val="00FA14E3"/>
    <w:rsid w:val="00FA236B"/>
    <w:rsid w:val="00FA324A"/>
    <w:rsid w:val="00FA4834"/>
    <w:rsid w:val="00FA4F8D"/>
    <w:rsid w:val="00FA5604"/>
    <w:rsid w:val="00FA7098"/>
    <w:rsid w:val="00FB0313"/>
    <w:rsid w:val="00FB03AF"/>
    <w:rsid w:val="00FB3E06"/>
    <w:rsid w:val="00FB3E13"/>
    <w:rsid w:val="00FB4268"/>
    <w:rsid w:val="00FB4990"/>
    <w:rsid w:val="00FB51C7"/>
    <w:rsid w:val="00FB695F"/>
    <w:rsid w:val="00FC0B75"/>
    <w:rsid w:val="00FC11E7"/>
    <w:rsid w:val="00FC1650"/>
    <w:rsid w:val="00FC34CD"/>
    <w:rsid w:val="00FC3DA8"/>
    <w:rsid w:val="00FD05BF"/>
    <w:rsid w:val="00FD0ABE"/>
    <w:rsid w:val="00FD70D9"/>
    <w:rsid w:val="00FD78A5"/>
    <w:rsid w:val="00FE01BC"/>
    <w:rsid w:val="00FE10CF"/>
    <w:rsid w:val="00FE19AB"/>
    <w:rsid w:val="00FE2E3B"/>
    <w:rsid w:val="00FE41B4"/>
    <w:rsid w:val="00FE5C93"/>
    <w:rsid w:val="00FE6EDE"/>
    <w:rsid w:val="00FE78BC"/>
    <w:rsid w:val="00FE79ED"/>
    <w:rsid w:val="00FF0190"/>
    <w:rsid w:val="00FF057D"/>
    <w:rsid w:val="00FF0D04"/>
    <w:rsid w:val="00FF1F80"/>
    <w:rsid w:val="00FF2B48"/>
    <w:rsid w:val="00FF4125"/>
    <w:rsid w:val="00FF5CA0"/>
    <w:rsid w:val="00FF6843"/>
    <w:rsid w:val="00FF7C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1FCE4A"/>
  <w15:docId w15:val="{29C76BE5-2DD0-45A0-B1EF-F9C70993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602"/>
    <w:rPr>
      <w:sz w:val="24"/>
      <w:szCs w:val="24"/>
      <w:lang w:val="en-GB" w:eastAsia="en-GB"/>
    </w:rPr>
  </w:style>
  <w:style w:type="paragraph" w:styleId="Heading1">
    <w:name w:val="heading 1"/>
    <w:basedOn w:val="Normal"/>
    <w:link w:val="Heading1Char"/>
    <w:uiPriority w:val="9"/>
    <w:qFormat/>
    <w:rsid w:val="005B4CF6"/>
    <w:pPr>
      <w:spacing w:before="100" w:beforeAutospacing="1" w:after="100" w:afterAutospacing="1"/>
      <w:jc w:val="center"/>
      <w:outlineLvl w:val="0"/>
    </w:pPr>
    <w:rPr>
      <w:rFonts w:ascii="Arial" w:hAnsi="Arial" w:cs="Arial"/>
      <w:b/>
      <w:bCs/>
      <w:kern w:val="36"/>
      <w:sz w:val="13"/>
      <w:szCs w:val="13"/>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F6898"/>
    <w:pPr>
      <w:tabs>
        <w:tab w:val="center" w:pos="4153"/>
        <w:tab w:val="right" w:pos="8306"/>
      </w:tabs>
    </w:pPr>
  </w:style>
  <w:style w:type="character" w:styleId="PageNumber">
    <w:name w:val="page number"/>
    <w:basedOn w:val="DefaultParagraphFont"/>
    <w:rsid w:val="00CF6898"/>
  </w:style>
  <w:style w:type="paragraph" w:styleId="FootnoteText">
    <w:name w:val="footnote text"/>
    <w:basedOn w:val="Normal"/>
    <w:semiHidden/>
    <w:rsid w:val="00507805"/>
    <w:rPr>
      <w:sz w:val="20"/>
      <w:szCs w:val="20"/>
    </w:rPr>
  </w:style>
  <w:style w:type="character" w:styleId="FootnoteReference">
    <w:name w:val="footnote reference"/>
    <w:basedOn w:val="DefaultParagraphFont"/>
    <w:semiHidden/>
    <w:rsid w:val="00507805"/>
    <w:rPr>
      <w:vertAlign w:val="superscript"/>
    </w:rPr>
  </w:style>
  <w:style w:type="character" w:styleId="FollowedHyperlink">
    <w:name w:val="FollowedHyperlink"/>
    <w:basedOn w:val="DefaultParagraphFont"/>
    <w:rsid w:val="00FE41B4"/>
    <w:rPr>
      <w:color w:val="800080"/>
      <w:u w:val="single"/>
    </w:rPr>
  </w:style>
  <w:style w:type="paragraph" w:styleId="ListParagraph">
    <w:name w:val="List Paragraph"/>
    <w:basedOn w:val="Normal"/>
    <w:uiPriority w:val="34"/>
    <w:qFormat/>
    <w:rsid w:val="007F02D1"/>
    <w:pPr>
      <w:ind w:left="1304"/>
    </w:pPr>
  </w:style>
  <w:style w:type="paragraph" w:customStyle="1" w:styleId="MTDisplayEquation">
    <w:name w:val="MTDisplayEquation"/>
    <w:basedOn w:val="Normal"/>
    <w:next w:val="Normal"/>
    <w:link w:val="MTDisplayEquationChar"/>
    <w:rsid w:val="00E60DA8"/>
    <w:pPr>
      <w:tabs>
        <w:tab w:val="center" w:pos="4160"/>
        <w:tab w:val="right" w:pos="8300"/>
      </w:tabs>
      <w:jc w:val="both"/>
    </w:pPr>
    <w:rPr>
      <w:b/>
    </w:rPr>
  </w:style>
  <w:style w:type="character" w:customStyle="1" w:styleId="MTDisplayEquationChar">
    <w:name w:val="MTDisplayEquation Char"/>
    <w:basedOn w:val="DefaultParagraphFont"/>
    <w:link w:val="MTDisplayEquation"/>
    <w:rsid w:val="00E60DA8"/>
    <w:rPr>
      <w:b/>
      <w:sz w:val="24"/>
      <w:szCs w:val="24"/>
      <w:lang w:val="en-GB" w:eastAsia="en-GB"/>
    </w:rPr>
  </w:style>
  <w:style w:type="character" w:customStyle="1" w:styleId="MTEquationSection">
    <w:name w:val="MTEquationSection"/>
    <w:basedOn w:val="DefaultParagraphFont"/>
    <w:rsid w:val="00850B3A"/>
    <w:rPr>
      <w:b/>
      <w:vanish/>
      <w:color w:val="FF0000"/>
      <w:sz w:val="36"/>
      <w:szCs w:val="36"/>
    </w:rPr>
  </w:style>
  <w:style w:type="character" w:customStyle="1" w:styleId="MTConvertedEquation">
    <w:name w:val="MTConvertedEquation"/>
    <w:basedOn w:val="DefaultParagraphFont"/>
    <w:rsid w:val="00A458FE"/>
  </w:style>
  <w:style w:type="character" w:customStyle="1" w:styleId="Heading1Char">
    <w:name w:val="Heading 1 Char"/>
    <w:basedOn w:val="DefaultParagraphFont"/>
    <w:link w:val="Heading1"/>
    <w:uiPriority w:val="9"/>
    <w:rsid w:val="005B4CF6"/>
    <w:rPr>
      <w:rFonts w:ascii="Arial" w:hAnsi="Arial" w:cs="Arial"/>
      <w:b/>
      <w:bCs/>
      <w:kern w:val="36"/>
      <w:sz w:val="13"/>
      <w:szCs w:val="13"/>
    </w:rPr>
  </w:style>
  <w:style w:type="character" w:customStyle="1" w:styleId="searchword">
    <w:name w:val="searchword"/>
    <w:basedOn w:val="DefaultParagraphFont"/>
    <w:rsid w:val="005B4CF6"/>
    <w:rPr>
      <w:shd w:val="clear" w:color="auto" w:fill="FFFF00"/>
    </w:rPr>
  </w:style>
  <w:style w:type="paragraph" w:styleId="BalloonText">
    <w:name w:val="Balloon Text"/>
    <w:basedOn w:val="Normal"/>
    <w:link w:val="BalloonTextChar"/>
    <w:rsid w:val="00A11023"/>
    <w:rPr>
      <w:rFonts w:ascii="Tahoma" w:hAnsi="Tahoma" w:cs="Tahoma"/>
      <w:sz w:val="16"/>
      <w:szCs w:val="16"/>
    </w:rPr>
  </w:style>
  <w:style w:type="character" w:customStyle="1" w:styleId="BalloonTextChar">
    <w:name w:val="Balloon Text Char"/>
    <w:basedOn w:val="DefaultParagraphFont"/>
    <w:link w:val="BalloonText"/>
    <w:rsid w:val="00A11023"/>
    <w:rPr>
      <w:rFonts w:ascii="Tahoma" w:hAnsi="Tahoma" w:cs="Tahoma"/>
      <w:sz w:val="16"/>
      <w:szCs w:val="16"/>
      <w:lang w:val="en-GB" w:eastAsia="en-GB"/>
    </w:rPr>
  </w:style>
  <w:style w:type="paragraph" w:styleId="Caption">
    <w:name w:val="caption"/>
    <w:basedOn w:val="Normal"/>
    <w:next w:val="Normal"/>
    <w:unhideWhenUsed/>
    <w:qFormat/>
    <w:rsid w:val="00A11023"/>
    <w:pPr>
      <w:spacing w:after="200"/>
    </w:pPr>
    <w:rPr>
      <w:b/>
      <w:bCs/>
      <w:color w:val="4F81BD" w:themeColor="accent1"/>
      <w:sz w:val="18"/>
      <w:szCs w:val="18"/>
    </w:rPr>
  </w:style>
  <w:style w:type="paragraph" w:styleId="EndnoteText">
    <w:name w:val="endnote text"/>
    <w:basedOn w:val="Normal"/>
    <w:link w:val="EndnoteTextChar"/>
    <w:rsid w:val="00EA093B"/>
    <w:rPr>
      <w:sz w:val="20"/>
      <w:szCs w:val="20"/>
    </w:rPr>
  </w:style>
  <w:style w:type="character" w:customStyle="1" w:styleId="EndnoteTextChar">
    <w:name w:val="Endnote Text Char"/>
    <w:basedOn w:val="DefaultParagraphFont"/>
    <w:link w:val="EndnoteText"/>
    <w:rsid w:val="00EA093B"/>
    <w:rPr>
      <w:lang w:val="en-GB" w:eastAsia="en-GB"/>
    </w:rPr>
  </w:style>
  <w:style w:type="character" w:styleId="EndnoteReference">
    <w:name w:val="endnote reference"/>
    <w:basedOn w:val="DefaultParagraphFont"/>
    <w:rsid w:val="00EA093B"/>
    <w:rPr>
      <w:vertAlign w:val="superscript"/>
    </w:rPr>
  </w:style>
  <w:style w:type="table" w:styleId="TableGrid">
    <w:name w:val="Table Grid"/>
    <w:basedOn w:val="TableNormal"/>
    <w:rsid w:val="00545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BE10A2"/>
    <w:rPr>
      <w:sz w:val="16"/>
      <w:szCs w:val="16"/>
    </w:rPr>
  </w:style>
  <w:style w:type="paragraph" w:styleId="CommentText">
    <w:name w:val="annotation text"/>
    <w:basedOn w:val="Normal"/>
    <w:link w:val="CommentTextChar"/>
    <w:semiHidden/>
    <w:unhideWhenUsed/>
    <w:rsid w:val="00BE10A2"/>
    <w:rPr>
      <w:sz w:val="20"/>
      <w:szCs w:val="20"/>
    </w:rPr>
  </w:style>
  <w:style w:type="character" w:customStyle="1" w:styleId="CommentTextChar">
    <w:name w:val="Comment Text Char"/>
    <w:basedOn w:val="DefaultParagraphFont"/>
    <w:link w:val="CommentText"/>
    <w:semiHidden/>
    <w:rsid w:val="00BE10A2"/>
    <w:rPr>
      <w:lang w:val="en-GB" w:eastAsia="en-GB"/>
    </w:rPr>
  </w:style>
  <w:style w:type="paragraph" w:styleId="CommentSubject">
    <w:name w:val="annotation subject"/>
    <w:basedOn w:val="CommentText"/>
    <w:next w:val="CommentText"/>
    <w:link w:val="CommentSubjectChar"/>
    <w:semiHidden/>
    <w:unhideWhenUsed/>
    <w:rsid w:val="00BE10A2"/>
    <w:rPr>
      <w:b/>
      <w:bCs/>
    </w:rPr>
  </w:style>
  <w:style w:type="character" w:customStyle="1" w:styleId="CommentSubjectChar">
    <w:name w:val="Comment Subject Char"/>
    <w:basedOn w:val="CommentTextChar"/>
    <w:link w:val="CommentSubject"/>
    <w:semiHidden/>
    <w:rsid w:val="00BE10A2"/>
    <w:rPr>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32448">
      <w:bodyDiv w:val="1"/>
      <w:marLeft w:val="0"/>
      <w:marRight w:val="0"/>
      <w:marTop w:val="0"/>
      <w:marBottom w:val="0"/>
      <w:divBdr>
        <w:top w:val="none" w:sz="0" w:space="0" w:color="auto"/>
        <w:left w:val="none" w:sz="0" w:space="0" w:color="auto"/>
        <w:bottom w:val="none" w:sz="0" w:space="0" w:color="auto"/>
        <w:right w:val="none" w:sz="0" w:space="0" w:color="auto"/>
      </w:divBdr>
    </w:div>
    <w:div w:id="360519512">
      <w:bodyDiv w:val="1"/>
      <w:marLeft w:val="0"/>
      <w:marRight w:val="0"/>
      <w:marTop w:val="0"/>
      <w:marBottom w:val="0"/>
      <w:divBdr>
        <w:top w:val="none" w:sz="0" w:space="0" w:color="auto"/>
        <w:left w:val="none" w:sz="0" w:space="0" w:color="auto"/>
        <w:bottom w:val="none" w:sz="0" w:space="0" w:color="auto"/>
        <w:right w:val="none" w:sz="0" w:space="0" w:color="auto"/>
      </w:divBdr>
    </w:div>
    <w:div w:id="765426078">
      <w:bodyDiv w:val="1"/>
      <w:marLeft w:val="0"/>
      <w:marRight w:val="0"/>
      <w:marTop w:val="0"/>
      <w:marBottom w:val="0"/>
      <w:divBdr>
        <w:top w:val="none" w:sz="0" w:space="0" w:color="auto"/>
        <w:left w:val="none" w:sz="0" w:space="0" w:color="auto"/>
        <w:bottom w:val="none" w:sz="0" w:space="0" w:color="auto"/>
        <w:right w:val="none" w:sz="0" w:space="0" w:color="auto"/>
      </w:divBdr>
    </w:div>
    <w:div w:id="865826166">
      <w:bodyDiv w:val="1"/>
      <w:marLeft w:val="0"/>
      <w:marRight w:val="0"/>
      <w:marTop w:val="0"/>
      <w:marBottom w:val="0"/>
      <w:divBdr>
        <w:top w:val="none" w:sz="0" w:space="0" w:color="auto"/>
        <w:left w:val="none" w:sz="0" w:space="0" w:color="auto"/>
        <w:bottom w:val="none" w:sz="0" w:space="0" w:color="auto"/>
        <w:right w:val="none" w:sz="0" w:space="0" w:color="auto"/>
      </w:divBdr>
      <w:divsChild>
        <w:div w:id="1279220884">
          <w:marLeft w:val="0"/>
          <w:marRight w:val="40"/>
          <w:marTop w:val="0"/>
          <w:marBottom w:val="0"/>
          <w:divBdr>
            <w:top w:val="none" w:sz="0" w:space="0" w:color="auto"/>
            <w:left w:val="single" w:sz="2" w:space="1" w:color="DDDDDD"/>
            <w:bottom w:val="single" w:sz="2" w:space="1" w:color="DDDDDD"/>
            <w:right w:val="none" w:sz="0" w:space="0" w:color="auto"/>
          </w:divBdr>
          <w:divsChild>
            <w:div w:id="1422289783">
              <w:marLeft w:val="0"/>
              <w:marRight w:val="0"/>
              <w:marTop w:val="0"/>
              <w:marBottom w:val="0"/>
              <w:divBdr>
                <w:top w:val="single" w:sz="2" w:space="4" w:color="A6B5C7"/>
                <w:left w:val="single" w:sz="2" w:space="4" w:color="A6B5C7"/>
                <w:bottom w:val="single" w:sz="2" w:space="4" w:color="A6B5C7"/>
                <w:right w:val="single" w:sz="2" w:space="4" w:color="A6B5C7"/>
              </w:divBdr>
              <w:divsChild>
                <w:div w:id="1154178734">
                  <w:marLeft w:val="0"/>
                  <w:marRight w:val="0"/>
                  <w:marTop w:val="0"/>
                  <w:marBottom w:val="0"/>
                  <w:divBdr>
                    <w:top w:val="single" w:sz="2" w:space="2" w:color="E4E4E4"/>
                    <w:left w:val="single" w:sz="2" w:space="10" w:color="E4E4E4"/>
                    <w:bottom w:val="single" w:sz="2" w:space="4" w:color="E4E4E4"/>
                    <w:right w:val="single" w:sz="2" w:space="8" w:color="E4E4E4"/>
                  </w:divBdr>
                </w:div>
              </w:divsChild>
            </w:div>
          </w:divsChild>
        </w:div>
      </w:divsChild>
    </w:div>
    <w:div w:id="985431775">
      <w:bodyDiv w:val="1"/>
      <w:marLeft w:val="0"/>
      <w:marRight w:val="0"/>
      <w:marTop w:val="0"/>
      <w:marBottom w:val="0"/>
      <w:divBdr>
        <w:top w:val="none" w:sz="0" w:space="0" w:color="auto"/>
        <w:left w:val="none" w:sz="0" w:space="0" w:color="auto"/>
        <w:bottom w:val="none" w:sz="0" w:space="0" w:color="auto"/>
        <w:right w:val="none" w:sz="0" w:space="0" w:color="auto"/>
      </w:divBdr>
    </w:div>
    <w:div w:id="1271206989">
      <w:bodyDiv w:val="1"/>
      <w:marLeft w:val="0"/>
      <w:marRight w:val="0"/>
      <w:marTop w:val="0"/>
      <w:marBottom w:val="0"/>
      <w:divBdr>
        <w:top w:val="none" w:sz="0" w:space="0" w:color="auto"/>
        <w:left w:val="none" w:sz="0" w:space="0" w:color="auto"/>
        <w:bottom w:val="none" w:sz="0" w:space="0" w:color="auto"/>
        <w:right w:val="none" w:sz="0" w:space="0" w:color="auto"/>
      </w:divBdr>
    </w:div>
    <w:div w:id="1590889445">
      <w:bodyDiv w:val="1"/>
      <w:marLeft w:val="0"/>
      <w:marRight w:val="0"/>
      <w:marTop w:val="0"/>
      <w:marBottom w:val="0"/>
      <w:divBdr>
        <w:top w:val="none" w:sz="0" w:space="0" w:color="auto"/>
        <w:left w:val="none" w:sz="0" w:space="0" w:color="auto"/>
        <w:bottom w:val="none" w:sz="0" w:space="0" w:color="auto"/>
        <w:right w:val="none" w:sz="0" w:space="0" w:color="auto"/>
      </w:divBdr>
    </w:div>
    <w:div w:id="1659768082">
      <w:bodyDiv w:val="1"/>
      <w:marLeft w:val="0"/>
      <w:marRight w:val="0"/>
      <w:marTop w:val="0"/>
      <w:marBottom w:val="0"/>
      <w:divBdr>
        <w:top w:val="none" w:sz="0" w:space="0" w:color="auto"/>
        <w:left w:val="none" w:sz="0" w:space="0" w:color="auto"/>
        <w:bottom w:val="none" w:sz="0" w:space="0" w:color="auto"/>
        <w:right w:val="none" w:sz="0" w:space="0" w:color="auto"/>
      </w:divBdr>
    </w:div>
    <w:div w:id="1800875935">
      <w:bodyDiv w:val="1"/>
      <w:marLeft w:val="0"/>
      <w:marRight w:val="0"/>
      <w:marTop w:val="0"/>
      <w:marBottom w:val="0"/>
      <w:divBdr>
        <w:top w:val="none" w:sz="0" w:space="0" w:color="auto"/>
        <w:left w:val="none" w:sz="0" w:space="0" w:color="auto"/>
        <w:bottom w:val="none" w:sz="0" w:space="0" w:color="auto"/>
        <w:right w:val="none" w:sz="0" w:space="0" w:color="auto"/>
      </w:divBdr>
    </w:div>
    <w:div w:id="1843351312">
      <w:bodyDiv w:val="1"/>
      <w:marLeft w:val="0"/>
      <w:marRight w:val="0"/>
      <w:marTop w:val="0"/>
      <w:marBottom w:val="0"/>
      <w:divBdr>
        <w:top w:val="none" w:sz="0" w:space="0" w:color="auto"/>
        <w:left w:val="none" w:sz="0" w:space="0" w:color="auto"/>
        <w:bottom w:val="none" w:sz="0" w:space="0" w:color="auto"/>
        <w:right w:val="none" w:sz="0" w:space="0" w:color="auto"/>
      </w:divBdr>
    </w:div>
    <w:div w:id="20662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6.bin"/><Relationship Id="rId175" Type="http://schemas.openxmlformats.org/officeDocument/2006/relationships/image" Target="media/image85.jpeg"/><Relationship Id="rId170" Type="http://schemas.openxmlformats.org/officeDocument/2006/relationships/oleObject" Target="embeddings/oleObject81.bin"/><Relationship Id="rId191"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7.wmf"/><Relationship Id="rId165" Type="http://schemas.openxmlformats.org/officeDocument/2006/relationships/image" Target="media/image80.wmf"/><Relationship Id="rId181" Type="http://schemas.openxmlformats.org/officeDocument/2006/relationships/oleObject" Target="embeddings/oleObject86.bin"/><Relationship Id="rId186" Type="http://schemas.openxmlformats.org/officeDocument/2006/relationships/image" Target="media/image91.jpe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image" Target="media/image83.wmf"/><Relationship Id="rId176" Type="http://schemas.openxmlformats.org/officeDocument/2006/relationships/image" Target="media/image86.wmf"/><Relationship Id="rId192"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oleObject" Target="embeddings/oleObject79.bin"/><Relationship Id="rId182" Type="http://schemas.openxmlformats.org/officeDocument/2006/relationships/image" Target="media/image89.wmf"/><Relationship Id="rId187"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4.bin"/><Relationship Id="rId172" Type="http://schemas.openxmlformats.org/officeDocument/2006/relationships/oleObject" Target="embeddings/oleObject82.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image" Target="media/image84.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90.wmf"/><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3.bin"/><Relationship Id="rId179" Type="http://schemas.openxmlformats.org/officeDocument/2006/relationships/oleObject" Target="embeddings/oleObject85.bin"/><Relationship Id="rId190"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jpeg"/><Relationship Id="rId169" Type="http://schemas.openxmlformats.org/officeDocument/2006/relationships/image" Target="media/image82.wmf"/><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0CC7E-46BC-4CC6-823F-4E93DB32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To:</vt:lpstr>
    </vt:vector>
  </TitlesOfParts>
  <Company>Bank of America</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NBK36OS</dc:creator>
  <cp:keywords/>
  <dc:description/>
  <cp:lastModifiedBy>Jesper Andreasen</cp:lastModifiedBy>
  <cp:revision>2</cp:revision>
  <cp:lastPrinted>2022-12-14T10:18:00Z</cp:lastPrinted>
  <dcterms:created xsi:type="dcterms:W3CDTF">2022-12-14T14:18:00Z</dcterms:created>
  <dcterms:modified xsi:type="dcterms:W3CDTF">2022-12-14T14:18:00Z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