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LOGÍSTICA Y CARGA ANDINA S.A.S.</w:t>
      </w:r>
    </w:p>
    <w:p>
      <w:r>
        <w:t>DIAGNÓSTICO PRELIMINAR DE GOBERNANZA DE TI, CONTROL DE CAMBIOS Y GESTIÓN DE PROVEEDORES</w:t>
      </w:r>
    </w:p>
    <w:p>
      <w:pPr>
        <w:pStyle w:val="Heading1"/>
      </w:pPr>
      <w:r>
        <w:t>1. Información Corporativa y Contexto</w:t>
      </w:r>
    </w:p>
    <w:p>
      <w:r>
        <w:t>Logística y Carga Andina S.A.S. es una compañía de transporte de carga pesada, almacenamiento y distribución con operaciones en Colombia, Ecuador y Perú. Cuenta con una flota monitoreada de más de 400 vehículos de carga y centros de distribución (CEDI) en 5 ciudades principales. Actualmente la empresa experimenta un crecimiento acelerado del 30% anual en envíos de comercio electrónico, lo cual ha puesto en tensión su infraestructura tecnológica y su modelo de gobierno de TI.</w:t>
      </w:r>
    </w:p>
    <w:p>
      <w:pPr>
        <w:pStyle w:val="Heading1"/>
      </w:pPr>
      <w:r>
        <w:t>2. Diagnóstico de Problemas Operacionales y de Gestión</w:t>
      </w:r>
    </w:p>
    <w:p>
      <w:r>
        <w:t>La revisión efectuada con la Gerencia General y los coordinadores de logística identificó las siguientes deficiencias principales:</w:t>
      </w:r>
    </w:p>
    <w:p>
      <w:r>
        <w:rPr>
          <w:b/>
        </w:rPr>
        <w:t xml:space="preserve">• Carencia de Gobernanza y Desalineación Estratégica: </w:t>
      </w:r>
      <w:r>
        <w:t>La empresa carece de un Comité Directivo de Gobernanza de TI formal. Las inversiones tecnológicas se aprueban por urgencia comercial sin análisis de retorno de inversión (ROI), generando compras redundantes de software y costos operativos imprevistos.</w:t>
      </w:r>
    </w:p>
    <w:p>
      <w:r>
        <w:rPr>
          <w:b/>
        </w:rPr>
        <w:t xml:space="preserve">• Fallas Severas por Cambios sin Control en Producción: </w:t>
      </w:r>
      <w:r>
        <w:t>Se detectaron constantes caídas del sistema de tracking satelital (GPS) debido a que los desarrolladores aplican modificaciones directamente en los servidores de producción sin autorización previa de un Comité de Control de Cambios (CAB), generando retrasos en despachos.</w:t>
      </w:r>
    </w:p>
    <w:p>
      <w:r>
        <w:rPr>
          <w:b/>
        </w:rPr>
        <w:t xml:space="preserve">• Problemas Contractuales con Proveedores Tecnológicos: </w:t>
      </w:r>
      <w:r>
        <w:t>El proveedor principal del software WMS (Warehouse Management System) no cuenta con Acuerdos de Nivel de Servicio (SLA) firmados, lo que causa demoras de hasta 48 horas en la atención de fallas críticas sin penalidades contractuales aplicables.</w:t>
      </w:r>
    </w:p>
    <w:p>
      <w:r>
        <w:rPr>
          <w:b/>
        </w:rPr>
        <w:t xml:space="preserve">• Carencia de Inventario de Activos y Licenciamiento: </w:t>
      </w:r>
      <w:r>
        <w:t>No existe un inventario unificado de hardware ni control de licencias de software, existiendo riesgo de multas por uso de software no autorizado en las terminales de los conductores y coordinadores de ruta.</w:t>
      </w:r>
    </w:p>
    <w:p>
      <w:pPr>
        <w:pStyle w:val="Heading1"/>
      </w:pPr>
      <w:r>
        <w:t>3. Necesidades Inmediatas del Negocio</w:t>
      </w:r>
    </w:p>
    <w:p>
      <w:r>
        <w:t>Para estabilizar la plataforma operativa y acompañar la expansión del negocio, la organización:</w:t>
      </w:r>
    </w:p>
    <w:p>
      <w:r>
        <w:t>1. Requiere conformar el Comité de Gobernanza de TI con participación del Gerente General, Financiero y de Operaciones.</w:t>
      </w:r>
    </w:p>
    <w:p>
      <w:r>
        <w:t>2. Necesita estandarizar el procedimiento de control de cambios (CAB) antes de cualquier paso a producción.</w:t>
      </w:r>
    </w:p>
    <w:p>
      <w:r>
        <w:t>3. Debe renegociar los contratos de terceros estableciendo SLAs medibles con penalidades claras por indisponibilidad.</w:t>
      </w:r>
    </w:p>
    <w:p>
      <w:r>
        <w:t>4. Es prioritario definir una política de compras y gestión de activos de TI institucional.</w:t>
      </w:r>
    </w:p>
    <w:p>
      <w:pPr>
        <w:pStyle w:val="Heading1"/>
      </w:pPr>
      <w:r>
        <w:t>4. Oportunidades de Transformación e Innovación</w:t>
      </w:r>
    </w:p>
    <w:p>
      <w:r>
        <w:t>• Optimizar la cadena de suministro integrando un portal web B2B de autogestión de despachos para los clientes corporativos.</w:t>
      </w:r>
    </w:p>
    <w:p>
      <w:r>
        <w:t>• Automatizar el seguimiento de la flota mediante analítica de datos e inteligencia artificial para predecir rutas óptimas y consumo de combustible.</w:t>
      </w:r>
    </w:p>
    <w:p>
      <w:r>
        <w:t>• Beneficio económico proyectado: Reducción del 25% en tiempos de espera en muelles y disminución de costos operativos en TI.</w:t>
      </w:r>
    </w:p>
    <w:p>
      <w:pPr>
        <w:pStyle w:val="Heading1"/>
      </w:pPr>
      <w:r>
        <w:t>5. Procesos COBIT 2019 de Intervención Prioritaria</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Código</w:t>
            </w:r>
          </w:p>
        </w:tc>
        <w:tc>
          <w:tcPr>
            <w:tcW w:type="dxa" w:w="2160"/>
          </w:tcPr>
          <w:p>
            <w:r>
              <w:t>Proceso COBIT</w:t>
            </w:r>
          </w:p>
        </w:tc>
        <w:tc>
          <w:tcPr>
            <w:tcW w:type="dxa" w:w="2160"/>
          </w:tcPr>
          <w:p>
            <w:r>
              <w:t>Dominio</w:t>
            </w:r>
          </w:p>
        </w:tc>
        <w:tc>
          <w:tcPr>
            <w:tcW w:type="dxa" w:w="2160"/>
          </w:tcPr>
          <w:p>
            <w:r>
              <w:t>Acción Propuesta</w:t>
            </w:r>
          </w:p>
        </w:tc>
      </w:tr>
      <w:tr>
        <w:tc>
          <w:tcPr>
            <w:tcW w:type="dxa" w:w="2160"/>
          </w:tcPr>
          <w:p>
            <w:r>
              <w:t>EDM01</w:t>
            </w:r>
          </w:p>
        </w:tc>
        <w:tc>
          <w:tcPr>
            <w:tcW w:type="dxa" w:w="2160"/>
          </w:tcPr>
          <w:p>
            <w:r>
              <w:t>Asegurar el Marco de Gobernanza</w:t>
            </w:r>
          </w:p>
        </w:tc>
        <w:tc>
          <w:tcPr>
            <w:tcW w:type="dxa" w:w="2160"/>
          </w:tcPr>
          <w:p>
            <w:r>
              <w:t>EDM</w:t>
            </w:r>
          </w:p>
        </w:tc>
        <w:tc>
          <w:tcPr>
            <w:tcW w:type="dxa" w:w="2160"/>
          </w:tcPr>
          <w:p>
            <w:r>
              <w:t>Crear estatuto del comité de TI</w:t>
            </w:r>
          </w:p>
        </w:tc>
      </w:tr>
      <w:tr>
        <w:tc>
          <w:tcPr>
            <w:tcW w:type="dxa" w:w="2160"/>
          </w:tcPr>
          <w:p>
            <w:r>
              <w:t>APO02</w:t>
            </w:r>
          </w:p>
        </w:tc>
        <w:tc>
          <w:tcPr>
            <w:tcW w:type="dxa" w:w="2160"/>
          </w:tcPr>
          <w:p>
            <w:r>
              <w:t>Gestionar la Estrategia</w:t>
            </w:r>
          </w:p>
        </w:tc>
        <w:tc>
          <w:tcPr>
            <w:tcW w:type="dxa" w:w="2160"/>
          </w:tcPr>
          <w:p>
            <w:r>
              <w:t>APO</w:t>
            </w:r>
          </w:p>
        </w:tc>
        <w:tc>
          <w:tcPr>
            <w:tcW w:type="dxa" w:w="2160"/>
          </w:tcPr>
          <w:p>
            <w:r>
              <w:t>Alinear plan PETI con metas de transporte</w:t>
            </w:r>
          </w:p>
        </w:tc>
      </w:tr>
      <w:tr>
        <w:tc>
          <w:tcPr>
            <w:tcW w:type="dxa" w:w="2160"/>
          </w:tcPr>
          <w:p>
            <w:r>
              <w:t>APO09</w:t>
            </w:r>
          </w:p>
        </w:tc>
        <w:tc>
          <w:tcPr>
            <w:tcW w:type="dxa" w:w="2160"/>
          </w:tcPr>
          <w:p>
            <w:r>
              <w:t>Gestionar los SLAs</w:t>
            </w:r>
          </w:p>
        </w:tc>
        <w:tc>
          <w:tcPr>
            <w:tcW w:type="dxa" w:w="2160"/>
          </w:tcPr>
          <w:p>
            <w:r>
              <w:t>APO</w:t>
            </w:r>
          </w:p>
        </w:tc>
        <w:tc>
          <w:tcPr>
            <w:tcW w:type="dxa" w:w="2160"/>
          </w:tcPr>
          <w:p>
            <w:r>
              <w:t>Formalizar acuerdos de servicio y niveles de soporte</w:t>
            </w:r>
          </w:p>
        </w:tc>
      </w:tr>
      <w:tr>
        <w:tc>
          <w:tcPr>
            <w:tcW w:type="dxa" w:w="2160"/>
          </w:tcPr>
          <w:p>
            <w:r>
              <w:t>APO10</w:t>
            </w:r>
          </w:p>
        </w:tc>
        <w:tc>
          <w:tcPr>
            <w:tcW w:type="dxa" w:w="2160"/>
          </w:tcPr>
          <w:p>
            <w:r>
              <w:t>Gestionar Proveedores</w:t>
            </w:r>
          </w:p>
        </w:tc>
        <w:tc>
          <w:tcPr>
            <w:tcW w:type="dxa" w:w="2160"/>
          </w:tcPr>
          <w:p>
            <w:r>
              <w:t>APO</w:t>
            </w:r>
          </w:p>
        </w:tc>
        <w:tc>
          <w:tcPr>
            <w:tcW w:type="dxa" w:w="2160"/>
          </w:tcPr>
          <w:p>
            <w:r>
              <w:t>Auditar contratos de terceros y proveedores de GPS</w:t>
            </w:r>
          </w:p>
        </w:tc>
      </w:tr>
      <w:tr>
        <w:tc>
          <w:tcPr>
            <w:tcW w:type="dxa" w:w="2160"/>
          </w:tcPr>
          <w:p>
            <w:r>
              <w:t>BAI06</w:t>
            </w:r>
          </w:p>
        </w:tc>
        <w:tc>
          <w:tcPr>
            <w:tcW w:type="dxa" w:w="2160"/>
          </w:tcPr>
          <w:p>
            <w:r>
              <w:t>Gestionar los Cambios de TI</w:t>
            </w:r>
          </w:p>
        </w:tc>
        <w:tc>
          <w:tcPr>
            <w:tcW w:type="dxa" w:w="2160"/>
          </w:tcPr>
          <w:p>
            <w:r>
              <w:t>BAI</w:t>
            </w:r>
          </w:p>
        </w:tc>
        <w:tc>
          <w:tcPr>
            <w:tcW w:type="dxa" w:w="2160"/>
          </w:tcPr>
          <w:p>
            <w:r>
              <w:t>Digitalizar flujo de aprobación en Comité CAB</w:t>
            </w:r>
          </w:p>
        </w:tc>
      </w:tr>
      <w:tr>
        <w:tc>
          <w:tcPr>
            <w:tcW w:type="dxa" w:w="2160"/>
          </w:tcPr>
          <w:p>
            <w:r>
              <w:t>BAI09</w:t>
            </w:r>
          </w:p>
        </w:tc>
        <w:tc>
          <w:tcPr>
            <w:tcW w:type="dxa" w:w="2160"/>
          </w:tcPr>
          <w:p>
            <w:r>
              <w:t>Gestionar los Activos</w:t>
            </w:r>
          </w:p>
        </w:tc>
        <w:tc>
          <w:tcPr>
            <w:tcW w:type="dxa" w:w="2160"/>
          </w:tcPr>
          <w:p>
            <w:r>
              <w:t>BAI</w:t>
            </w:r>
          </w:p>
        </w:tc>
        <w:tc>
          <w:tcPr>
            <w:tcW w:type="dxa" w:w="2160"/>
          </w:tcPr>
          <w:p>
            <w:r>
              <w:t>Levantar inventario físico y licencias</w:t>
            </w:r>
          </w:p>
        </w:tc>
      </w:tr>
      <w:tr>
        <w:tc>
          <w:tcPr>
            <w:tcW w:type="dxa" w:w="2160"/>
          </w:tcPr>
          <w:p>
            <w:r>
              <w:t>APO14</w:t>
            </w:r>
          </w:p>
        </w:tc>
        <w:tc>
          <w:tcPr>
            <w:tcW w:type="dxa" w:w="2160"/>
          </w:tcPr>
          <w:p>
            <w:r>
              <w:t>Gestionar los Datos</w:t>
            </w:r>
          </w:p>
        </w:tc>
        <w:tc>
          <w:tcPr>
            <w:tcW w:type="dxa" w:w="2160"/>
          </w:tcPr>
          <w:p>
            <w:r>
              <w:t>APO</w:t>
            </w:r>
          </w:p>
        </w:tc>
        <w:tc>
          <w:tcPr>
            <w:tcW w:type="dxa" w:w="2160"/>
          </w:tcPr>
          <w:p>
            <w:r>
              <w:t>Gobernanza de datos de telemetría y ruteo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