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[Nombre de la institución]</w:t>
      </w:r>
    </w:p>
    <w:p>
      <w:pPr>
        <w:jc w:val="center"/>
      </w:pPr>
      <w:r>
        <w:rPr>
          <w:rFonts w:ascii="Times New Roman" w:hAnsi="Times New Roman"/>
          <w:sz w:val="24"/>
        </w:rPr>
        <w:t>Trabajo Integrador: Fase 5 — Mockup y Prototipo</w:t>
      </w:r>
    </w:p>
    <w:p>
      <w:pPr>
        <w:jc w:val="center"/>
      </w:pPr>
      <w:r>
        <w:rPr>
          <w:rFonts w:ascii="Times New Roman" w:hAnsi="Times New Roman"/>
          <w:sz w:val="24"/>
        </w:rPr>
        <w:t>[Nombre del instructor]</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que no añaden ni una dependencia: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variables (</w:t>
      </w:r>
      <w:r>
        <w:rPr>
          <w:rFonts w:ascii="Consolas" w:hAnsi="Consolas"/>
          <w:sz w:val="22"/>
        </w:rPr>
        <w:t>--sombra-1</w:t>
      </w:r>
      <w:r>
        <w:rPr>
          <w:rFonts w:ascii="Times New Roman" w:hAnsi="Times New Roman"/>
          <w:sz w:val="24"/>
        </w:rPr>
        <w:t xml:space="preserve"> a </w:t>
      </w:r>
      <w:r>
        <w:rPr>
          <w:rFonts w:ascii="Consolas" w:hAnsi="Consolas"/>
          <w:sz w:val="22"/>
        </w:rPr>
        <w:t>--sombra-4</w:t>
      </w:r>
      <w:r>
        <w:rPr>
          <w:rFonts w:ascii="Times New Roman" w:hAnsi="Times New Roman"/>
          <w:sz w:val="24"/>
        </w:rPr>
        <w:t>)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Cumple; contorno de 3 px con separación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Cumple; con </w:t>
            </w:r>
            <w:r>
              <w:rPr>
                <w:rFonts w:ascii="Consolas" w:hAnsi="Consolas"/>
                <w:sz w:val="18"/>
              </w:rPr>
              <w:t>prefers-reduced-motion</w:t>
            </w:r>
            <w:r>
              <w:rPr>
                <w:rFonts w:ascii="Times New Roman" w:hAnsi="Times New Roman"/>
                <w:sz w:val="20"/>
              </w:rPr>
              <w:t xml:space="preserve"> la interfaz queda quieta y conserva color y jerarquía</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327567" cy="6840000"/>
            <wp:docPr id="9" name="Picture 9"/>
            <wp:cNvGraphicFramePr>
              <a:graphicFrameLocks noChangeAspect="1"/>
            </wp:cNvGraphicFramePr>
            <a:graphic>
              <a:graphicData uri="http://schemas.openxmlformats.org/drawingml/2006/picture">
                <pic:pic>
                  <pic:nvPicPr>
                    <pic:cNvPr id="0" name="06-listado-movil.png"/>
                    <pic:cNvPicPr/>
                  </pic:nvPicPr>
                  <pic:blipFill>
                    <a:blip r:embed="rId18"/>
                    <a:stretch>
                      <a:fillRect/>
                    </a:stretch>
                  </pic:blipFill>
                  <pic:spPr>
                    <a:xfrm>
                      <a:off x="0" y="0"/>
                      <a:ext cx="3327567"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puede recorrer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reales</w:t>
      </w:r>
      <w:r>
        <w:rPr>
          <w:rFonts w:ascii="Times New Roman" w:hAnsi="Times New Roman"/>
          <w:sz w:val="24"/>
        </w:rPr>
        <w:t xml:space="preserve"> asociados a cada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22 pantallas de la Tabla 2 y las 142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22 pantallas a la vez, que es justamente lo que a mano se olvida.</w:t>
      </w:r>
    </w:p>
    <w:p>
      <w:pPr>
        <w:ind w:firstLine="720"/>
      </w:pPr>
      <w:r>
        <w:rPr>
          <w:rFonts w:ascii="Times New Roman" w:hAnsi="Times New Roman"/>
          <w:b/>
          <w:sz w:val="24"/>
        </w:rPr>
        <w:t>Para recorrerlo</w:t>
      </w:r>
      <w:r>
        <w:rPr>
          <w:rFonts w:ascii="Times New Roman" w:hAnsi="Times New Roman"/>
          <w:sz w:val="24"/>
        </w:rPr>
        <w:t xml:space="preserve">, el botón </w:t>
      </w:r>
      <w:r>
        <w:rPr>
          <w:rFonts w:ascii="Times New Roman" w:hAnsi="Times New Roman"/>
          <w:b/>
          <w:sz w:val="24"/>
        </w:rPr>
        <w:t>Presentar</w:t>
      </w:r>
      <w:r>
        <w:rPr>
          <w:rFonts w:ascii="Times New Roman" w:hAnsi="Times New Roman"/>
          <w:sz w:val="24"/>
        </w:rPr>
        <w:t xml:space="preserve"> arranca en la pantalla de acceso, que está fijada como punto de partida del flujo. 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Cinco pantallas bastan para ver el sistema de diseño aplicado: una de acceso, un tablero, dos formularios con reglas de negocio a la vista y una consulta.</w:t>
      </w:r>
    </w:p>
    <w:p>
      <w:r>
        <w:rPr>
          <w:rFonts w:ascii="Times New Roman" w:hAnsi="Times New Roman"/>
          <w:b/>
          <w:i w:val="0"/>
          <w:sz w:val="24"/>
        </w:rPr>
        <w:t>Figura 10</w:t>
      </w:r>
    </w:p>
    <w:p>
      <w:r>
        <w:rPr>
          <w:rFonts w:ascii="Times New Roman" w:hAnsi="Times New Roman"/>
          <w:b w:val="0"/>
          <w:i/>
          <w:sz w:val="24"/>
        </w:rPr>
        <w:t>Pantalla de acceso</w:t>
      </w:r>
    </w:p>
    <w:p>
      <w:pPr>
        <w:jc w:val="center"/>
      </w:pPr>
      <w:r>
        <w:drawing>
          <wp:inline xmlns:a="http://schemas.openxmlformats.org/drawingml/2006/main" xmlns:pic="http://schemas.openxmlformats.org/drawingml/2006/picture">
            <wp:extent cx="5220000" cy="33438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438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al sistema.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877106"/>
            <wp:docPr id="11" name="Picture 11"/>
            <wp:cNvGraphicFramePr>
              <a:graphicFrameLocks noChangeAspect="1"/>
            </wp:cNvGraphicFramePr>
            <a:graphic>
              <a:graphicData uri="http://schemas.openxmlformats.org/drawingml/2006/picture">
                <pic:pic>
                  <pic:nvPicPr>
                    <pic:cNvPr id="0" name="02-panel-administrador.png"/>
                    <pic:cNvPicPr/>
                  </pic:nvPicPr>
                  <pic:blipFill>
                    <a:blip r:embed="rId20"/>
                    <a:stretch>
                      <a:fillRect/>
                    </a:stretch>
                  </pic:blipFill>
                  <pic:spPr>
                    <a:xfrm>
                      <a:off x="0" y="0"/>
                      <a:ext cx="5220000" cy="587710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12</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4486129"/>
            <wp:docPr id="12" name="Picture 12"/>
            <wp:cNvGraphicFramePr>
              <a:graphicFrameLocks noChangeAspect="1"/>
            </wp:cNvGraphicFramePr>
            <a:graphic>
              <a:graphicData uri="http://schemas.openxmlformats.org/drawingml/2006/picture">
                <pic:pic>
                  <pic:nvPicPr>
                    <pic:cNvPr id="0" name="03-matricular.png"/>
                    <pic:cNvPicPr/>
                  </pic:nvPicPr>
                  <pic:blipFill>
                    <a:blip r:embed="rId21"/>
                    <a:stretch>
                      <a:fillRect/>
                    </a:stretch>
                  </pic:blipFill>
                  <pic:spPr>
                    <a:xfrm>
                      <a:off x="0" y="0"/>
                      <a:ext cx="5220000" cy="4486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el cupo disponible antes de confirmar, de modo que RN-05 se ve en la interfaz y no solo se descubre cuando el sistema rechaza la operación.</w:t>
      </w:r>
    </w:p>
    <w:p/>
    <w:p>
      <w:r>
        <w:rPr>
          <w:rFonts w:ascii="Times New Roman" w:hAnsi="Times New Roman"/>
          <w:b/>
          <w:i w:val="0"/>
          <w:sz w:val="24"/>
        </w:rPr>
        <w:t>Figura 13</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4648871"/>
            <wp:docPr id="13" name="Picture 13"/>
            <wp:cNvGraphicFramePr>
              <a:graphicFrameLocks noChangeAspect="1"/>
            </wp:cNvGraphicFramePr>
            <a:graphic>
              <a:graphicData uri="http://schemas.openxmlformats.org/drawingml/2006/picture">
                <pic:pic>
                  <pic:nvPicPr>
                    <pic:cNvPr id="0" name="04-calificar.png"/>
                    <pic:cNvPicPr/>
                  </pic:nvPicPr>
                  <pic:blipFill>
                    <a:blip r:embed="rId22"/>
                    <a:stretch>
                      <a:fillRect/>
                    </a:stretch>
                  </pic:blipFill>
                  <pic:spPr>
                    <a:xfrm>
                      <a:off x="0" y="0"/>
                      <a:ext cx="5220000" cy="46488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r>
        <w:rPr>
          <w:rFonts w:ascii="Times New Roman" w:hAnsi="Times New Roman"/>
          <w:b/>
          <w:i w:val="0"/>
          <w:sz w:val="24"/>
        </w:rPr>
        <w:t>Figura 14</w:t>
      </w:r>
    </w:p>
    <w:p>
      <w:r>
        <w:rPr>
          <w:rFonts w:ascii="Times New Roman" w:hAnsi="Times New Roman"/>
          <w:b w:val="0"/>
          <w:i/>
          <w:sz w:val="24"/>
        </w:rPr>
        <w:t>Mis notas del estudiante</w:t>
      </w:r>
    </w:p>
    <w:p>
      <w:pPr>
        <w:jc w:val="center"/>
      </w:pPr>
      <w:r>
        <w:drawing>
          <wp:inline xmlns:a="http://schemas.openxmlformats.org/drawingml/2006/main" xmlns:pic="http://schemas.openxmlformats.org/drawingml/2006/picture">
            <wp:extent cx="5220000" cy="4077741"/>
            <wp:docPr id="14" name="Picture 14"/>
            <wp:cNvGraphicFramePr>
              <a:graphicFrameLocks noChangeAspect="1"/>
            </wp:cNvGraphicFramePr>
            <a:graphic>
              <a:graphicData uri="http://schemas.openxmlformats.org/drawingml/2006/picture">
                <pic:pic>
                  <pic:nvPicPr>
                    <pic:cNvPr id="0" name="05-mis-notas.png"/>
                    <pic:cNvPicPr/>
                  </pic:nvPicPr>
                  <pic:blipFill>
                    <a:blip r:embed="rId23"/>
                    <a:stretch>
                      <a:fillRect/>
                    </a:stretch>
                  </pic:blipFill>
                  <pic:spPr>
                    <a:xfrm>
                      <a:off x="0" y="0"/>
                      <a:ext cx="5220000" cy="407774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columna de aporte hace visible el cálculo de RN-11: responde de dónde salió la definitiva sin que el estudiante tenga que preguntarlo en la ventanilla.</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La adaptación a móvil y el contraste</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autorización: el prototipo deja cambiar de rol a voluntad</w:t>
            </w:r>
          </w:p>
        </w:tc>
      </w:tr>
    </w:tbl>
    <w:p/>
    <w:p>
      <w:pPr>
        <w:spacing w:line="240" w:lineRule="auto"/>
      </w:pPr>
      <w:r>
        <w:rPr>
          <w:rFonts w:ascii="Times New Roman" w:hAnsi="Times New Roman"/>
          <w:i/>
          <w:sz w:val="20"/>
        </w:rPr>
        <w:t xml:space="preserve">Nota. </w:t>
      </w:r>
      <w:r>
        <w:rPr>
          <w:rFonts w:ascii="Times New Roman" w:hAnsi="Times New Roman"/>
          <w:sz w:val="20"/>
        </w:rPr>
        <w:t>La última fila es a propósito: el prototipo permite saltar entre roles para poder revisarlo completo. En el sistema real, ese salto es exactamente lo que RN-23 impide.</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22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su rótulo en el marcado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18 tablas · catálogo de 25 mensajes · prototipo de Figma generado por código,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