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[Nombre de la institución]</w:t>
      </w:r>
    </w:p>
    <w:p>
      <w:pPr>
        <w:jc w:val="center"/>
      </w:pPr>
      <w:r>
        <w:rPr>
          <w:rFonts w:ascii="Times New Roman" w:hAnsi="Times New Roman"/>
          <w:sz w:val="24"/>
        </w:rPr>
        <w:t>Trabajo Integrador: Fase 5 — Mockup y Prototipo</w:t>
      </w:r>
    </w:p>
    <w:p>
      <w:pPr>
        <w:jc w:val="center"/>
      </w:pPr>
      <w:r>
        <w:rPr>
          <w:rFonts w:ascii="Times New Roman" w:hAnsi="Times New Roman"/>
          <w:sz w:val="24"/>
        </w:rPr>
        <w:t>[Nombre del instructor]</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veintidós pantallas que cubren las veinticuatro historias del producto mínimo viable: acceso, restablecimiento de contraseña por autoservicio, paneles de los tres roles, gestión de personas y de la oferta académica, matrícula, registro de calificaciones y consulta de notas. El prototipo navegable se entrega como un archivo de Figma con las veintidós pantallas y ciento cuarenta y dos conexiones,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22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24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22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22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18 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Referencia de diseño</w:t>
            </w:r>
          </w:p>
        </w:tc>
      </w:tr>
    </w:tbl>
    <w:p/>
    <w:p>
      <w:pPr>
        <w:pStyle w:val="Heading2"/>
      </w:pPr>
      <w:r>
        <w:t>Reglas de Navegación</w:t>
      </w:r>
    </w:p>
    <w:p>
      <w:pPr>
        <w:ind w:firstLine="720"/>
      </w:pPr>
      <w:r>
        <w:rPr>
          <w:rFonts w:ascii="Times New Roman" w:hAnsi="Times New Roman"/>
          <w:sz w:val="24"/>
        </w:rPr>
        <w:t>Cuatro reglas gobiernan la estructura y se aplican sin excepción en las 22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22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estilos de efecto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22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22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Referencia</w:t>
            </w:r>
          </w:p>
        </w:tc>
      </w:tr>
    </w:tbl>
    <w:p/>
    <w:p>
      <w:pPr>
        <w:spacing w:line="240" w:lineRule="auto"/>
      </w:pPr>
      <w:r>
        <w:rPr>
          <w:rFonts w:ascii="Times New Roman" w:hAnsi="Times New Roman"/>
          <w:i/>
          <w:sz w:val="20"/>
        </w:rPr>
        <w:t xml:space="preserve">Nota. </w:t>
      </w:r>
      <w:r>
        <w:rPr>
          <w:rFonts w:ascii="Times New Roman" w:hAnsi="Times New Roman"/>
          <w:sz w:val="20"/>
        </w:rPr>
        <w:t>Las 24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22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Definido: contorno de 3 px con separación. Comprobado en la maqueta de trabajo</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Especificado para la Fase 6: con </w:t>
            </w:r>
            <w:r>
              <w:rPr>
                <w:rFonts w:ascii="Consolas" w:hAnsi="Consolas"/>
                <w:sz w:val="18"/>
              </w:rPr>
              <w:t>prefers-reduced-motion</w:t>
            </w:r>
            <w:r>
              <w:rPr>
                <w:rFonts w:ascii="Times New Roman" w:hAnsi="Times New Roman"/>
                <w:sz w:val="20"/>
              </w:rPr>
              <w:t xml:space="preserve"> la interfaz queda quieta y conserva color y jerarquía. Comprobado en la maqueta de trabajo</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22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327567" cy="6840000"/>
            <wp:docPr id="9" name="Picture 9"/>
            <wp:cNvGraphicFramePr>
              <a:graphicFrameLocks noChangeAspect="1"/>
            </wp:cNvGraphicFramePr>
            <a:graphic>
              <a:graphicData uri="http://schemas.openxmlformats.org/drawingml/2006/picture">
                <pic:pic>
                  <pic:nvPicPr>
                    <pic:cNvPr id="0" name="06-listado-movil.png"/>
                    <pic:cNvPicPr/>
                  </pic:nvPicPr>
                  <pic:blipFill>
                    <a:blip r:embed="rId18"/>
                    <a:stretch>
                      <a:fillRect/>
                    </a:stretch>
                  </pic:blipFill>
                  <pic:spPr>
                    <a:xfrm>
                      <a:off x="0" y="0"/>
                      <a:ext cx="3327567"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ind w:firstLine="720"/>
      </w:pPr>
      <w:r>
        <w:rPr>
          <w:rFonts w:ascii="Times New Roman" w:hAnsi="Times New Roman"/>
          <w:sz w:val="24"/>
        </w:rPr>
        <w:t>La accesibilidad se decide en dos momentos distintos y conviene separarlos, porque se verifican de formas distintas.</w:t>
      </w:r>
    </w:p>
    <w:p>
      <w:pPr>
        <w:ind w:firstLine="720"/>
      </w:pPr>
      <w:r>
        <w:rPr>
          <w:rFonts w:ascii="Times New Roman" w:hAnsi="Times New Roman"/>
          <w:b/>
          <w:sz w:val="24"/>
        </w:rPr>
        <w:t>Lo que ya está resuelto en el diseño.</w:t>
      </w:r>
      <w:r>
        <w:rPr>
          <w:rFonts w:ascii="Times New Roman" w:hAnsi="Times New Roman"/>
          <w:sz w:val="24"/>
        </w:rPr>
        <w:t xml:space="preserve"> Se ve en el prototipo y se puede revisar ahí mismo: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Contraste suficiente en toda la paleta</w:t>
      </w:r>
      <w:r>
        <w:rPr>
          <w:rFonts w:ascii="Times New Roman" w:hAnsi="Times New Roman"/>
          <w:sz w:val="24"/>
        </w:rPr>
        <w:t>, con 4.6:1 como valor más bajo (Tabla 3).</w:t>
      </w:r>
    </w:p>
    <w:p>
      <w:pPr>
        <w:pStyle w:val="ListParagraph"/>
        <w:spacing w:line="480" w:lineRule="auto"/>
        <w:ind w:left="720"/>
      </w:pPr>
      <w:r>
        <w:rPr>
          <w:rFonts w:ascii="Times New Roman" w:hAnsi="Times New Roman"/>
          <w:b/>
          <w:sz w:val="24"/>
        </w:rPr>
        <w:t>Rótulo visible en todo control</w:t>
      </w:r>
      <w:r>
        <w:rPr>
          <w:rFonts w:ascii="Times New Roman" w:hAnsi="Times New Roman"/>
          <w:sz w:val="24"/>
        </w:rPr>
        <w:t>, siempre encima del campo y nunca dentro como texto de ejemplo, que desaparece al escribir.</w:t>
      </w:r>
    </w:p>
    <w:p>
      <w:pPr>
        <w:pStyle w:val="ListParagraph"/>
        <w:spacing w:line="480" w:lineRule="auto"/>
        <w:ind w:left="720"/>
      </w:pPr>
      <w:r>
        <w:rPr>
          <w:rFonts w:ascii="Times New Roman" w:hAnsi="Times New Roman"/>
          <w:b/>
          <w:sz w:val="24"/>
        </w:rPr>
        <w:t>Orden de lectura explícito</w:t>
      </w:r>
      <w:r>
        <w:rPr>
          <w:rFonts w:ascii="Times New Roman" w:hAnsi="Times New Roman"/>
          <w:sz w:val="24"/>
        </w:rPr>
        <w:t xml:space="preserve"> en cada pantalla, que es el que debe seguir el tabulador.</w:t>
      </w:r>
    </w:p>
    <w:p>
      <w:pPr>
        <w:ind w:firstLine="720"/>
      </w:pPr>
      <w:r>
        <w:rPr>
          <w:rFonts w:ascii="Times New Roman" w:hAnsi="Times New Roman"/>
          <w:b/>
          <w:sz w:val="24"/>
        </w:rPr>
        <w:t>Lo que queda especificado para la Fase 6.</w:t>
      </w:r>
      <w:r>
        <w:rPr>
          <w:rFonts w:ascii="Times New Roman" w:hAnsi="Times New Roman"/>
          <w:sz w:val="24"/>
        </w:rPr>
        <w:t xml:space="preserve"> Son decisiones tomadas, pero que solo existen cuando haya código; el equipo de desarrollo no tiene que volver a discutirlas:</w:t>
      </w:r>
    </w:p>
    <w:p>
      <w:pPr>
        <w:pStyle w:val="ListParagraph"/>
        <w:spacing w:line="480" w:lineRule="auto"/>
        <w:ind w:left="720"/>
      </w:pPr>
      <w:r>
        <w:rPr>
          <w:rFonts w:ascii="Times New Roman" w:hAnsi="Times New Roman"/>
          <w:b/>
          <w:sz w:val="24"/>
        </w:rPr>
        <w:t>Indicador de foco propio</w:t>
      </w:r>
      <w:r>
        <w:rPr>
          <w:rFonts w:ascii="Times New Roman" w:hAnsi="Times New Roman"/>
          <w:sz w:val="24"/>
        </w:rPr>
        <w:t>, contorno de 3 píxeles con separación, en lugar del que el navegador ponga por defecto.</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y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recorre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asociados</w:t>
      </w:r>
      <w:r>
        <w:rPr>
          <w:rFonts w:ascii="Times New Roman" w:hAnsi="Times New Roman"/>
          <w:sz w:val="24"/>
        </w:rPr>
        <w:t xml:space="preserve"> a su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p>
    <w:p>
      <w:pPr>
        <w:ind w:firstLine="720"/>
      </w:pPr>
      <w:r>
        <w:rPr>
          <w:rFonts w:ascii="Times New Roman" w:hAnsi="Times New Roman"/>
          <w:sz w:val="24"/>
        </w:rPr>
        <w:t>Las seis de la segunda lista se probaron en la maqueta de trabajo de la sección 10.1, de modo que pasan a la Fase 6 comprobadas y no como buenas intenciones.</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22 pantallas de la Tabla 2 y las 142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cada una un frame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22 pantallas a la vez, que es justamente lo que a mano se olvida.</w:t>
      </w:r>
    </w:p>
    <w:p>
      <w:pPr>
        <w:ind w:firstLine="720"/>
      </w:pPr>
      <w:r>
        <w:rPr>
          <w:rFonts w:ascii="Times New Roman" w:hAnsi="Times New Roman"/>
          <w:b/>
          <w:sz w:val="24"/>
        </w:rPr>
        <w:t>Para recorrerlo:</w:t>
      </w:r>
    </w:p>
    <w:p>
      <w:pPr>
        <w:spacing w:line="240" w:lineRule="auto"/>
        <w:ind w:left="283"/>
      </w:pPr>
      <w:r>
        <w:rPr>
          <w:rFonts w:ascii="Consolas" w:hAnsi="Consolas"/>
          <w:sz w:val="16"/>
        </w:rPr>
        <w:t>https://www.figma.com/proto/0N23jzSCsiWpoBvI59fkup/SGA---Prototipo-Fase-5---Grupo-6?node-id=12-103&amp;starting-point-node-id=12%3A103&amp;scaling=min-zoom&amp;content-scaling=fixed</w:t>
      </w:r>
    </w:p>
    <w:p/>
    <w:p>
      <w:pPr>
        <w:ind w:firstLine="720"/>
      </w:pPr>
      <w:r>
        <w:rPr>
          <w:rFonts w:ascii="Times New Roman" w:hAnsi="Times New Roman"/>
          <w:sz w:val="24"/>
        </w:rPr>
        <w:t xml:space="preserve">El enlace abre el prototipo en modo presentación, sin necesidad de cuenta ni de iniciar sesión. Arranca en la pantalla de acceso, que está fijada como punto de partida del flujo. Desde ahí se entra a cualquiera de los tres roles y cada pantalla lleva 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Cinco pantallas bastan para ver el sistema de diseño aplicado: una de acceso, un tablero, dos formularios con reglas de negocio a la vista y una consulta.</w:t>
      </w:r>
    </w:p>
    <w:p>
      <w:r>
        <w:rPr>
          <w:rFonts w:ascii="Times New Roman" w:hAnsi="Times New Roman"/>
          <w:b/>
          <w:i w:val="0"/>
          <w:sz w:val="24"/>
        </w:rPr>
        <w:t>Figura 10</w:t>
      </w:r>
    </w:p>
    <w:p>
      <w:r>
        <w:rPr>
          <w:rFonts w:ascii="Times New Roman" w:hAnsi="Times New Roman"/>
          <w:b w:val="0"/>
          <w:i/>
          <w:sz w:val="24"/>
        </w:rPr>
        <w:t>Pantalla de acceso</w:t>
      </w:r>
    </w:p>
    <w:p>
      <w:pPr>
        <w:jc w:val="center"/>
      </w:pPr>
      <w:r>
        <w:drawing>
          <wp:inline xmlns:a="http://schemas.openxmlformats.org/drawingml/2006/main" xmlns:pic="http://schemas.openxmlformats.org/drawingml/2006/picture">
            <wp:extent cx="5220000" cy="3343871"/>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33438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al sistema.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5877106"/>
            <wp:docPr id="11" name="Picture 11"/>
            <wp:cNvGraphicFramePr>
              <a:graphicFrameLocks noChangeAspect="1"/>
            </wp:cNvGraphicFramePr>
            <a:graphic>
              <a:graphicData uri="http://schemas.openxmlformats.org/drawingml/2006/picture">
                <pic:pic>
                  <pic:nvPicPr>
                    <pic:cNvPr id="0" name="02-panel-administrador.png"/>
                    <pic:cNvPicPr/>
                  </pic:nvPicPr>
                  <pic:blipFill>
                    <a:blip r:embed="rId20"/>
                    <a:stretch>
                      <a:fillRect/>
                    </a:stretch>
                  </pic:blipFill>
                  <pic:spPr>
                    <a:xfrm>
                      <a:off x="0" y="0"/>
                      <a:ext cx="5220000" cy="587710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12</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4486129"/>
            <wp:docPr id="12" name="Picture 12"/>
            <wp:cNvGraphicFramePr>
              <a:graphicFrameLocks noChangeAspect="1"/>
            </wp:cNvGraphicFramePr>
            <a:graphic>
              <a:graphicData uri="http://schemas.openxmlformats.org/drawingml/2006/picture">
                <pic:pic>
                  <pic:nvPicPr>
                    <pic:cNvPr id="0" name="03-matricular.png"/>
                    <pic:cNvPicPr/>
                  </pic:nvPicPr>
                  <pic:blipFill>
                    <a:blip r:embed="rId21"/>
                    <a:stretch>
                      <a:fillRect/>
                    </a:stretch>
                  </pic:blipFill>
                  <pic:spPr>
                    <a:xfrm>
                      <a:off x="0" y="0"/>
                      <a:ext cx="5220000" cy="44861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el cupo disponible antes de confirmar, de modo que RN-05 se ve en la interfaz y no solo se descubre cuando el sistema rechaza la operación.</w:t>
      </w:r>
    </w:p>
    <w:p/>
    <w:p>
      <w:r>
        <w:rPr>
          <w:rFonts w:ascii="Times New Roman" w:hAnsi="Times New Roman"/>
          <w:b/>
          <w:i w:val="0"/>
          <w:sz w:val="24"/>
        </w:rPr>
        <w:t>Figura 13</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4648871"/>
            <wp:docPr id="13" name="Picture 13"/>
            <wp:cNvGraphicFramePr>
              <a:graphicFrameLocks noChangeAspect="1"/>
            </wp:cNvGraphicFramePr>
            <a:graphic>
              <a:graphicData uri="http://schemas.openxmlformats.org/drawingml/2006/picture">
                <pic:pic>
                  <pic:nvPicPr>
                    <pic:cNvPr id="0" name="04-calificar.png"/>
                    <pic:cNvPicPr/>
                  </pic:nvPicPr>
                  <pic:blipFill>
                    <a:blip r:embed="rId22"/>
                    <a:stretch>
                      <a:fillRect/>
                    </a:stretch>
                  </pic:blipFill>
                  <pic:spPr>
                    <a:xfrm>
                      <a:off x="0" y="0"/>
                      <a:ext cx="5220000" cy="46488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r>
        <w:rPr>
          <w:rFonts w:ascii="Times New Roman" w:hAnsi="Times New Roman"/>
          <w:b/>
          <w:i w:val="0"/>
          <w:sz w:val="24"/>
        </w:rPr>
        <w:t>Figura 14</w:t>
      </w:r>
    </w:p>
    <w:p>
      <w:r>
        <w:rPr>
          <w:rFonts w:ascii="Times New Roman" w:hAnsi="Times New Roman"/>
          <w:b w:val="0"/>
          <w:i/>
          <w:sz w:val="24"/>
        </w:rPr>
        <w:t>Mis notas del estudiante</w:t>
      </w:r>
    </w:p>
    <w:p>
      <w:pPr>
        <w:jc w:val="center"/>
      </w:pPr>
      <w:r>
        <w:drawing>
          <wp:inline xmlns:a="http://schemas.openxmlformats.org/drawingml/2006/main" xmlns:pic="http://schemas.openxmlformats.org/drawingml/2006/picture">
            <wp:extent cx="5220000" cy="4077741"/>
            <wp:docPr id="14" name="Picture 14"/>
            <wp:cNvGraphicFramePr>
              <a:graphicFrameLocks noChangeAspect="1"/>
            </wp:cNvGraphicFramePr>
            <a:graphic>
              <a:graphicData uri="http://schemas.openxmlformats.org/drawingml/2006/picture">
                <pic:pic>
                  <pic:nvPicPr>
                    <pic:cNvPr id="0" name="05-mis-notas.png"/>
                    <pic:cNvPicPr/>
                  </pic:nvPicPr>
                  <pic:blipFill>
                    <a:blip r:embed="rId23"/>
                    <a:stretch>
                      <a:fillRect/>
                    </a:stretch>
                  </pic:blipFill>
                  <pic:spPr>
                    <a:xfrm>
                      <a:off x="0" y="0"/>
                      <a:ext cx="5220000" cy="407774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columna de aporte hace visible el cálculo de RN-11: responde de dónde salió la definitiva sin que el estudiante tenga que preguntarlo en la ventanilla.</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22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El contraste de la paleta</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nil"/>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nil"/>
              <w:left w:val="nil"/>
              <w:right w:val="nil"/>
            </w:tcBorders>
          </w:tcPr>
          <w:p>
            <w:pPr>
              <w:spacing w:line="240" w:lineRule="auto" w:after="40"/>
            </w:pPr>
            <w:r/>
            <w:r>
              <w:rPr>
                <w:rFonts w:ascii="Times New Roman" w:hAnsi="Times New Roman"/>
                <w:sz w:val="20"/>
              </w:rPr>
              <w:t>La autorización: el prototipo deja cambiar de rol a voluntad</w:t>
            </w:r>
          </w:p>
        </w:tc>
      </w:tr>
      <w:tr>
        <w:tc>
          <w:tcPr>
            <w:tcW w:type="dxa" w:w="4680"/>
            <w:tcBorders>
              <w:top w:val="nil"/>
              <w:bottom w:val="single" w:sz="6" w:color="000000"/>
              <w:left w:val="nil"/>
              <w:right w:val="nil"/>
            </w:tcBorders>
          </w:tcPr>
          <w:p>
            <w:pPr>
              <w:spacing w:line="240" w:lineRule="auto" w:after="40"/>
            </w:pPr>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adaptación: los frames tienen un ancho fijo, no se reacomodan</w:t>
            </w:r>
          </w:p>
        </w:tc>
      </w:tr>
    </w:tbl>
    <w:p/>
    <w:p>
      <w:pPr>
        <w:spacing w:line="240" w:lineRule="auto"/>
      </w:pPr>
      <w:r>
        <w:rPr>
          <w:rFonts w:ascii="Times New Roman" w:hAnsi="Times New Roman"/>
          <w:i/>
          <w:sz w:val="20"/>
        </w:rPr>
        <w:t xml:space="preserve">Nota. </w:t>
      </w:r>
      <w:r>
        <w:rPr>
          <w:rFonts w:ascii="Times New Roman" w:hAnsi="Times New Roman"/>
          <w:sz w:val="20"/>
        </w:rPr>
        <w:t>Dos filas piden explicación. La autorización se deja abierta a propósito, para poder revisar el prototipo completo con los tres roles; en el sistema real ese salto es exactamente lo que RN-23 impide. Y la adaptación no se puede mostrar en Figma: un frame mide lo que se le dibujó. El diseño adaptable está definido —la Figura 9 muestra cómo se ve a 360 píxeles— y medido en la sección 10.1, pero sobre la maqueta de trabajo, no sobre este archivo.</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22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llevar su rótulo, que en escritorio va en el encabezado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24 historias del producto mínimo viable se convirtieron en 22 pantallas, un sistema de diseño de 16 componentes y un prototipo navegable en Figma que se recorre completo con los tres roles. Los requerimientos de interfaz quedaron verificados: ninguna de las 22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22 pantallas · 16 componentes · 8 diagramas · 18 tablas · catálogo de 25 mensajes · prototipo de Figma generado por código, con 142 conexiones · 0 desbordes a 360 px · 24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