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Manuscript captions and method references</w:t>
      </w:r>
    </w:p>
    <w:p>
      <w:pPr>
        <w:pStyle w:val="Heading1"/>
      </w:pPr>
      <w:r>
        <w:t>Replacement results paragraph</w:t>
      </w:r>
    </w:p>
    <w:p>
      <w:r/>
      <w:r>
        <w:t>At the common 100 µm cell width, LABscanner RMS height decreased after cleaning in 15 of 16 fresh specimens and 28 of 32 mature specimens. For LABscanner, the median paired changes were −1.35 µm (95% confidence interval −2.43 to −0.85) in fresh specimens and −1.43 µm (−2.01 to −0.92) in mature specimens. Median changes for TRIOS3 were −0.23 and −0.66 µm, and those for TRIOS5 were −0.50 and −0.81 µm, respectively. Their confidence intervals spanned zero in fresh specimens and were entirely below zero in mature specimens. iTERO showed median changes of +1.51 µm in fresh specimens and −0.28 µm in mature specimens, with both confidence intervals spanning zero (Table 2).</w:t>
      </w:r>
    </w:p>
    <w:p>
      <w:r/>
      <w:r>
        <w:t>The two reported decreases of −1.35 and −1.43 µm belong only to LABscanner. Table 2 reports all scanners. Figure numbers 4–7 and reference labels R1–R7 are working labels and can be renumbered in the manuscript.</w:t>
      </w:r>
    </w:p>
    <w:p>
      <w:r>
        <w:br w:type="page"/>
      </w:r>
    </w:p>
    <w:p>
      <w:pPr>
        <w:pStyle w:val="Heading1"/>
      </w:pPr>
      <w:r>
        <w:t>2.4 Data exploration and scanner characteristics</w:t>
      </w:r>
    </w:p>
    <w:p>
      <w:pPr/>
      <w:r>
        <w:t>The approved regions of interest were explored to characterise differences in colour, mesh sampling and surface topography between scanners and experimental stages. Fresh and mature specimens were analysed separately. Between-scanner comparisons paired scans of the same specimen at the same stage, while stage comparisons paired scans within each specimen and scanner.</w:t>
      </w:r>
    </w:p>
    <w:p>
      <w:pPr/>
      <w:r>
        <w:t>Colour distributions were characterised in CIELAB space [R1] using the saved unlit RGB projections, assuming sRGB encoding [R2], D65 illumination and a 2° standard observer. Background pixels were excluded, and measurements were weighted by the corresponding visible surface area. Per-scan summaries included the mean, standard deviation, median and distribution percentiles of L*, a* and b*. Histograms were normalised within scans before averaging, giving specimens equal weight within each scanner–stage comparison.</w:t>
      </w:r>
    </w:p>
    <w:p>
      <w:pPr/>
      <w:r>
        <w:t>Paired colour differences between scanners were quantified using CIEDE2000 (ΔE₀₀) between scan-mean CIELAB vectors [R3,R4], supplemented by one-dimensional Wasserstein distances between the marginal L*, a* and b* histograms [R5]. These measurements described exported colour appearance without an independent colour reference. Within-specimen colour changes were assessed using ΔE₀₀ and signed changes in mean L*, a* and b*. Baseline-to-clean comparisons were performed for both cohorts, with additional baseline-to-partial and partial-to-clean comparisons for mature specimens. Individual trajectories illustrated colour changes relative to each specimen’s baseline (Fig. 5). Colour conversion and CIEDE2000 calculations were implemented in scikit-image version 0.26.0 [R7].</w:t>
      </w:r>
    </w:p>
    <w:p>
      <w:pPr/>
      <w:r/>
      <w:r>
        <w:t>Mesh sampling was characterised by vertex and face counts, counts per unit mesh surface area, triangle areas and geometric edge lengths. Encoded vertex counts were distinguished from counts of unique geometric vertices to account for duplicated coordinates. Surface topography was assessed relative to a fitted plane using mean absolute height, root-mean-square (RMS) height, the 5th–95th percentile height range and native face slopes. Native RMS height was calculated by triangle-area integration. Height measurements were additionally calculated after surface-area-weighted averaging into grids with cell widths of 50, 100 and 200 µm. Cells required at least 75% projected coverage, and missing regions were not filled. Triangle density, median native face slope and RMS height at 100 µm were selected for the principal geometric comparison (Fig. 6).</w:t>
      </w:r>
    </w:p>
    <w:p>
      <w:pPr/>
      <w:r>
        <w:t>Matched visual comparisons used unlit colour projections, neutral-shaded native surfaces, native mesh edges and detrended height maps. BCG3-1 after partial cleaning illustrated differences between scanners (Fig. 7). Displays used a common 13.4 × 13.4 mm field of view, with a central 4 × 4 mm mesh zoom. Neutral geometry views used identical illumination and 20-fold vertical exaggeration for display only. Height maps used shared colour limits. Comparisons did not assume pointwise correspondence between scanner meshes.</w:t>
      </w:r>
    </w:p>
    <w:p>
      <w:pPr/>
      <w:r>
        <w:t>A sixth, annotation-based analysis is planned to assess plaque–clean separability using colour and geometric features for each scanner. Feature distributions in annotated plaque-covered and exposed regions will be compared, prioritising partially cleaned specimens in which both regions coexist. Comparisons will account for specimen pairing and examine whether geometric features provide contrast where colour differences are limited.</w:t>
      </w:r>
    </w:p>
    <w:p>
      <w:pPr/>
      <w:r>
        <w:t>Descriptive summaries used specimens as the independent units and reported medians and interquartile ranges. Selected median estimates were accompanied by 95% percentile confidence intervals obtained from 1,000 specimen-level bootstrap resamples [R6]. Full-cohort exploration described dataset characteristics. Data-dependent preprocessing parameters and model-design choices will be selected using training specimens before evaluation on held-out data.</w:t>
      </w:r>
    </w:p>
    <w:p>
      <w:r>
        <w:br w:type="page"/>
      </w:r>
    </w:p>
    <w:p>
      <w:pPr>
        <w:pStyle w:val="Heading1"/>
      </w:pPr>
      <w:r>
        <w:t>Figure captions</w:t>
      </w:r>
    </w:p>
    <w:p>
      <w:r>
        <w:t>Figure 4. CIELAB colour distributions across scanners and experimental stages. Panels A–F show fresh specimens (n = 16), and panels G–O show mature specimens (n = 32). Rows represent fresh baseline, fresh clean, mature baseline, mature partial cleaning and mature clean conditions; columns show L*, a* and b*. Colours identify scanners. Histograms were weighted by visible surface area and normalised within each scan before averaging with equal specimen weights. Horizontal and vertical limits are shared within each colour channel. CIELAB conversion assumes sRGB encoding, D65 illumination and a 2° observer; the distributions describe uncalibrated exported appearance.</w:t>
      </w:r>
    </w:p>
    <w:p>
      <w:r>
        <w:t>Figure 5. Within-specimen colour changes across experimental stages. Columns show iTERO, TRIOS3, TRIOS5 and LABscanner. Panels A–D show fresh specimens (n = 16); panels E–H show mature specimens (n = 32). Thin lines follow individual specimens, thick lines show medians and shading indicates interquartile ranges. ΔE₀₀ was calculated between area-weighted scan-mean CIELAB vectors and each specimen’s own baseline; baseline change is therefore zero by definition. All panels share the same vertical limits. These are whole-specimen colour changes and do not estimate plaque coverage.</w:t>
      </w:r>
    </w:p>
    <w:p>
      <w:r>
        <w:t>Figure 6. Mesh sampling and surface topography across scanners and experimental stages. Fresh specimens are shown in panels A–C (n = 16) and mature specimens in panels D–F (n = 32). Columns show triangle density per mesh surface area, surface-area-weighted median native face slope relative to the fitted plane, and plane-detrended RMS height after averaging into 100 µm cells. Dots represent individual scans; connected markers show medians and bars show interquartile ranges. Triangle density and RMS height use logarithmic axes, with metric limits shared between cohorts. Common cell width standardises the calculation scale without equalising scanner resolving power. These are unfiltered scanner-derived topography descriptors, not independently validated material roughness.</w:t>
      </w:r>
    </w:p>
    <w:p>
      <w:r/>
      <w:r>
        <w:t>Figure 7. Colour and geometric representations of BCG3T1-1 after partial cleaning. Columns show iTERO, TRIOS3, TRIOS5 and LABscanner. Rows show (A) unlit colour, (B) neutral-shaded native geometry with 20-fold vertical exaggeration, (C) native triangle edges and (D) plane-detrended height. The field of view is 13.4 × 13.4 mm except for the 4 × 4 mm mesh zoom. Height maps use 50 µm cells and a common colour range of ±20.29 µm across scanners; values outside this range are saturated. Illumination and vertical exaggeration are identical between scanners; quantitative measurements use unexaggerated coordinates. Approximate shared orientation does not establish pointwise correspondence. Plaque locations are not identified without annotations.</w:t>
      </w:r>
    </w:p>
    <w:p>
      <w:r>
        <w:br w:type="page"/>
      </w:r>
    </w:p>
    <w:p>
      <w:pPr>
        <w:pStyle w:val="Heading1"/>
      </w:pPr>
      <w:r>
        <w:t>Method references</w:t>
      </w:r>
    </w:p>
    <w:p>
      <w:r>
        <w:t>[R1] Commission Internationale de l’Eclairage. Colorimetry. 4th ed. CIE 015:2018. Vienna: CIE; 2018. https://doi.org/10.25039/TR.015.2018.</w:t>
      </w:r>
    </w:p>
    <w:p>
      <w:r>
        <w:t>[R2] International Electrotechnical Commission. IEC 61966-2-1:1999. Multimedia systems and equipment - Colour measurement and management - Part 2-1: Colour management - Default RGB colour space - sRGB. Geneva: IEC; 1999. https://webstore.iec.ch/en/publication/6169.</w:t>
      </w:r>
    </w:p>
    <w:p>
      <w:r>
        <w:t>[R3] Luo MR, Cui G, Rigg B. The development of the CIE 2000 colour-difference formula: CIEDE2000. Color Res Appl. 2001;26(5):340–350. https://doi.org/10.1002/col.1049.</w:t>
      </w:r>
    </w:p>
    <w:p>
      <w:r>
        <w:t>[R4] Sharma G, Wu W, Dalal EN. The CIEDE2000 color-difference formula: Implementation notes, supplementary test data, and mathematical observations. Color Res Appl. 2005;30(1):21–30. https://doi.org/10.1002/col.20070.</w:t>
      </w:r>
    </w:p>
    <w:p>
      <w:r>
        <w:t>[R5] Vallender SS. Calculation of the Wasserstein distance between probability distributions on the line. Theory Probab Appl. 1974;18(4):784–786. https://doi.org/10.1137/1118101.</w:t>
      </w:r>
    </w:p>
    <w:p>
      <w:r>
        <w:t>[R6] Efron B. Bootstrap methods: Another look at the jackknife. Ann Statist. 1979;7(1):1–26. https://doi.org/10.1214/aos/1176344552.</w:t>
      </w:r>
    </w:p>
    <w:p>
      <w:r>
        <w:t>[R7] van der Walt S, Schönberger JL, Nunez-Iglesias J, Boulogne F, Warner JD, Yager N, Gouillart E, Yu T, the scikit-image contributors. scikit-image: image processing in Python. PeerJ. 2014;2:e453. https://doi.org/10.7717/peerj.453.</w:t>
      </w:r>
    </w:p>
    <w:p>
      <w:pPr>
        <w:pStyle w:val="Heading1"/>
      </w:pPr>
      <w:r>
        <w:t>Citation placement</w:t>
      </w:r>
    </w:p>
    <w:p>
      <w:r>
        <w:t>R1: CIELAB, D65 and the standard observer. R2: the assumed sRGB encoding.</w:t>
      </w:r>
    </w:p>
    <w:p>
      <w:r>
        <w:t>R3: the original CIEDE2000 formula. R4: implementation notes and test data.</w:t>
      </w:r>
    </w:p>
    <w:p>
      <w:r>
        <w:t>R5: one-dimensional Wasserstein distances between marginal channel histograms.</w:t>
      </w:r>
    </w:p>
    <w:p>
      <w:r>
        <w:t>R6: bootstrap resampling. R7: the scikit-image implementation.</w:t>
      </w:r>
    </w:p>
    <w:p>
      <w:r>
        <w:t>Mesh counts, edge lengths, triangle areas, area weighting and the custom cell-averaging procedure are defined directly in the methods. They do not require separate citations for elementary calculations. No claim of ISO-standardised Sa or Sq measurement is made.</w:t>
      </w:r>
    </w:p>
    <w:sectPr w:rsidR="00FC693F" w:rsidRPr="0006063C" w:rsidSect="00034616">
      <w:pgSz w:w="12240" w:h="15840"/>
      <w:pgMar w:top="936" w:right="1247" w:bottom="936"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