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3BF" w:rsidRDefault="00023C14" w:rsidP="00023C14">
      <w:pPr>
        <w:jc w:val="center"/>
        <w:rPr>
          <w:rFonts w:ascii="Trebuchet MS" w:hAnsi="Trebuchet MS" w:cs="Trebuchet MS"/>
          <w:color w:val="555555"/>
          <w:sz w:val="25"/>
          <w:szCs w:val="25"/>
        </w:rPr>
      </w:pPr>
      <w:proofErr w:type="spellStart"/>
      <w:r>
        <w:rPr>
          <w:rFonts w:ascii="Trebuchet MS" w:hAnsi="Trebuchet MS" w:cs="Trebuchet MS"/>
          <w:color w:val="555555"/>
          <w:sz w:val="25"/>
          <w:szCs w:val="25"/>
        </w:rPr>
        <w:t>Coding</w:t>
      </w:r>
      <w:proofErr w:type="spellEnd"/>
      <w:r>
        <w:rPr>
          <w:rFonts w:ascii="Trebuchet MS" w:hAnsi="Trebuchet MS" w:cs="Trebuchet MS"/>
          <w:color w:val="555555"/>
          <w:sz w:val="25"/>
          <w:szCs w:val="25"/>
        </w:rPr>
        <w:t xml:space="preserve"> </w:t>
      </w:r>
      <w:proofErr w:type="spellStart"/>
      <w:r>
        <w:rPr>
          <w:rFonts w:ascii="Trebuchet MS" w:hAnsi="Trebuchet MS" w:cs="Trebuchet MS"/>
          <w:color w:val="555555"/>
          <w:sz w:val="25"/>
          <w:szCs w:val="25"/>
        </w:rPr>
        <w:t>Challenge</w:t>
      </w:r>
      <w:proofErr w:type="spellEnd"/>
      <w:r>
        <w:rPr>
          <w:rFonts w:ascii="Trebuchet MS" w:hAnsi="Trebuchet MS" w:cs="Trebuchet MS"/>
          <w:color w:val="555555"/>
          <w:sz w:val="25"/>
          <w:szCs w:val="25"/>
        </w:rPr>
        <w:t xml:space="preserve">: </w:t>
      </w:r>
      <w:proofErr w:type="spellStart"/>
      <w:r>
        <w:rPr>
          <w:rFonts w:ascii="Trebuchet MS" w:hAnsi="Trebuchet MS" w:cs="Trebuchet MS"/>
          <w:color w:val="555555"/>
          <w:sz w:val="25"/>
          <w:szCs w:val="25"/>
        </w:rPr>
        <w:t>Calculator</w:t>
      </w:r>
      <w:proofErr w:type="spellEnd"/>
      <w:r>
        <w:rPr>
          <w:rFonts w:ascii="Trebuchet MS" w:hAnsi="Trebuchet MS" w:cs="Trebuchet MS"/>
          <w:color w:val="555555"/>
          <w:sz w:val="25"/>
          <w:szCs w:val="25"/>
        </w:rPr>
        <w:t xml:space="preserve"> </w:t>
      </w:r>
      <w:proofErr w:type="spellStart"/>
      <w:r>
        <w:rPr>
          <w:rFonts w:ascii="Trebuchet MS" w:hAnsi="Trebuchet MS" w:cs="Trebuchet MS"/>
          <w:color w:val="555555"/>
          <w:sz w:val="25"/>
          <w:szCs w:val="25"/>
        </w:rPr>
        <w:t>Service</w:t>
      </w:r>
      <w:proofErr w:type="spellEnd"/>
    </w:p>
    <w:p w:rsidR="00023C14" w:rsidRDefault="00023C14" w:rsidP="00023C14">
      <w:pPr>
        <w:jc w:val="center"/>
        <w:rPr>
          <w:rFonts w:ascii="Trebuchet MS" w:hAnsi="Trebuchet MS" w:cs="Trebuchet MS"/>
          <w:color w:val="555555"/>
          <w:sz w:val="25"/>
          <w:szCs w:val="25"/>
        </w:rPr>
      </w:pPr>
      <w:r>
        <w:rPr>
          <w:rFonts w:ascii="Trebuchet MS" w:hAnsi="Trebuchet MS" w:cs="Trebuchet MS"/>
          <w:color w:val="555555"/>
          <w:sz w:val="25"/>
          <w:szCs w:val="25"/>
        </w:rPr>
        <w:t xml:space="preserve">Johan Alexis Ruiz </w:t>
      </w:r>
      <w:proofErr w:type="spellStart"/>
      <w:r>
        <w:rPr>
          <w:rFonts w:ascii="Trebuchet MS" w:hAnsi="Trebuchet MS" w:cs="Trebuchet MS"/>
          <w:color w:val="555555"/>
          <w:sz w:val="25"/>
          <w:szCs w:val="25"/>
        </w:rPr>
        <w:t>Echavarria</w:t>
      </w:r>
      <w:proofErr w:type="spellEnd"/>
    </w:p>
    <w:p w:rsidR="00023C14" w:rsidRDefault="00023C14" w:rsidP="00023C14">
      <w:pPr>
        <w:jc w:val="center"/>
        <w:rPr>
          <w:rFonts w:ascii="Trebuchet MS" w:hAnsi="Trebuchet MS" w:cs="Trebuchet MS"/>
          <w:color w:val="555555"/>
          <w:sz w:val="25"/>
          <w:szCs w:val="25"/>
        </w:rPr>
      </w:pPr>
    </w:p>
    <w:p w:rsidR="00023C14" w:rsidRDefault="00023C14" w:rsidP="00023C14">
      <w:pPr>
        <w:pStyle w:val="Prrafodelista"/>
        <w:numPr>
          <w:ilvl w:val="0"/>
          <w:numId w:val="1"/>
        </w:numPr>
        <w:jc w:val="both"/>
      </w:pPr>
      <w:r>
        <w:t>Introducción</w:t>
      </w:r>
    </w:p>
    <w:p w:rsidR="00023C14" w:rsidRDefault="00023C14" w:rsidP="00023C14">
      <w:pPr>
        <w:pStyle w:val="Prrafodelista"/>
        <w:jc w:val="both"/>
      </w:pPr>
    </w:p>
    <w:p w:rsidR="00023C14" w:rsidRDefault="00023C14" w:rsidP="00023C14">
      <w:pPr>
        <w:pStyle w:val="Prrafodelista"/>
        <w:jc w:val="both"/>
      </w:pPr>
      <w:r>
        <w:t>Este documento tiene como objetivo dar detalle de los diferentes aspectos técnicos de la solución desarrollada para el reto.</w:t>
      </w:r>
    </w:p>
    <w:p w:rsidR="00023C14" w:rsidRDefault="00023C14" w:rsidP="00023C14">
      <w:pPr>
        <w:pStyle w:val="Prrafodelista"/>
        <w:jc w:val="both"/>
      </w:pPr>
    </w:p>
    <w:p w:rsidR="00023C14" w:rsidRDefault="00023C14" w:rsidP="00023C14">
      <w:pPr>
        <w:pStyle w:val="Prrafodelista"/>
        <w:jc w:val="both"/>
      </w:pPr>
      <w:r>
        <w:t xml:space="preserve">A </w:t>
      </w:r>
      <w:r w:rsidR="007D51C7">
        <w:t xml:space="preserve">continuación, </w:t>
      </w:r>
      <w:r>
        <w:t>se da explicación del diseño arquitectónico de la solución, despliegue y funcionamiento.</w:t>
      </w:r>
    </w:p>
    <w:p w:rsidR="007D51C7" w:rsidRDefault="007D51C7" w:rsidP="00023C14">
      <w:pPr>
        <w:pStyle w:val="Prrafodelista"/>
        <w:jc w:val="both"/>
      </w:pPr>
    </w:p>
    <w:p w:rsidR="00023C14" w:rsidRDefault="007D51C7" w:rsidP="007D51C7">
      <w:pPr>
        <w:pStyle w:val="Prrafodelista"/>
        <w:numPr>
          <w:ilvl w:val="0"/>
          <w:numId w:val="1"/>
        </w:numPr>
        <w:jc w:val="both"/>
      </w:pPr>
      <w:r>
        <w:t>Arquitectura</w:t>
      </w:r>
    </w:p>
    <w:p w:rsidR="007D51C7" w:rsidRDefault="007D51C7" w:rsidP="007D51C7">
      <w:pPr>
        <w:pStyle w:val="Prrafodelista"/>
        <w:numPr>
          <w:ilvl w:val="1"/>
          <w:numId w:val="1"/>
        </w:numPr>
        <w:jc w:val="both"/>
      </w:pPr>
      <w:r>
        <w:t>Tecnologías</w:t>
      </w:r>
      <w:r>
        <w:t xml:space="preserve"> utilizadas:</w:t>
      </w:r>
    </w:p>
    <w:p w:rsidR="007D51C7" w:rsidRDefault="007D51C7" w:rsidP="007D51C7">
      <w:pPr>
        <w:pStyle w:val="Prrafodelista"/>
        <w:ind w:left="792"/>
        <w:jc w:val="both"/>
      </w:pPr>
    </w:p>
    <w:p w:rsidR="007D51C7" w:rsidRDefault="007D51C7" w:rsidP="007D51C7">
      <w:pPr>
        <w:pStyle w:val="Prrafodelista"/>
        <w:numPr>
          <w:ilvl w:val="0"/>
          <w:numId w:val="3"/>
        </w:numPr>
        <w:jc w:val="both"/>
      </w:pPr>
      <w:r>
        <w:t>.NET Framework 4.6</w:t>
      </w:r>
    </w:p>
    <w:p w:rsidR="007D51C7" w:rsidRDefault="007D51C7" w:rsidP="007D51C7">
      <w:pPr>
        <w:pStyle w:val="Prrafodelista"/>
        <w:numPr>
          <w:ilvl w:val="0"/>
          <w:numId w:val="3"/>
        </w:numPr>
        <w:jc w:val="both"/>
      </w:pPr>
      <w:r>
        <w:t>ASP.NET</w:t>
      </w:r>
    </w:p>
    <w:p w:rsidR="007D51C7" w:rsidRDefault="007D51C7" w:rsidP="007D51C7">
      <w:pPr>
        <w:pStyle w:val="Prrafodelista"/>
        <w:numPr>
          <w:ilvl w:val="0"/>
          <w:numId w:val="3"/>
        </w:numPr>
        <w:jc w:val="both"/>
      </w:pPr>
      <w:proofErr w:type="spellStart"/>
      <w:r>
        <w:t>Entity</w:t>
      </w:r>
      <w:proofErr w:type="spellEnd"/>
      <w:r>
        <w:t xml:space="preserve"> Framework 6.2 </w:t>
      </w:r>
    </w:p>
    <w:p w:rsidR="007D51C7" w:rsidRDefault="007D51C7" w:rsidP="007D51C7">
      <w:pPr>
        <w:pStyle w:val="Prrafodelista"/>
        <w:numPr>
          <w:ilvl w:val="0"/>
          <w:numId w:val="3"/>
        </w:numPr>
        <w:jc w:val="both"/>
      </w:pPr>
      <w:r>
        <w:t>SQL Server</w:t>
      </w:r>
    </w:p>
    <w:p w:rsidR="007D51C7" w:rsidRDefault="007D51C7" w:rsidP="007D51C7">
      <w:pPr>
        <w:pStyle w:val="Prrafodelista"/>
        <w:numPr>
          <w:ilvl w:val="0"/>
          <w:numId w:val="3"/>
        </w:numPr>
        <w:jc w:val="both"/>
      </w:pPr>
      <w:r>
        <w:t>Unity: utilizado para la inyección de dependencias</w:t>
      </w:r>
      <w:r>
        <w:t xml:space="preserve"> e inversión del control</w:t>
      </w:r>
    </w:p>
    <w:p w:rsidR="007D51C7" w:rsidRDefault="007D51C7" w:rsidP="007D51C7">
      <w:pPr>
        <w:pStyle w:val="Prrafodelista"/>
        <w:ind w:left="1068"/>
        <w:jc w:val="both"/>
      </w:pPr>
    </w:p>
    <w:p w:rsidR="007D51C7" w:rsidRDefault="007D51C7" w:rsidP="007D51C7">
      <w:pPr>
        <w:pStyle w:val="Prrafodelista"/>
        <w:numPr>
          <w:ilvl w:val="1"/>
          <w:numId w:val="1"/>
        </w:numPr>
        <w:jc w:val="both"/>
      </w:pPr>
      <w:r>
        <w:t>Prerrequisitos</w:t>
      </w:r>
      <w:r>
        <w:t>:</w:t>
      </w:r>
    </w:p>
    <w:p w:rsidR="007D51C7" w:rsidRDefault="007D51C7" w:rsidP="007D51C7">
      <w:pPr>
        <w:pStyle w:val="Prrafodelista"/>
        <w:ind w:left="792"/>
        <w:jc w:val="both"/>
      </w:pPr>
    </w:p>
    <w:p w:rsidR="007D51C7" w:rsidRDefault="007D51C7" w:rsidP="007D51C7">
      <w:pPr>
        <w:pStyle w:val="Prrafodelista"/>
        <w:numPr>
          <w:ilvl w:val="0"/>
          <w:numId w:val="2"/>
        </w:numPr>
        <w:jc w:val="both"/>
      </w:pPr>
      <w:r>
        <w:t>Disponibilidad</w:t>
      </w:r>
      <w:r>
        <w:t xml:space="preserve"> de servidor de base de datos Microsoft SQL Server </w:t>
      </w:r>
    </w:p>
    <w:p w:rsidR="007D51C7" w:rsidRDefault="007D51C7" w:rsidP="007D51C7">
      <w:pPr>
        <w:pStyle w:val="Prrafodelista"/>
        <w:numPr>
          <w:ilvl w:val="0"/>
          <w:numId w:val="2"/>
        </w:numPr>
        <w:jc w:val="both"/>
      </w:pPr>
      <w:r>
        <w:t>.NET Framework 4.6</w:t>
      </w:r>
    </w:p>
    <w:p w:rsidR="007D51C7" w:rsidRDefault="007D51C7" w:rsidP="007D51C7">
      <w:pPr>
        <w:pStyle w:val="Prrafodelista"/>
        <w:ind w:left="2130"/>
        <w:jc w:val="both"/>
      </w:pPr>
    </w:p>
    <w:p w:rsidR="007D51C7" w:rsidRDefault="007D51C7" w:rsidP="007D51C7">
      <w:pPr>
        <w:pStyle w:val="Prrafodelista"/>
        <w:numPr>
          <w:ilvl w:val="1"/>
          <w:numId w:val="1"/>
        </w:numPr>
        <w:jc w:val="both"/>
      </w:pPr>
      <w:r>
        <w:t>Estructura de la solución</w:t>
      </w:r>
      <w:r w:rsidR="003958BA">
        <w:t xml:space="preserve"> (modelo de despliegue)</w:t>
      </w:r>
      <w:r>
        <w:t>:</w:t>
      </w:r>
    </w:p>
    <w:p w:rsidR="007D51C7" w:rsidRDefault="007D51C7" w:rsidP="007D51C7">
      <w:pPr>
        <w:ind w:left="360"/>
        <w:jc w:val="both"/>
      </w:pPr>
      <w:r>
        <w:t>La solución consiste principalmente en un sistema cliente - servidor donde el cliente está representado por una</w:t>
      </w:r>
      <w:r>
        <w:t xml:space="preserve"> </w:t>
      </w:r>
      <w:r>
        <w:t xml:space="preserve">aplicación de consola que sirve de componente de interacción con el </w:t>
      </w:r>
      <w:r w:rsidR="00967212">
        <w:t>usuario y</w:t>
      </w:r>
      <w:r>
        <w:t xml:space="preserve"> un servidor consistente en un Web API</w:t>
      </w:r>
      <w:r w:rsidR="00967212">
        <w:t xml:space="preserve">, </w:t>
      </w:r>
      <w:r>
        <w:t xml:space="preserve">el cual </w:t>
      </w:r>
      <w:r w:rsidR="00967212">
        <w:t xml:space="preserve">es </w:t>
      </w:r>
      <w:r>
        <w:t xml:space="preserve">el encargado de ofrecer las capacidades de negocio de la aplicación, </w:t>
      </w:r>
      <w:r w:rsidR="00967212">
        <w:t>en</w:t>
      </w:r>
      <w:r>
        <w:t xml:space="preserve"> este caso las operaciones</w:t>
      </w:r>
      <w:r w:rsidR="00967212">
        <w:t xml:space="preserve"> aritméticas definidas en el reto y la opción de consulta de operaciones registradas.</w:t>
      </w:r>
    </w:p>
    <w:p w:rsidR="007D51C7" w:rsidRDefault="007D51C7" w:rsidP="00967212">
      <w:pPr>
        <w:pStyle w:val="Prrafodelista"/>
        <w:numPr>
          <w:ilvl w:val="1"/>
          <w:numId w:val="1"/>
        </w:numPr>
        <w:jc w:val="both"/>
      </w:pPr>
      <w:r>
        <w:t>Arquitectura</w:t>
      </w:r>
    </w:p>
    <w:p w:rsidR="007D51C7" w:rsidRDefault="0061191F" w:rsidP="007D51C7">
      <w:pPr>
        <w:ind w:left="360"/>
        <w:jc w:val="both"/>
      </w:pPr>
      <w:r>
        <w:t>A pesar de la simplicidad del sistema solicitado y c</w:t>
      </w:r>
      <w:r w:rsidR="007D51C7">
        <w:t>on el objetivo de mostrar las capacidades de desarrollo de u</w:t>
      </w:r>
      <w:r>
        <w:t>na aplicación altamente estruct</w:t>
      </w:r>
      <w:r w:rsidR="007D51C7">
        <w:t xml:space="preserve">urada y con </w:t>
      </w:r>
      <w:r>
        <w:t>características</w:t>
      </w:r>
      <w:r w:rsidR="007D51C7">
        <w:t xml:space="preserve"> de un sistema de información robusto y dirigido por drivers de </w:t>
      </w:r>
      <w:r>
        <w:t>arquitectura</w:t>
      </w:r>
      <w:r w:rsidR="007D51C7">
        <w:t xml:space="preserve">, </w:t>
      </w:r>
      <w:r w:rsidR="003958BA">
        <w:t>escalable con</w:t>
      </w:r>
      <w:r w:rsidR="007D51C7">
        <w:t xml:space="preserve"> bajo acoplamiento y alta </w:t>
      </w:r>
      <w:proofErr w:type="gramStart"/>
      <w:r w:rsidR="00DE45A3">
        <w:t>cohesión</w:t>
      </w:r>
      <w:proofErr w:type="gramEnd"/>
      <w:r w:rsidR="007D51C7">
        <w:t xml:space="preserve"> por ejemplo, se determinó adoptar DDD (diseño dirigido</w:t>
      </w:r>
      <w:r>
        <w:t xml:space="preserve"> por el dominio) como marco de referencia en la definición de la arquitectura de la aplicación.</w:t>
      </w:r>
    </w:p>
    <w:p w:rsidR="007D51C7" w:rsidRDefault="007D51C7" w:rsidP="007D51C7">
      <w:pPr>
        <w:ind w:left="360"/>
        <w:jc w:val="both"/>
      </w:pPr>
    </w:p>
    <w:p w:rsidR="007D51C7" w:rsidRDefault="0061191F" w:rsidP="007D51C7">
      <w:pPr>
        <w:ind w:left="360"/>
        <w:jc w:val="both"/>
      </w:pPr>
      <w:r>
        <w:lastRenderedPageBreak/>
        <w:t>De acuerdo con lo anterior,</w:t>
      </w:r>
      <w:r w:rsidR="007D51C7">
        <w:t xml:space="preserve"> la solución cuenta con componentes diferenciados en las siguientes capas:</w:t>
      </w:r>
    </w:p>
    <w:p w:rsidR="007D51C7" w:rsidRDefault="004A05E8" w:rsidP="007D51C7">
      <w:pPr>
        <w:ind w:left="360"/>
        <w:jc w:val="both"/>
      </w:pPr>
      <w:r>
        <w:rPr>
          <w:b/>
        </w:rPr>
        <w:t xml:space="preserve">- </w:t>
      </w:r>
      <w:r w:rsidR="007D51C7" w:rsidRPr="0061191F">
        <w:rPr>
          <w:b/>
        </w:rPr>
        <w:t>Capa de Presentación:</w:t>
      </w:r>
      <w:r w:rsidR="007D51C7">
        <w:t xml:space="preserve"> componentes de </w:t>
      </w:r>
      <w:proofErr w:type="spellStart"/>
      <w:r w:rsidR="007D51C7">
        <w:t>front</w:t>
      </w:r>
      <w:proofErr w:type="spellEnd"/>
      <w:r w:rsidR="007D51C7">
        <w:t xml:space="preserve"> - </w:t>
      </w:r>
      <w:proofErr w:type="spellStart"/>
      <w:r w:rsidR="007D51C7">
        <w:t>end</w:t>
      </w:r>
      <w:proofErr w:type="spellEnd"/>
      <w:r w:rsidR="007D51C7">
        <w:t xml:space="preserve">, en este caso representado por la </w:t>
      </w:r>
      <w:r w:rsidR="0061191F">
        <w:t>aplicación</w:t>
      </w:r>
      <w:r w:rsidR="007D51C7">
        <w:t xml:space="preserve"> de consola.</w:t>
      </w:r>
    </w:p>
    <w:p w:rsidR="007D51C7" w:rsidRDefault="007D51C7" w:rsidP="007D51C7">
      <w:pPr>
        <w:ind w:left="360"/>
        <w:jc w:val="both"/>
      </w:pPr>
      <w:r w:rsidRPr="0061191F">
        <w:rPr>
          <w:b/>
        </w:rPr>
        <w:t>- Capa de aplicación:</w:t>
      </w:r>
      <w:r>
        <w:t xml:space="preserve">   componentes livianos </w:t>
      </w:r>
      <w:r w:rsidR="007F1DD1">
        <w:t xml:space="preserve">(sin lógica de negocio) </w:t>
      </w:r>
      <w:r>
        <w:t xml:space="preserve">que se encargan de </w:t>
      </w:r>
      <w:r w:rsidR="0088076F">
        <w:t xml:space="preserve">poner a disposición </w:t>
      </w:r>
      <w:r>
        <w:t>las capacidades de negocio ofrecidas</w:t>
      </w:r>
      <w:r w:rsidR="0088076F">
        <w:t xml:space="preserve"> </w:t>
      </w:r>
      <w:r w:rsidR="007F1DD1">
        <w:t>por el sistema (</w:t>
      </w:r>
      <w:r>
        <w:t>componente de negocio</w:t>
      </w:r>
      <w:r w:rsidR="007F1DD1">
        <w:t>)</w:t>
      </w:r>
      <w:r>
        <w:t>. En este caso el componente consiste en un web API que</w:t>
      </w:r>
      <w:r w:rsidR="0088076F">
        <w:t xml:space="preserve"> </w:t>
      </w:r>
      <w:r>
        <w:t xml:space="preserve">expone </w:t>
      </w:r>
      <w:r w:rsidR="0088076F">
        <w:t>a través de sus</w:t>
      </w:r>
      <w:r>
        <w:t xml:space="preserve"> </w:t>
      </w:r>
      <w:proofErr w:type="spellStart"/>
      <w:r>
        <w:t>endpoint</w:t>
      </w:r>
      <w:r w:rsidR="0088076F">
        <w:t>s</w:t>
      </w:r>
      <w:proofErr w:type="spellEnd"/>
      <w:r w:rsidR="0088076F">
        <w:t xml:space="preserve"> </w:t>
      </w:r>
      <w:r>
        <w:t xml:space="preserve">las operaciones </w:t>
      </w:r>
      <w:r w:rsidR="0088076F">
        <w:t>matemáticas y de consulta requeridas por el sistema.</w:t>
      </w:r>
    </w:p>
    <w:p w:rsidR="001E42E2" w:rsidRDefault="007D51C7" w:rsidP="007D51C7">
      <w:pPr>
        <w:ind w:left="360"/>
        <w:jc w:val="both"/>
      </w:pPr>
      <w:r w:rsidRPr="0088076F">
        <w:rPr>
          <w:b/>
        </w:rPr>
        <w:t>- Capa de negocio:</w:t>
      </w:r>
      <w:r>
        <w:tab/>
        <w:t>Componentes que repre</w:t>
      </w:r>
      <w:r w:rsidR="0088076F">
        <w:t>sentan el CORE del negocio, estos</w:t>
      </w:r>
      <w:r>
        <w:t xml:space="preserve"> contienen las entidades </w:t>
      </w:r>
      <w:r w:rsidR="0088076F">
        <w:t>y lógica de</w:t>
      </w:r>
      <w:r w:rsidR="007F1DD1">
        <w:t xml:space="preserve"> negocio de la aplicación, o bien llamados Servicios</w:t>
      </w:r>
      <w:r>
        <w:t>.</w:t>
      </w:r>
      <w:r w:rsidR="0088076F">
        <w:t xml:space="preserve"> </w:t>
      </w:r>
      <w:r>
        <w:t>En esta s</w:t>
      </w:r>
      <w:r w:rsidR="0088076F">
        <w:t xml:space="preserve">olución, este componente es un </w:t>
      </w:r>
      <w:proofErr w:type="spellStart"/>
      <w:r w:rsidR="0088076F">
        <w:t>assembly</w:t>
      </w:r>
      <w:proofErr w:type="spellEnd"/>
      <w:r w:rsidR="0088076F">
        <w:t xml:space="preserve"> </w:t>
      </w:r>
      <w:r>
        <w:t xml:space="preserve">que contiene toda la </w:t>
      </w:r>
      <w:r w:rsidR="0091412A">
        <w:t>lógica</w:t>
      </w:r>
      <w:r>
        <w:t xml:space="preserve"> de las operaciones </w:t>
      </w:r>
      <w:r w:rsidR="0091412A">
        <w:t>matemáticas de la calculadora, las restricciones de acuerdo con cada formula alge</w:t>
      </w:r>
      <w:r w:rsidR="001E42E2">
        <w:t xml:space="preserve">braica y validación de datos. </w:t>
      </w:r>
    </w:p>
    <w:p w:rsidR="007D51C7" w:rsidRDefault="001E42E2" w:rsidP="007D51C7">
      <w:pPr>
        <w:ind w:left="360"/>
        <w:jc w:val="both"/>
      </w:pPr>
      <w:r>
        <w:t>Por otro lado,</w:t>
      </w:r>
      <w:r w:rsidR="007D51C7">
        <w:t xml:space="preserve"> en este componente </w:t>
      </w:r>
      <w:r w:rsidR="007D51C7">
        <w:tab/>
      </w:r>
      <w:r>
        <w:t>también</w:t>
      </w:r>
      <w:r w:rsidR="007D51C7">
        <w:t xml:space="preserve"> se </w:t>
      </w:r>
      <w:r>
        <w:t>define</w:t>
      </w:r>
      <w:r w:rsidR="007D51C7">
        <w:t xml:space="preserve"> las interfaces de los repositorios y servicios</w:t>
      </w:r>
      <w:r>
        <w:t xml:space="preserve"> de negocio con que cuenta la aplicación, esto permite implementar la inyección de dependencias e inversión de control. La aplicación de este patrón permite mayor modularidad de la aplicación y facilita la implementación de pruebas unitarias. </w:t>
      </w:r>
    </w:p>
    <w:p w:rsidR="003958BA" w:rsidRDefault="003958BA" w:rsidP="007D51C7">
      <w:pPr>
        <w:ind w:left="360"/>
        <w:jc w:val="both"/>
      </w:pPr>
    </w:p>
    <w:p w:rsidR="001B283E" w:rsidRDefault="001B283E" w:rsidP="001B283E">
      <w:pPr>
        <w:ind w:left="360"/>
        <w:jc w:val="center"/>
      </w:pPr>
      <w:r>
        <w:rPr>
          <w:noProof/>
        </w:rPr>
        <w:drawing>
          <wp:inline distT="0" distB="0" distL="0" distR="0" wp14:anchorId="2DB81595" wp14:editId="5459FD8A">
            <wp:extent cx="4268321" cy="2790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4493" t="34112" r="204" b="24834"/>
                    <a:stretch/>
                  </pic:blipFill>
                  <pic:spPr bwMode="auto">
                    <a:xfrm>
                      <a:off x="0" y="0"/>
                      <a:ext cx="4279209" cy="2797944"/>
                    </a:xfrm>
                    <a:prstGeom prst="rect">
                      <a:avLst/>
                    </a:prstGeom>
                    <a:ln>
                      <a:noFill/>
                    </a:ln>
                    <a:extLst>
                      <a:ext uri="{53640926-AAD7-44D8-BBD7-CCE9431645EC}">
                        <a14:shadowObscured xmlns:a14="http://schemas.microsoft.com/office/drawing/2010/main"/>
                      </a:ext>
                    </a:extLst>
                  </pic:spPr>
                </pic:pic>
              </a:graphicData>
            </a:graphic>
          </wp:inline>
        </w:drawing>
      </w:r>
    </w:p>
    <w:p w:rsidR="003958BA" w:rsidRDefault="003958BA" w:rsidP="001B283E">
      <w:pPr>
        <w:ind w:left="360"/>
        <w:jc w:val="center"/>
      </w:pPr>
    </w:p>
    <w:p w:rsidR="004B6F91" w:rsidRDefault="007D51C7" w:rsidP="007D51C7">
      <w:pPr>
        <w:ind w:left="360"/>
        <w:jc w:val="both"/>
      </w:pPr>
      <w:r w:rsidRPr="001E42E2">
        <w:rPr>
          <w:b/>
        </w:rPr>
        <w:t xml:space="preserve">- Capa de </w:t>
      </w:r>
      <w:r w:rsidR="001E42E2" w:rsidRPr="001E42E2">
        <w:rPr>
          <w:b/>
        </w:rPr>
        <w:t>infraestructura</w:t>
      </w:r>
      <w:r w:rsidRPr="001E42E2">
        <w:rPr>
          <w:b/>
        </w:rPr>
        <w:t xml:space="preserve">: </w:t>
      </w:r>
      <w:r w:rsidRPr="001E42E2">
        <w:rPr>
          <w:b/>
        </w:rPr>
        <w:tab/>
      </w:r>
      <w:r>
        <w:t xml:space="preserve">Esta capa incluye principalmente los componentes </w:t>
      </w:r>
      <w:r w:rsidR="001E42E2">
        <w:t>periféricos</w:t>
      </w:r>
      <w:r w:rsidR="00606044">
        <w:t xml:space="preserve"> de la aplicación</w:t>
      </w:r>
      <w:r w:rsidR="001131AA">
        <w:t>, tal</w:t>
      </w:r>
      <w:r w:rsidR="00606044">
        <w:t xml:space="preserve"> como los encargados de la persistencia de datos </w:t>
      </w:r>
      <w:r>
        <w:t>y aquellos transversales a toda la solución como utilitarios de seguridad</w:t>
      </w:r>
      <w:r w:rsidR="001E42E2">
        <w:t xml:space="preserve"> </w:t>
      </w:r>
      <w:r>
        <w:t>y</w:t>
      </w:r>
      <w:r w:rsidR="001131AA">
        <w:t xml:space="preserve"> generadores de</w:t>
      </w:r>
      <w:r>
        <w:t xml:space="preserve"> log</w:t>
      </w:r>
      <w:bookmarkStart w:id="0" w:name="_GoBack"/>
      <w:bookmarkEnd w:id="0"/>
      <w:r>
        <w:t xml:space="preserve">s </w:t>
      </w:r>
      <w:r w:rsidR="001E42E2">
        <w:t>técnicos</w:t>
      </w:r>
      <w:r>
        <w:t>.</w:t>
      </w:r>
      <w:r w:rsidR="001E42E2">
        <w:t xml:space="preserve"> El acceso a estos se da a través de la implementación de las interfaces definidas en la capa de negocio.</w:t>
      </w:r>
      <w:r w:rsidR="004B6F91">
        <w:t xml:space="preserve"> </w:t>
      </w:r>
      <w:r w:rsidR="004B6F91">
        <w:tab/>
      </w:r>
      <w:r w:rsidR="004B6F91">
        <w:tab/>
      </w:r>
      <w:r w:rsidR="004B6F91">
        <w:tab/>
      </w:r>
      <w:r w:rsidR="004B6F91">
        <w:tab/>
      </w:r>
    </w:p>
    <w:p w:rsidR="00D2435F" w:rsidRDefault="007D51C7" w:rsidP="007D51C7">
      <w:pPr>
        <w:ind w:left="360"/>
        <w:jc w:val="both"/>
      </w:pPr>
      <w:r>
        <w:lastRenderedPageBreak/>
        <w:t xml:space="preserve">En </w:t>
      </w:r>
      <w:r w:rsidR="00606044">
        <w:t>este</w:t>
      </w:r>
      <w:r>
        <w:t xml:space="preserve"> caso, contamos con dos componentes en esta capa, uno llamado </w:t>
      </w:r>
      <w:r w:rsidR="004B6F91">
        <w:t>“</w:t>
      </w:r>
      <w:proofErr w:type="spellStart"/>
      <w:r>
        <w:t>Repository</w:t>
      </w:r>
      <w:proofErr w:type="spellEnd"/>
      <w:r w:rsidR="004B6F91">
        <w:t xml:space="preserve">” </w:t>
      </w:r>
      <w:r w:rsidR="00606044">
        <w:t>que es el encargado de las operaciones de</w:t>
      </w:r>
      <w:r>
        <w:t xml:space="preserve"> acceso a la base de datos y </w:t>
      </w:r>
      <w:r w:rsidR="004B6F91">
        <w:t>otro</w:t>
      </w:r>
      <w:r>
        <w:t xml:space="preserve"> llamado </w:t>
      </w:r>
      <w:r w:rsidR="004B6F91">
        <w:t>“</w:t>
      </w:r>
      <w:r>
        <w:t>CROSS</w:t>
      </w:r>
      <w:r w:rsidR="004B6F91">
        <w:t>”</w:t>
      </w:r>
      <w:r>
        <w:t xml:space="preserve"> que se</w:t>
      </w:r>
      <w:r w:rsidR="004B6F91">
        <w:t xml:space="preserve"> </w:t>
      </w:r>
      <w:r>
        <w:t>encarga de realizar el registro en un log para registro de excepciones.</w:t>
      </w:r>
    </w:p>
    <w:p w:rsidR="008E6183" w:rsidRDefault="008E6183" w:rsidP="007D51C7">
      <w:pPr>
        <w:ind w:left="360"/>
        <w:jc w:val="both"/>
      </w:pPr>
    </w:p>
    <w:p w:rsidR="008E6183" w:rsidRDefault="008E6183" w:rsidP="007D51C7">
      <w:pPr>
        <w:ind w:left="360"/>
        <w:jc w:val="both"/>
      </w:pPr>
      <w:r>
        <w:rPr>
          <w:noProof/>
        </w:rPr>
        <w:drawing>
          <wp:inline distT="0" distB="0" distL="0" distR="0">
            <wp:extent cx="5600700"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jpeg"/>
                    <pic:cNvPicPr/>
                  </pic:nvPicPr>
                  <pic:blipFill>
                    <a:blip r:embed="rId6">
                      <a:extLst>
                        <a:ext uri="{28A0092B-C50C-407E-A947-70E740481C1C}">
                          <a14:useLocalDpi xmlns:a14="http://schemas.microsoft.com/office/drawing/2010/main" val="0"/>
                        </a:ext>
                      </a:extLst>
                    </a:blip>
                    <a:stretch>
                      <a:fillRect/>
                    </a:stretch>
                  </pic:blipFill>
                  <pic:spPr>
                    <a:xfrm>
                      <a:off x="0" y="0"/>
                      <a:ext cx="5600700" cy="2514600"/>
                    </a:xfrm>
                    <a:prstGeom prst="rect">
                      <a:avLst/>
                    </a:prstGeom>
                  </pic:spPr>
                </pic:pic>
              </a:graphicData>
            </a:graphic>
          </wp:inline>
        </w:drawing>
      </w:r>
    </w:p>
    <w:p w:rsidR="008E6183" w:rsidRDefault="008E6183" w:rsidP="007D51C7">
      <w:pPr>
        <w:ind w:left="360"/>
        <w:jc w:val="both"/>
      </w:pPr>
    </w:p>
    <w:p w:rsidR="007D51C7" w:rsidRDefault="00D2435F" w:rsidP="007D51C7">
      <w:pPr>
        <w:pStyle w:val="Prrafodelista"/>
        <w:numPr>
          <w:ilvl w:val="0"/>
          <w:numId w:val="1"/>
        </w:numPr>
        <w:jc w:val="both"/>
      </w:pPr>
      <w:r>
        <w:t>Persistencia de datos</w:t>
      </w:r>
    </w:p>
    <w:p w:rsidR="00D2435F" w:rsidRDefault="00D2435F" w:rsidP="00D2435F">
      <w:pPr>
        <w:pStyle w:val="Prrafodelista"/>
        <w:numPr>
          <w:ilvl w:val="1"/>
          <w:numId w:val="1"/>
        </w:numPr>
        <w:jc w:val="both"/>
      </w:pPr>
      <w:r>
        <w:t>Base de datos</w:t>
      </w:r>
    </w:p>
    <w:p w:rsidR="00D2435F" w:rsidRDefault="00D2435F" w:rsidP="00D2435F">
      <w:pPr>
        <w:pStyle w:val="Prrafodelista"/>
        <w:ind w:left="792"/>
        <w:jc w:val="both"/>
      </w:pPr>
    </w:p>
    <w:p w:rsidR="00D2435F" w:rsidRDefault="00D2435F" w:rsidP="00D2435F">
      <w:pPr>
        <w:pStyle w:val="Prrafodelista"/>
        <w:ind w:left="792"/>
        <w:jc w:val="both"/>
      </w:pPr>
      <w:r>
        <w:t xml:space="preserve">Como repositorio de base de datos se definió el registro </w:t>
      </w:r>
      <w:r w:rsidR="00997354">
        <w:t>en una tabla en SQL Server llamada “</w:t>
      </w:r>
      <w:proofErr w:type="spellStart"/>
      <w:r w:rsidR="00997354">
        <w:t>journal</w:t>
      </w:r>
      <w:proofErr w:type="spellEnd"/>
      <w:r w:rsidR="00997354">
        <w:t xml:space="preserve">”, la cual es creada automáticamente por la aplicación gracias a la implementación de </w:t>
      </w:r>
      <w:proofErr w:type="spellStart"/>
      <w:r w:rsidR="00997354">
        <w:t>Code</w:t>
      </w:r>
      <w:proofErr w:type="spellEnd"/>
      <w:r w:rsidR="00997354">
        <w:t xml:space="preserve"> </w:t>
      </w:r>
      <w:proofErr w:type="spellStart"/>
      <w:r w:rsidR="00997354">
        <w:t>First</w:t>
      </w:r>
      <w:proofErr w:type="spellEnd"/>
      <w:r w:rsidR="00997354">
        <w:t xml:space="preserve"> de </w:t>
      </w:r>
      <w:proofErr w:type="spellStart"/>
      <w:r w:rsidR="00997354">
        <w:t>Entity</w:t>
      </w:r>
      <w:proofErr w:type="spellEnd"/>
      <w:r w:rsidR="00997354">
        <w:t xml:space="preserve"> Framework. En esta estructura se almacena la información de las operaciones realizadas con un identificador de usuario.</w:t>
      </w:r>
    </w:p>
    <w:p w:rsidR="00D2435F" w:rsidRDefault="00D2435F" w:rsidP="00D2435F">
      <w:pPr>
        <w:pStyle w:val="Prrafodelista"/>
        <w:ind w:left="792"/>
        <w:jc w:val="both"/>
      </w:pPr>
    </w:p>
    <w:p w:rsidR="00D2435F" w:rsidRDefault="006556F4" w:rsidP="00D2435F">
      <w:pPr>
        <w:pStyle w:val="Prrafodelista"/>
        <w:numPr>
          <w:ilvl w:val="1"/>
          <w:numId w:val="1"/>
        </w:numPr>
        <w:jc w:val="both"/>
      </w:pPr>
      <w:r>
        <w:t>Log técnico</w:t>
      </w:r>
    </w:p>
    <w:p w:rsidR="006556F4" w:rsidRDefault="006556F4" w:rsidP="006556F4">
      <w:pPr>
        <w:pStyle w:val="Prrafodelista"/>
        <w:ind w:left="792"/>
        <w:jc w:val="both"/>
      </w:pPr>
    </w:p>
    <w:p w:rsidR="006556F4" w:rsidRDefault="006556F4" w:rsidP="006556F4">
      <w:pPr>
        <w:pStyle w:val="Prrafodelista"/>
        <w:ind w:left="792"/>
        <w:jc w:val="both"/>
      </w:pPr>
      <w:r>
        <w:t>Para el registro de información de seguimiento de la aplicación o log técnico, se utilizó la librería log4Net, la cual facilita la generación archivos planos para registrar la información que sea necesaria, en este caso la descripción de las excepciones del sistema y las validaciones de negocio fallidas.</w:t>
      </w:r>
    </w:p>
    <w:p w:rsidR="006556F4" w:rsidRDefault="006556F4" w:rsidP="006556F4">
      <w:pPr>
        <w:pStyle w:val="Prrafodelista"/>
        <w:ind w:left="792"/>
        <w:jc w:val="both"/>
      </w:pPr>
    </w:p>
    <w:p w:rsidR="006556F4" w:rsidRDefault="006556F4" w:rsidP="006556F4">
      <w:pPr>
        <w:pStyle w:val="Prrafodelista"/>
        <w:ind w:left="792"/>
        <w:jc w:val="both"/>
      </w:pPr>
      <w:r>
        <w:t xml:space="preserve">La aplicación está configurada para que almacene el log de manera </w:t>
      </w:r>
      <w:r w:rsidR="001131AA">
        <w:t>diaria</w:t>
      </w:r>
      <w:r>
        <w:t xml:space="preserve"> en la carpeta </w:t>
      </w:r>
      <w:r w:rsidRPr="006556F4">
        <w:t>C:\Windows\Temp\CalculatorService</w:t>
      </w:r>
      <w:r>
        <w:t>.</w:t>
      </w:r>
    </w:p>
    <w:p w:rsidR="00023C14" w:rsidRDefault="00023C14" w:rsidP="00187928">
      <w:pPr>
        <w:pStyle w:val="Prrafodelista"/>
        <w:ind w:left="360"/>
        <w:jc w:val="both"/>
      </w:pPr>
    </w:p>
    <w:sectPr w:rsidR="00023C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0747"/>
    <w:multiLevelType w:val="hybridMultilevel"/>
    <w:tmpl w:val="E170371E"/>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 w15:restartNumberingAfterBreak="0">
    <w:nsid w:val="253519A1"/>
    <w:multiLevelType w:val="multilevel"/>
    <w:tmpl w:val="240A001F"/>
    <w:lvl w:ilvl="0">
      <w:start w:val="1"/>
      <w:numFmt w:val="decimal"/>
      <w:lvlText w:val="%1."/>
      <w:lvlJc w:val="left"/>
      <w:pPr>
        <w:ind w:left="360" w:hanging="360"/>
      </w:pPr>
      <w:rPr>
        <w:rFonts w:hint="default"/>
        <w:color w:val="555555"/>
        <w:sz w:val="25"/>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7524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935DE3"/>
    <w:multiLevelType w:val="hybridMultilevel"/>
    <w:tmpl w:val="52F6259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14"/>
    <w:rsid w:val="00023C14"/>
    <w:rsid w:val="001131AA"/>
    <w:rsid w:val="00187928"/>
    <w:rsid w:val="001B283E"/>
    <w:rsid w:val="001E42E2"/>
    <w:rsid w:val="003958BA"/>
    <w:rsid w:val="004A05E8"/>
    <w:rsid w:val="004B6F91"/>
    <w:rsid w:val="00606044"/>
    <w:rsid w:val="0061191F"/>
    <w:rsid w:val="006556F4"/>
    <w:rsid w:val="007D51C7"/>
    <w:rsid w:val="007F1DD1"/>
    <w:rsid w:val="0088076F"/>
    <w:rsid w:val="008E6183"/>
    <w:rsid w:val="0091412A"/>
    <w:rsid w:val="00967212"/>
    <w:rsid w:val="00997354"/>
    <w:rsid w:val="00D2435F"/>
    <w:rsid w:val="00DE45A3"/>
    <w:rsid w:val="00F7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7ED6"/>
  <w15:chartTrackingRefBased/>
  <w15:docId w15:val="{08B93865-136A-4FD6-B725-81F346D0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650</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Ruiz Echavarria</dc:creator>
  <cp:keywords/>
  <dc:description/>
  <cp:lastModifiedBy>Johan Alexis Ruiz Echavarria</cp:lastModifiedBy>
  <cp:revision>14</cp:revision>
  <dcterms:created xsi:type="dcterms:W3CDTF">2018-07-30T03:11:00Z</dcterms:created>
  <dcterms:modified xsi:type="dcterms:W3CDTF">2018-07-30T04:29:00Z</dcterms:modified>
</cp:coreProperties>
</file>