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b/>
          <w:color w:val="1F3A5F"/>
          <w:sz w:val="48"/>
        </w:rPr>
        <w:t>Heart Disease Risk Prediction</w:t>
      </w:r>
    </w:p>
    <w:p>
      <w:r>
        <w:rPr>
          <w:color w:val="404040"/>
          <w:sz w:val="25"/>
        </w:rPr>
        <w:t>An end-to-end MLOps pipeline: tracking, CI/CD, containers, Kubernetes and monitoring</w:t>
      </w:r>
    </w:p>
    <w:p>
      <w:r>
        <w:rPr>
          <w:i w:val="0"/>
          <w:sz w:val="21"/>
        </w:rPr>
        <w:t>MLOps (AIMLCZG523) - Assignment 01 Report</w:t>
      </w:r>
    </w:p>
    <w:tbl>
      <w:tblPr>
        <w:tblStyle w:val="TableGrid"/>
        <w:tblW w:type="auto" w:w="0"/>
        <w:jc w:val="center"/>
        <w:tblLayout w:type="fixed"/>
        <w:tblLook w:firstColumn="1" w:firstRow="1" w:lastColumn="0" w:lastRow="0" w:noHBand="0" w:noVBand="1" w:val="04A0"/>
      </w:tblPr>
      <w:tblGrid>
        <w:gridCol w:w="4658"/>
        <w:gridCol w:w="4658"/>
      </w:tblGrid>
      <w:tr>
        <w:tc>
          <w:tcPr>
            <w:tcW w:type="dxa" w:w="2160"/>
          </w:tcPr>
          <w:p>
            <w:pPr>
              <w:spacing w:after="0"/>
            </w:pPr>
            <w:r/>
            <w:r>
              <w:rPr>
                <w:sz w:val="19"/>
              </w:rPr>
              <w:t>Student</w:t>
            </w:r>
          </w:p>
        </w:tc>
        <w:tc>
          <w:tcPr>
            <w:tcW w:type="dxa" w:w="7128"/>
          </w:tcPr>
          <w:p>
            <w:pPr>
              <w:spacing w:after="0"/>
            </w:pPr>
            <w:r/>
            <w:r>
              <w:rPr>
                <w:sz w:val="19"/>
              </w:rPr>
              <w:t>Johan Varghese</w:t>
            </w:r>
          </w:p>
        </w:tc>
      </w:tr>
      <w:tr>
        <w:tc>
          <w:tcPr>
            <w:tcW w:type="dxa" w:w="2160"/>
            <w:shd w:val="clear" w:color="auto" w:fill="EEF3F9"/>
          </w:tcPr>
          <w:p>
            <w:pPr>
              <w:spacing w:after="0"/>
            </w:pPr>
            <w:r/>
            <w:r>
              <w:rPr>
                <w:sz w:val="19"/>
              </w:rPr>
              <w:t>Date</w:t>
            </w:r>
          </w:p>
        </w:tc>
        <w:tc>
          <w:tcPr>
            <w:tcW w:type="dxa" w:w="7128"/>
            <w:shd w:val="clear" w:color="auto" w:fill="EEF3F9"/>
          </w:tcPr>
          <w:p>
            <w:pPr>
              <w:spacing w:after="0"/>
            </w:pPr>
            <w:r/>
            <w:r>
              <w:rPr>
                <w:sz w:val="19"/>
              </w:rPr>
              <w:t>18 October 2026</w:t>
            </w:r>
          </w:p>
        </w:tc>
      </w:tr>
      <w:tr>
        <w:tc>
          <w:tcPr>
            <w:tcW w:type="dxa" w:w="2160"/>
          </w:tcPr>
          <w:p>
            <w:pPr>
              <w:spacing w:after="0"/>
            </w:pPr>
            <w:r/>
            <w:r>
              <w:rPr>
                <w:sz w:val="19"/>
              </w:rPr>
              <w:t>Dataset</w:t>
            </w:r>
          </w:p>
        </w:tc>
        <w:tc>
          <w:tcPr>
            <w:tcW w:type="dxa" w:w="7128"/>
          </w:tcPr>
          <w:p>
            <w:pPr>
              <w:spacing w:after="0"/>
            </w:pPr>
            <w:r/>
            <w:r>
              <w:rPr>
                <w:sz w:val="19"/>
              </w:rPr>
              <w:t>UCI Heart Disease (Cleveland), 303 patients, 13 features + binary target</w:t>
            </w:r>
          </w:p>
        </w:tc>
      </w:tr>
      <w:tr>
        <w:tc>
          <w:tcPr>
            <w:tcW w:type="dxa" w:w="2160"/>
            <w:shd w:val="clear" w:color="auto" w:fill="EEF3F9"/>
          </w:tcPr>
          <w:p>
            <w:pPr>
              <w:spacing w:after="0"/>
            </w:pPr>
            <w:r/>
            <w:r>
              <w:rPr>
                <w:sz w:val="19"/>
              </w:rPr>
              <w:t>Code repository</w:t>
            </w:r>
          </w:p>
        </w:tc>
        <w:tc>
          <w:tcPr>
            <w:tcW w:type="dxa" w:w="7128"/>
            <w:shd w:val="clear" w:color="auto" w:fill="EEF3F9"/>
          </w:tcPr>
          <w:p>
            <w:pPr>
              <w:spacing w:after="0"/>
            </w:pPr>
            <w:hyperlink r:id="rId10">
              <w:r>
                <w:rPr>
                  <w:color w:val="0563C1"/>
                  <w:u w:val="single"/>
                </w:rPr>
                <w:t>https://github.com/JohanVar05893/heart-disease-monitor-mlops</w:t>
              </w:r>
            </w:hyperlink>
          </w:p>
        </w:tc>
      </w:tr>
      <w:tr>
        <w:tc>
          <w:tcPr>
            <w:tcW w:type="dxa" w:w="2160"/>
          </w:tcPr>
          <w:p>
            <w:pPr>
              <w:spacing w:after="0"/>
            </w:pPr>
            <w:r/>
            <w:r>
              <w:rPr>
                <w:sz w:val="19"/>
              </w:rPr>
              <w:t>Pipeline video</w:t>
            </w:r>
          </w:p>
        </w:tc>
        <w:tc>
          <w:tcPr>
            <w:tcW w:type="dxa" w:w="7128"/>
          </w:tcPr>
          <w:p>
            <w:pPr>
              <w:spacing w:after="0"/>
            </w:pPr>
            <w:hyperlink r:id="rId11">
              <w:r>
                <w:rPr>
                  <w:color w:val="0563C1"/>
                  <w:u w:val="single"/>
                </w:rPr>
                <w:t>Watch the recorded pipeline walkthrough</w:t>
              </w:r>
            </w:hyperlink>
          </w:p>
        </w:tc>
      </w:tr>
    </w:tbl>
    <w:p>
      <w:pPr>
        <w:spacing w:after="40"/>
      </w:pPr>
    </w:p>
    <w:p>
      <w:pPr>
        <w:pStyle w:val="Heading1"/>
      </w:pPr>
      <w:r>
        <w:t>1. Overview and architecture</w:t>
      </w:r>
    </w:p>
    <w:p>
      <w:r>
        <w:rPr>
          <w:i w:val="0"/>
        </w:rPr>
        <w:t>This project builds a classifier that predicts the presence of heart disease from routine clinical measurements and wraps it in a reproducible MLOps workflow. The model is trained and tracked with MLflow, verified by automated tests and a GitHub Actions pipeline, packaged as a Docker image behind a FastAPI service, deployed on Kubernetes, and observed with Prometheus and Grafana. The emphasis is on the engineering around the model: every stage can be re-run from a clean checkout and is evidenced by the screenshots in this report.</w:t>
      </w:r>
    </w:p>
    <w:p>
      <w:pPr>
        <w:keepNext/>
        <w:spacing w:after="40"/>
        <w:jc w:val="center"/>
      </w:pPr>
      <w:r>
        <w:drawing>
          <wp:inline xmlns:a="http://schemas.openxmlformats.org/drawingml/2006/main" xmlns:pic="http://schemas.openxmlformats.org/drawingml/2006/picture">
            <wp:extent cx="4572000" cy="2413927"/>
            <wp:docPr id="1" name="Picture 1"/>
            <wp:cNvGraphicFramePr>
              <a:graphicFrameLocks noChangeAspect="1"/>
            </wp:cNvGraphicFramePr>
            <a:graphic>
              <a:graphicData uri="http://schemas.openxmlformats.org/drawingml/2006/picture">
                <pic:pic>
                  <pic:nvPicPr>
                    <pic:cNvPr id="0" name="docs_architecture.png"/>
                    <pic:cNvPicPr/>
                  </pic:nvPicPr>
                  <pic:blipFill>
                    <a:blip r:embed="rId12"/>
                    <a:stretch>
                      <a:fillRect/>
                    </a:stretch>
                  </pic:blipFill>
                  <pic:spPr>
                    <a:xfrm>
                      <a:off x="0" y="0"/>
                      <a:ext cx="4572000" cy="2413927"/>
                    </a:xfrm>
                    <a:prstGeom prst="rect"/>
                  </pic:spPr>
                </pic:pic>
              </a:graphicData>
            </a:graphic>
          </wp:inline>
        </w:drawing>
      </w:r>
    </w:p>
    <w:p>
      <w:pPr>
        <w:spacing w:after="160"/>
        <w:jc w:val="center"/>
      </w:pPr>
      <w:r>
        <w:rPr>
          <w:i/>
          <w:color w:val="404040"/>
          <w:sz w:val="18"/>
        </w:rPr>
        <w:t>Figure 1. System architecture, from data to monitored deployment.</w:t>
      </w:r>
    </w:p>
    <w:p>
      <w:pPr>
        <w:pStyle w:val="ListBullet"/>
        <w:spacing w:after="40"/>
      </w:pPr>
      <w:r>
        <w:rPr>
          <w:b/>
        </w:rPr>
        <w:t xml:space="preserve">Data and training: </w:t>
      </w:r>
      <w:r>
        <w:t>src/data.py, src/features.py, src/train.py; runs logged to MLflow.</w:t>
      </w:r>
    </w:p>
    <w:p>
      <w:pPr>
        <w:pStyle w:val="ListBullet"/>
        <w:spacing w:after="40"/>
      </w:pPr>
      <w:r>
        <w:rPr>
          <w:b/>
        </w:rPr>
        <w:t xml:space="preserve">Serving: </w:t>
      </w:r>
      <w:r>
        <w:t>app/main.py (FastAPI): /predict, /health, /metrics; packaged by the Dockerfile.</w:t>
      </w:r>
    </w:p>
    <w:p>
      <w:pPr>
        <w:pStyle w:val="ListBullet"/>
        <w:spacing w:after="40"/>
      </w:pPr>
      <w:r>
        <w:rPr>
          <w:b/>
        </w:rPr>
        <w:t xml:space="preserve">Automation: </w:t>
      </w:r>
      <w:r>
        <w:t>GitHub Actions: lint, tests, EDA, training, inference check, Docker smoke test.</w:t>
      </w:r>
    </w:p>
    <w:p>
      <w:pPr>
        <w:pStyle w:val="ListBullet"/>
        <w:spacing w:after="40"/>
      </w:pPr>
      <w:r>
        <w:rPr>
          <w:b/>
        </w:rPr>
        <w:t xml:space="preserve">Deployment: </w:t>
      </w:r>
      <w:r>
        <w:t>Kubernetes Deployment (2 replicas) + LoadBalancer Service; Compose for monitoring.</w:t>
      </w:r>
    </w:p>
    <w:p>
      <w:pPr>
        <w:pStyle w:val="ListBullet"/>
        <w:spacing w:after="40"/>
      </w:pPr>
      <w:r>
        <w:rPr>
          <w:b/>
        </w:rPr>
        <w:t xml:space="preserve">Observability: </w:t>
      </w:r>
      <w:r>
        <w:t>request logging, Prometheus metrics and a provisioned Grafana dashboard.</w:t>
      </w:r>
    </w:p>
    <w:p>
      <w:r>
        <w:br w:type="page"/>
      </w:r>
    </w:p>
    <w:p>
      <w:pPr>
        <w:pStyle w:val="Heading1"/>
      </w:pPr>
      <w:r>
        <w:t>2. Setup and installation</w:t>
      </w:r>
    </w:p>
    <w:p>
      <w:r>
        <w:rPr>
          <w:i w:val="0"/>
        </w:rPr>
        <w:t>Prerequisites: Python 3.11, Git, Docker, and kubectl with a local cluster (Docker Desktop Kubernetes, Minikube or kind). The deployment in this report was run in a GitHub Codespace using kind.</w:t>
      </w:r>
    </w:p>
    <w:p>
      <w:pPr>
        <w:spacing w:after="0"/>
        <w:ind w:left="144"/>
        <w:shd w:val="clear" w:color="auto" w:fill="F2F2F2"/>
      </w:pPr>
      <w:r>
        <w:rPr>
          <w:rFonts w:ascii="Consolas" w:hAnsi="Consolas" w:eastAsia="Consolas"/>
          <w:sz w:val="17"/>
        </w:rPr>
        <w:t>git clone https://github.com/JohanVar05893/heart-disease-monitor-mlops.git</w:t>
      </w:r>
    </w:p>
    <w:p>
      <w:pPr>
        <w:spacing w:after="0"/>
        <w:ind w:left="144"/>
        <w:shd w:val="clear" w:color="auto" w:fill="F2F2F2"/>
      </w:pPr>
      <w:r>
        <w:rPr>
          <w:rFonts w:ascii="Consolas" w:hAnsi="Consolas" w:eastAsia="Consolas"/>
          <w:sz w:val="17"/>
        </w:rPr>
        <w:t>cd heart-disease-monitor-mlops</w:t>
      </w:r>
    </w:p>
    <w:p>
      <w:pPr>
        <w:spacing w:after="0"/>
        <w:ind w:left="144"/>
        <w:shd w:val="clear" w:color="auto" w:fill="F2F2F2"/>
      </w:pPr>
      <w:r>
        <w:rPr>
          <w:rFonts w:ascii="Consolas" w:hAnsi="Consolas" w:eastAsia="Consolas"/>
          <w:sz w:val="17"/>
        </w:rPr>
        <w:t>python3.11 -m venv .venv &amp;&amp; source .venv/bin/activate</w:t>
      </w:r>
    </w:p>
    <w:p>
      <w:pPr>
        <w:spacing w:after="0"/>
        <w:ind w:left="144"/>
        <w:shd w:val="clear" w:color="auto" w:fill="F2F2F2"/>
      </w:pPr>
      <w:r>
        <w:rPr>
          <w:rFonts w:ascii="Consolas" w:hAnsi="Consolas" w:eastAsia="Consolas"/>
          <w:sz w:val="17"/>
        </w:rPr>
        <w:t>pip install -r requirements.txt</w:t>
      </w:r>
    </w:p>
    <w:p>
      <w:pPr>
        <w:spacing w:after="40"/>
      </w:pPr>
    </w:p>
    <w:tbl>
      <w:tblPr>
        <w:tblStyle w:val="TableGrid"/>
        <w:tblW w:type="auto" w:w="0"/>
        <w:jc w:val="center"/>
        <w:tblLayout w:type="fixed"/>
        <w:tblLook w:firstColumn="1" w:firstRow="1" w:lastColumn="0" w:lastRow="0" w:noHBand="0" w:noVBand="1" w:val="04A0"/>
      </w:tblPr>
      <w:tblGrid>
        <w:gridCol w:w="3106"/>
        <w:gridCol w:w="3106"/>
        <w:gridCol w:w="3106"/>
      </w:tblGrid>
      <w:tr>
        <w:tc>
          <w:tcPr>
            <w:tcW w:type="dxa" w:w="1584"/>
            <w:shd w:val="clear" w:color="auto" w:fill="1F3A5F"/>
          </w:tcPr>
          <w:p>
            <w:r/>
            <w:r>
              <w:rPr>
                <w:b/>
                <w:color w:val="FFFFFF"/>
                <w:sz w:val="18"/>
              </w:rPr>
              <w:t>Stage</w:t>
            </w:r>
          </w:p>
        </w:tc>
        <w:tc>
          <w:tcPr>
            <w:tcW w:type="dxa" w:w="4680"/>
            <w:shd w:val="clear" w:color="auto" w:fill="1F3A5F"/>
          </w:tcPr>
          <w:p>
            <w:r/>
            <w:r>
              <w:rPr>
                <w:b/>
                <w:color w:val="FFFFFF"/>
                <w:sz w:val="18"/>
              </w:rPr>
              <w:t>Command</w:t>
            </w:r>
          </w:p>
        </w:tc>
        <w:tc>
          <w:tcPr>
            <w:tcW w:type="dxa" w:w="3024"/>
            <w:shd w:val="clear" w:color="auto" w:fill="1F3A5F"/>
          </w:tcPr>
          <w:p>
            <w:r/>
            <w:r>
              <w:rPr>
                <w:b/>
                <w:color w:val="FFFFFF"/>
                <w:sz w:val="18"/>
              </w:rPr>
              <w:t>Result</w:t>
            </w:r>
          </w:p>
        </w:tc>
      </w:tr>
      <w:tr>
        <w:tc>
          <w:tcPr>
            <w:tcW w:type="dxa" w:w="1584"/>
          </w:tcPr>
          <w:p>
            <w:pPr>
              <w:spacing w:after="0"/>
            </w:pPr>
            <w:r/>
            <w:r>
              <w:rPr>
                <w:sz w:val="18"/>
              </w:rPr>
              <w:t>Data</w:t>
            </w:r>
          </w:p>
        </w:tc>
        <w:tc>
          <w:tcPr>
            <w:tcW w:type="dxa" w:w="4680"/>
          </w:tcPr>
          <w:p>
            <w:pPr>
              <w:spacing w:after="0"/>
            </w:pPr>
            <w:r/>
            <w:r>
              <w:rPr>
                <w:sz w:val="18"/>
              </w:rPr>
              <w:t>python -m src.data</w:t>
            </w:r>
          </w:p>
        </w:tc>
        <w:tc>
          <w:tcPr>
            <w:tcW w:type="dxa" w:w="3024"/>
          </w:tcPr>
          <w:p>
            <w:pPr>
              <w:spacing w:after="0"/>
            </w:pPr>
            <w:r/>
            <w:r>
              <w:rPr>
                <w:sz w:val="18"/>
              </w:rPr>
              <w:t>Downloads the UCI file and writes data/heart_clean.csv</w:t>
            </w:r>
          </w:p>
        </w:tc>
      </w:tr>
      <w:tr>
        <w:tc>
          <w:tcPr>
            <w:tcW w:type="dxa" w:w="1584"/>
            <w:shd w:val="clear" w:color="auto" w:fill="EEF3F9"/>
          </w:tcPr>
          <w:p>
            <w:pPr>
              <w:spacing w:after="0"/>
            </w:pPr>
            <w:r/>
            <w:r>
              <w:rPr>
                <w:sz w:val="18"/>
              </w:rPr>
              <w:t>EDA</w:t>
            </w:r>
          </w:p>
        </w:tc>
        <w:tc>
          <w:tcPr>
            <w:tcW w:type="dxa" w:w="4680"/>
            <w:shd w:val="clear" w:color="auto" w:fill="EEF3F9"/>
          </w:tcPr>
          <w:p>
            <w:pPr>
              <w:spacing w:after="0"/>
            </w:pPr>
            <w:r/>
            <w:r>
              <w:rPr>
                <w:sz w:val="18"/>
              </w:rPr>
              <w:t>python -m src.eda</w:t>
            </w:r>
          </w:p>
        </w:tc>
        <w:tc>
          <w:tcPr>
            <w:tcW w:type="dxa" w:w="3024"/>
            <w:shd w:val="clear" w:color="auto" w:fill="EEF3F9"/>
          </w:tcPr>
          <w:p>
            <w:pPr>
              <w:spacing w:after="0"/>
            </w:pPr>
            <w:r/>
            <w:r>
              <w:rPr>
                <w:sz w:val="18"/>
              </w:rPr>
              <w:t>Six figures in screenshots/eda/</w:t>
            </w:r>
          </w:p>
        </w:tc>
      </w:tr>
      <w:tr>
        <w:tc>
          <w:tcPr>
            <w:tcW w:type="dxa" w:w="1584"/>
          </w:tcPr>
          <w:p>
            <w:pPr>
              <w:spacing w:after="0"/>
            </w:pPr>
            <w:r/>
            <w:r>
              <w:rPr>
                <w:sz w:val="18"/>
              </w:rPr>
              <w:t>Train + track</w:t>
            </w:r>
          </w:p>
        </w:tc>
        <w:tc>
          <w:tcPr>
            <w:tcW w:type="dxa" w:w="4680"/>
          </w:tcPr>
          <w:p>
            <w:pPr>
              <w:spacing w:after="0"/>
            </w:pPr>
            <w:r/>
            <w:r>
              <w:rPr>
                <w:sz w:val="18"/>
              </w:rPr>
              <w:t>python -m src.train</w:t>
            </w:r>
          </w:p>
        </w:tc>
        <w:tc>
          <w:tcPr>
            <w:tcW w:type="dxa" w:w="3024"/>
          </w:tcPr>
          <w:p>
            <w:pPr>
              <w:spacing w:after="0"/>
            </w:pPr>
            <w:r/>
            <w:r>
              <w:rPr>
                <w:sz w:val="18"/>
              </w:rPr>
              <w:t>Tunes two models, logs to MLflow, saves models/model.joblib</w:t>
            </w:r>
          </w:p>
        </w:tc>
      </w:tr>
      <w:tr>
        <w:tc>
          <w:tcPr>
            <w:tcW w:type="dxa" w:w="1584"/>
            <w:shd w:val="clear" w:color="auto" w:fill="EEF3F9"/>
          </w:tcPr>
          <w:p>
            <w:pPr>
              <w:spacing w:after="0"/>
            </w:pPr>
            <w:r/>
            <w:r>
              <w:rPr>
                <w:sz w:val="18"/>
              </w:rPr>
              <w:t>MLflow UI</w:t>
            </w:r>
          </w:p>
        </w:tc>
        <w:tc>
          <w:tcPr>
            <w:tcW w:type="dxa" w:w="4680"/>
            <w:shd w:val="clear" w:color="auto" w:fill="EEF3F9"/>
          </w:tcPr>
          <w:p>
            <w:pPr>
              <w:spacing w:after="0"/>
            </w:pPr>
            <w:r/>
            <w:r>
              <w:rPr>
                <w:sz w:val="18"/>
              </w:rPr>
              <w:t>mlflow ui --backend-store-uri sqlite:///mlflow.db</w:t>
            </w:r>
          </w:p>
        </w:tc>
        <w:tc>
          <w:tcPr>
            <w:tcW w:type="dxa" w:w="3024"/>
            <w:shd w:val="clear" w:color="auto" w:fill="EEF3F9"/>
          </w:tcPr>
          <w:p>
            <w:pPr>
              <w:spacing w:after="0"/>
            </w:pPr>
            <w:r/>
            <w:r>
              <w:rPr>
                <w:sz w:val="18"/>
              </w:rPr>
              <w:t>Experiment dashboard at http://127.0.0.1:5000</w:t>
            </w:r>
          </w:p>
        </w:tc>
      </w:tr>
      <w:tr>
        <w:tc>
          <w:tcPr>
            <w:tcW w:type="dxa" w:w="1584"/>
          </w:tcPr>
          <w:p>
            <w:pPr>
              <w:spacing w:after="0"/>
            </w:pPr>
            <w:r/>
            <w:r>
              <w:rPr>
                <w:sz w:val="18"/>
              </w:rPr>
              <w:t>Inference</w:t>
            </w:r>
          </w:p>
        </w:tc>
        <w:tc>
          <w:tcPr>
            <w:tcW w:type="dxa" w:w="4680"/>
          </w:tcPr>
          <w:p>
            <w:pPr>
              <w:spacing w:after="0"/>
            </w:pPr>
            <w:r/>
            <w:r>
              <w:rPr>
                <w:sz w:val="18"/>
              </w:rPr>
              <w:t>python -m src.predict --json '{...}'</w:t>
            </w:r>
          </w:p>
        </w:tc>
        <w:tc>
          <w:tcPr>
            <w:tcW w:type="dxa" w:w="3024"/>
          </w:tcPr>
          <w:p>
            <w:pPr>
              <w:spacing w:after="0"/>
            </w:pPr>
            <w:r/>
            <w:r>
              <w:rPr>
                <w:sz w:val="18"/>
              </w:rPr>
              <w:t>Prediction, label and confidence</w:t>
            </w:r>
          </w:p>
        </w:tc>
      </w:tr>
      <w:tr>
        <w:tc>
          <w:tcPr>
            <w:tcW w:type="dxa" w:w="1584"/>
            <w:shd w:val="clear" w:color="auto" w:fill="EEF3F9"/>
          </w:tcPr>
          <w:p>
            <w:pPr>
              <w:spacing w:after="0"/>
            </w:pPr>
            <w:r/>
            <w:r>
              <w:rPr>
                <w:sz w:val="18"/>
              </w:rPr>
              <w:t>Quality</w:t>
            </w:r>
          </w:p>
        </w:tc>
        <w:tc>
          <w:tcPr>
            <w:tcW w:type="dxa" w:w="4680"/>
            <w:shd w:val="clear" w:color="auto" w:fill="EEF3F9"/>
          </w:tcPr>
          <w:p>
            <w:pPr>
              <w:spacing w:after="0"/>
            </w:pPr>
            <w:r/>
            <w:r>
              <w:rPr>
                <w:sz w:val="18"/>
              </w:rPr>
              <w:t>flake8 src app tests docs  |  pytest -v</w:t>
            </w:r>
          </w:p>
        </w:tc>
        <w:tc>
          <w:tcPr>
            <w:tcW w:type="dxa" w:w="3024"/>
            <w:shd w:val="clear" w:color="auto" w:fill="EEF3F9"/>
          </w:tcPr>
          <w:p>
            <w:pPr>
              <w:spacing w:after="0"/>
            </w:pPr>
            <w:r/>
            <w:r>
              <w:rPr>
                <w:sz w:val="18"/>
              </w:rPr>
              <w:t>Lint clean; 13 tests pass</w:t>
            </w:r>
          </w:p>
        </w:tc>
      </w:tr>
      <w:tr>
        <w:tc>
          <w:tcPr>
            <w:tcW w:type="dxa" w:w="1584"/>
          </w:tcPr>
          <w:p>
            <w:pPr>
              <w:spacing w:after="0"/>
            </w:pPr>
            <w:r/>
            <w:r>
              <w:rPr>
                <w:sz w:val="18"/>
              </w:rPr>
              <w:t>Docker</w:t>
            </w:r>
          </w:p>
        </w:tc>
        <w:tc>
          <w:tcPr>
            <w:tcW w:type="dxa" w:w="4680"/>
          </w:tcPr>
          <w:p>
            <w:pPr>
              <w:spacing w:after="0"/>
            </w:pPr>
            <w:r/>
            <w:r>
              <w:rPr>
                <w:sz w:val="18"/>
              </w:rPr>
              <w:t>docker build -t heart-api:1.0 . &amp;&amp; docker run -p 8000:8000 heart-api:1.0</w:t>
            </w:r>
          </w:p>
        </w:tc>
        <w:tc>
          <w:tcPr>
            <w:tcW w:type="dxa" w:w="3024"/>
          </w:tcPr>
          <w:p>
            <w:pPr>
              <w:spacing w:after="0"/>
            </w:pPr>
            <w:r/>
            <w:r>
              <w:rPr>
                <w:sz w:val="18"/>
              </w:rPr>
              <w:t>API on port 8000</w:t>
            </w:r>
          </w:p>
        </w:tc>
      </w:tr>
      <w:tr>
        <w:tc>
          <w:tcPr>
            <w:tcW w:type="dxa" w:w="1584"/>
            <w:shd w:val="clear" w:color="auto" w:fill="EEF3F9"/>
          </w:tcPr>
          <w:p>
            <w:pPr>
              <w:spacing w:after="0"/>
            </w:pPr>
            <w:r/>
            <w:r>
              <w:rPr>
                <w:sz w:val="18"/>
              </w:rPr>
              <w:t>Kubernetes</w:t>
            </w:r>
          </w:p>
        </w:tc>
        <w:tc>
          <w:tcPr>
            <w:tcW w:type="dxa" w:w="4680"/>
            <w:shd w:val="clear" w:color="auto" w:fill="EEF3F9"/>
          </w:tcPr>
          <w:p>
            <w:pPr>
              <w:spacing w:after="0"/>
            </w:pPr>
            <w:r/>
            <w:r>
              <w:rPr>
                <w:sz w:val="18"/>
              </w:rPr>
              <w:t>kubectl apply -f k8s/</w:t>
            </w:r>
          </w:p>
        </w:tc>
        <w:tc>
          <w:tcPr>
            <w:tcW w:type="dxa" w:w="3024"/>
            <w:shd w:val="clear" w:color="auto" w:fill="EEF3F9"/>
          </w:tcPr>
          <w:p>
            <w:pPr>
              <w:spacing w:after="0"/>
            </w:pPr>
            <w:r/>
            <w:r>
              <w:rPr>
                <w:sz w:val="18"/>
              </w:rPr>
              <w:t>2 pods behind a LoadBalancer Service</w:t>
            </w:r>
          </w:p>
        </w:tc>
      </w:tr>
      <w:tr>
        <w:tc>
          <w:tcPr>
            <w:tcW w:type="dxa" w:w="1584"/>
          </w:tcPr>
          <w:p>
            <w:pPr>
              <w:spacing w:after="0"/>
            </w:pPr>
            <w:r/>
            <w:r>
              <w:rPr>
                <w:sz w:val="18"/>
              </w:rPr>
              <w:t>Monitoring</w:t>
            </w:r>
          </w:p>
        </w:tc>
        <w:tc>
          <w:tcPr>
            <w:tcW w:type="dxa" w:w="4680"/>
          </w:tcPr>
          <w:p>
            <w:pPr>
              <w:spacing w:after="0"/>
            </w:pPr>
            <w:r/>
            <w:r>
              <w:rPr>
                <w:sz w:val="18"/>
              </w:rPr>
              <w:t>cd monitoring &amp;&amp; docker compose up --build -d</w:t>
            </w:r>
          </w:p>
        </w:tc>
        <w:tc>
          <w:tcPr>
            <w:tcW w:type="dxa" w:w="3024"/>
          </w:tcPr>
          <w:p>
            <w:pPr>
              <w:spacing w:after="0"/>
            </w:pPr>
            <w:r/>
            <w:r>
              <w:rPr>
                <w:sz w:val="18"/>
              </w:rPr>
              <w:t>API, Prometheus (9090), Grafana (3000)</w:t>
            </w:r>
          </w:p>
        </w:tc>
      </w:tr>
    </w:tbl>
    <w:p>
      <w:pPr>
        <w:spacing w:after="40"/>
      </w:pPr>
    </w:p>
    <w:p>
      <w:r>
        <w:rPr>
          <w:i w:val="0"/>
        </w:rPr>
        <w:t>A Makefile provides shortcuts for these commands, and the README documents each step.</w:t>
      </w:r>
    </w:p>
    <w:p>
      <w:pPr>
        <w:pStyle w:val="Heading1"/>
      </w:pPr>
      <w:r>
        <w:t>3. Data acquisition and exploratory analysis</w:t>
      </w:r>
    </w:p>
    <w:p>
      <w:r>
        <w:rPr>
          <w:i w:val="0"/>
        </w:rPr>
        <w:t>The UCI Heart Disease data (Cleveland subset) is downloaded by src/data.py from the UCI repository. Cleaning converts the '?' marker to a missing value, collapses the original 0-4 diagnosis scale into a binary target (0 = no disease, 1 = disease) and removes duplicate rows. The result has 303 patients: 164 without disease (54%) and 139 with disease (46%). Only ca (4 rows) and thal (2 rows) have missing values.</w:t>
      </w:r>
    </w:p>
    <w:p>
      <w:r>
        <w:rPr>
          <w:i w:val="0"/>
        </w:rPr>
        <w:t>Missing values are kept in the cleaned CSV and imputed inside the model pipeline, so imputation statistics are learned from training folds only and cannot leak information from the test data.</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58"/>
        <w:gridCol w:w="4658"/>
      </w:tblGrid>
      <w:tr>
        <w:tc>
          <w:tcPr>
            <w:tcW w:type="dxa" w:w="4680"/>
          </w:tcPr>
          <w:p>
            <w:pPr>
              <w:keepNext/>
              <w:spacing w:after="20"/>
              <w:jc w:val="center"/>
            </w:pPr>
            <w:r>
              <w:drawing>
                <wp:inline xmlns:a="http://schemas.openxmlformats.org/drawingml/2006/main" xmlns:pic="http://schemas.openxmlformats.org/drawingml/2006/picture">
                  <wp:extent cx="2651760" cy="2121408"/>
                  <wp:docPr id="2" name="Picture 2"/>
                  <wp:cNvGraphicFramePr>
                    <a:graphicFrameLocks noChangeAspect="1"/>
                  </wp:cNvGraphicFramePr>
                  <a:graphic>
                    <a:graphicData uri="http://schemas.openxmlformats.org/drawingml/2006/picture">
                      <pic:pic>
                        <pic:nvPicPr>
                          <pic:cNvPr id="0" name="eda_class_balance.png"/>
                          <pic:cNvPicPr/>
                        </pic:nvPicPr>
                        <pic:blipFill>
                          <a:blip r:embed="rId13"/>
                          <a:stretch>
                            <a:fillRect/>
                          </a:stretch>
                        </pic:blipFill>
                        <pic:spPr>
                          <a:xfrm>
                            <a:off x="0" y="0"/>
                            <a:ext cx="2651760" cy="2121408"/>
                          </a:xfrm>
                          <a:prstGeom prst="rect"/>
                        </pic:spPr>
                      </pic:pic>
                    </a:graphicData>
                  </a:graphic>
                </wp:inline>
              </w:drawing>
            </w:r>
          </w:p>
        </w:tc>
        <w:tc>
          <w:tcPr>
            <w:tcW w:type="dxa" w:w="4680"/>
          </w:tcPr>
          <w:p>
            <w:pPr>
              <w:keepNext/>
              <w:spacing w:after="20"/>
              <w:jc w:val="center"/>
            </w:pPr>
            <w:r>
              <w:drawing>
                <wp:inline xmlns:a="http://schemas.openxmlformats.org/drawingml/2006/main" xmlns:pic="http://schemas.openxmlformats.org/drawingml/2006/picture">
                  <wp:extent cx="2651760" cy="1515291"/>
                  <wp:docPr id="3" name="Picture 3"/>
                  <wp:cNvGraphicFramePr>
                    <a:graphicFrameLocks noChangeAspect="1"/>
                  </wp:cNvGraphicFramePr>
                  <a:graphic>
                    <a:graphicData uri="http://schemas.openxmlformats.org/drawingml/2006/picture">
                      <pic:pic>
                        <pic:nvPicPr>
                          <pic:cNvPr id="0" name="eda_missing_values.png"/>
                          <pic:cNvPicPr/>
                        </pic:nvPicPr>
                        <pic:blipFill>
                          <a:blip r:embed="rId14"/>
                          <a:stretch>
                            <a:fillRect/>
                          </a:stretch>
                        </pic:blipFill>
                        <pic:spPr>
                          <a:xfrm>
                            <a:off x="0" y="0"/>
                            <a:ext cx="2651760" cy="1515291"/>
                          </a:xfrm>
                          <a:prstGeom prst="rect"/>
                        </pic:spPr>
                      </pic:pic>
                    </a:graphicData>
                  </a:graphic>
                </wp:inline>
              </w:drawing>
            </w:r>
          </w:p>
        </w:tc>
      </w:tr>
      <w:tr>
        <w:tc>
          <w:tcPr>
            <w:tcW w:type="dxa" w:w="4680"/>
          </w:tcPr>
          <w:p>
            <w:pPr>
              <w:spacing w:after="80"/>
              <w:jc w:val="center"/>
            </w:pPr>
            <w:r>
              <w:rPr>
                <w:i/>
                <w:color w:val="404040"/>
                <w:sz w:val="17"/>
              </w:rPr>
              <w:t>Figure 2. Class balance: near-balanced, so accuracy is meaningful and no resampling is needed.</w:t>
            </w:r>
          </w:p>
        </w:tc>
        <w:tc>
          <w:tcPr>
            <w:tcW w:type="dxa" w:w="4680"/>
          </w:tcPr>
          <w:p>
            <w:pPr>
              <w:spacing w:after="80"/>
              <w:jc w:val="center"/>
            </w:pPr>
            <w:r>
              <w:rPr>
                <w:i/>
                <w:color w:val="404040"/>
                <w:sz w:val="17"/>
              </w:rPr>
              <w:t>Figure 3. Missing values per column (only ca and thal).</w:t>
            </w:r>
          </w:p>
        </w:tc>
      </w:tr>
    </w:tbl>
    <w:p>
      <w:pPr>
        <w:spacing w:after="40"/>
      </w:pPr>
    </w:p>
    <w:p>
      <w:pPr>
        <w:keepNext/>
        <w:spacing w:after="40"/>
        <w:jc w:val="center"/>
      </w:pPr>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eda_histograms.png"/>
                    <pic:cNvPicPr/>
                  </pic:nvPicPr>
                  <pic:blipFill>
                    <a:blip r:embed="rId15"/>
                    <a:stretch>
                      <a:fillRect/>
                    </a:stretch>
                  </pic:blipFill>
                  <pic:spPr>
                    <a:xfrm>
                      <a:off x="0" y="0"/>
                      <a:ext cx="4572000" cy="2286000"/>
                    </a:xfrm>
                    <a:prstGeom prst="rect"/>
                  </pic:spPr>
                </pic:pic>
              </a:graphicData>
            </a:graphic>
          </wp:inline>
        </w:drawing>
      </w:r>
    </w:p>
    <w:p>
      <w:pPr>
        <w:spacing w:after="160"/>
        <w:jc w:val="center"/>
      </w:pPr>
      <w:r>
        <w:rPr>
          <w:i/>
          <w:color w:val="404040"/>
          <w:sz w:val="18"/>
        </w:rPr>
        <w:t>Figure 4. Distributions of the numeric features split by target.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58"/>
        <w:gridCol w:w="4658"/>
      </w:tblGrid>
      <w:tr>
        <w:tc>
          <w:tcPr>
            <w:tcW w:type="dxa" w:w="4680"/>
          </w:tcPr>
          <w:p>
            <w:pPr>
              <w:keepNext/>
              <w:spacing w:after="20"/>
              <w:jc w:val="center"/>
            </w:pPr>
            <w:r>
              <w:drawing>
                <wp:inline xmlns:a="http://schemas.openxmlformats.org/drawingml/2006/main" xmlns:pic="http://schemas.openxmlformats.org/drawingml/2006/picture">
                  <wp:extent cx="2743200" cy="2194560"/>
                  <wp:docPr id="5" name="Picture 5"/>
                  <wp:cNvGraphicFramePr>
                    <a:graphicFrameLocks noChangeAspect="1"/>
                  </wp:cNvGraphicFramePr>
                  <a:graphic>
                    <a:graphicData uri="http://schemas.openxmlformats.org/drawingml/2006/picture">
                      <pic:pic>
                        <pic:nvPicPr>
                          <pic:cNvPr id="0" name="eda_correlation_heatmap.png"/>
                          <pic:cNvPicPr/>
                        </pic:nvPicPr>
                        <pic:blipFill>
                          <a:blip r:embed="rId16"/>
                          <a:stretch>
                            <a:fillRect/>
                          </a:stretch>
                        </pic:blipFill>
                        <pic:spPr>
                          <a:xfrm>
                            <a:off x="0" y="0"/>
                            <a:ext cx="2743200" cy="2194560"/>
                          </a:xfrm>
                          <a:prstGeom prst="rect"/>
                        </pic:spPr>
                      </pic:pic>
                    </a:graphicData>
                  </a:graphic>
                </wp:inline>
              </w:drawing>
            </w:r>
          </w:p>
        </w:tc>
        <w:tc>
          <w:tcPr>
            <w:tcW w:type="dxa" w:w="4680"/>
          </w:tcPr>
          <w:p>
            <w:pPr>
              <w:keepNext/>
              <w:spacing w:after="20"/>
              <w:jc w:val="center"/>
            </w:pPr>
            <w:r>
              <w:drawing>
                <wp:inline xmlns:a="http://schemas.openxmlformats.org/drawingml/2006/main" xmlns:pic="http://schemas.openxmlformats.org/drawingml/2006/picture">
                  <wp:extent cx="2743200" cy="1198940"/>
                  <wp:docPr id="6" name="Picture 6"/>
                  <wp:cNvGraphicFramePr>
                    <a:graphicFrameLocks noChangeAspect="1"/>
                  </wp:cNvGraphicFramePr>
                  <a:graphic>
                    <a:graphicData uri="http://schemas.openxmlformats.org/drawingml/2006/picture">
                      <pic:pic>
                        <pic:nvPicPr>
                          <pic:cNvPr id="0" name="eda_categorical_vs_target.png"/>
                          <pic:cNvPicPr/>
                        </pic:nvPicPr>
                        <pic:blipFill>
                          <a:blip r:embed="rId17"/>
                          <a:stretch>
                            <a:fillRect/>
                          </a:stretch>
                        </pic:blipFill>
                        <pic:spPr>
                          <a:xfrm>
                            <a:off x="0" y="0"/>
                            <a:ext cx="2743200" cy="1198940"/>
                          </a:xfrm>
                          <a:prstGeom prst="rect"/>
                        </pic:spPr>
                      </pic:pic>
                    </a:graphicData>
                  </a:graphic>
                </wp:inline>
              </w:drawing>
            </w:r>
          </w:p>
        </w:tc>
      </w:tr>
      <w:tr>
        <w:tc>
          <w:tcPr>
            <w:tcW w:type="dxa" w:w="4680"/>
          </w:tcPr>
          <w:p>
            <w:pPr>
              <w:spacing w:after="80"/>
              <w:jc w:val="center"/>
            </w:pPr>
            <w:r>
              <w:rPr>
                <w:i/>
                <w:color w:val="404040"/>
                <w:sz w:val="17"/>
              </w:rPr>
              <w:t>Figure 5. Pearson correlation heatmap including the target.</w:t>
            </w:r>
          </w:p>
        </w:tc>
        <w:tc>
          <w:tcPr>
            <w:tcW w:type="dxa" w:w="4680"/>
          </w:tcPr>
          <w:p>
            <w:pPr>
              <w:spacing w:after="80"/>
              <w:jc w:val="center"/>
            </w:pPr>
            <w:r>
              <w:rPr>
                <w:i/>
                <w:color w:val="404040"/>
                <w:sz w:val="17"/>
              </w:rPr>
              <w:t>Figure 6. Categorical features against the target.</w:t>
            </w:r>
          </w:p>
        </w:tc>
      </w:tr>
    </w:tbl>
    <w:p>
      <w:pPr>
        <w:spacing w:after="40"/>
      </w:pPr>
    </w:p>
    <w:p>
      <w:r>
        <w:br w:type="page"/>
      </w:r>
    </w:p>
    <w:p>
      <w:pPr>
        <w:pStyle w:val="Heading2"/>
      </w:pPr>
      <w:r>
        <w:t>EDA findings</w:t>
      </w:r>
    </w:p>
    <w:p>
      <w:pPr>
        <w:pStyle w:val="ListBullet"/>
        <w:spacing w:after="40"/>
      </w:pPr>
      <w:r>
        <w:t>thal, ca, oldpeak, exang and cp show the strongest positive correlation with disease (0.41 to 0.53).</w:t>
      </w:r>
    </w:p>
    <w:p>
      <w:pPr>
        <w:pStyle w:val="ListBullet"/>
        <w:spacing w:after="40"/>
      </w:pPr>
      <w:r>
        <w:t>thalach (maximum heart rate) is the strongest negative correlation with disease (-0.42).</w:t>
      </w:r>
    </w:p>
    <w:p>
      <w:pPr>
        <w:pStyle w:val="ListBullet"/>
        <w:spacing w:after="40"/>
      </w:pPr>
      <w:r>
        <w:t>Predictors are only moderately correlated with each other (largest pair: oldpeak/slope at 0.58), so multicollinearity is not a serious concern for Logistic Regression.</w:t>
      </w:r>
    </w:p>
    <w:p>
      <w:pPr>
        <w:pStyle w:val="ListBullet"/>
        <w:spacing w:after="40"/>
      </w:pPr>
      <w:r>
        <w:t>Numeric features sit on very different scales, so standardisation is part of the pipeline.</w:t>
      </w:r>
    </w:p>
    <w:p>
      <w:pPr>
        <w:pStyle w:val="Heading1"/>
      </w:pPr>
      <w:r>
        <w:t>4. Feature engineering and model development</w:t>
      </w:r>
    </w:p>
    <w:p>
      <w:r>
        <w:rPr>
          <w:b/>
        </w:rPr>
        <w:t xml:space="preserve">Preprocessing. </w:t>
      </w:r>
      <w:r>
        <w:rPr>
          <w:i w:val="0"/>
        </w:rPr>
        <w:t>Numeric columns (age, trestbps, chol, thalach, oldpeak) receive median imputation and standardisation. Categorical columns (sex, cp, fbs, restecg, exang, slope, ca, thal) receive most-frequent imputation and one-hot encoding with unknown categories ignored. Preprocessing and classifier form one scikit-learn Pipeline, which is the object that is tuned, saved and served, so training-time and serving-time transformations are identical.</w:t>
      </w:r>
    </w:p>
    <w:p>
      <w:r>
        <w:rPr>
          <w:b/>
        </w:rPr>
        <w:t xml:space="preserve">Training and tuning. </w:t>
      </w:r>
      <w:r>
        <w:rPr>
          <w:i w:val="0"/>
        </w:rPr>
        <w:t>The data is split 80/20 with stratification (seed 42). On the training portion each model is tuned with GridSearchCV using 5-fold stratified cross-validation and ROC-AUC as the selection metric. The hold-out set is used only for reporting.</w:t>
      </w:r>
    </w:p>
    <w:tbl>
      <w:tblPr>
        <w:tblStyle w:val="TableGrid"/>
        <w:tblW w:type="auto" w:w="0"/>
        <w:jc w:val="center"/>
        <w:tblLayout w:type="fixed"/>
        <w:tblLook w:firstColumn="1" w:firstRow="1" w:lastColumn="0" w:lastRow="0" w:noHBand="0" w:noVBand="1" w:val="04A0"/>
      </w:tblPr>
      <w:tblGrid>
        <w:gridCol w:w="4658"/>
        <w:gridCol w:w="4658"/>
      </w:tblGrid>
      <w:tr>
        <w:tc>
          <w:tcPr>
            <w:tcW w:type="dxa" w:w="2592"/>
            <w:shd w:val="clear" w:color="auto" w:fill="1F3A5F"/>
          </w:tcPr>
          <w:p>
            <w:r/>
            <w:r>
              <w:rPr>
                <w:b/>
                <w:color w:val="FFFFFF"/>
                <w:sz w:val="19"/>
              </w:rPr>
              <w:t>Model</w:t>
            </w:r>
          </w:p>
        </w:tc>
        <w:tc>
          <w:tcPr>
            <w:tcW w:type="dxa" w:w="6696"/>
            <w:shd w:val="clear" w:color="auto" w:fill="1F3A5F"/>
          </w:tcPr>
          <w:p>
            <w:r/>
            <w:r>
              <w:rPr>
                <w:b/>
                <w:color w:val="FFFFFF"/>
                <w:sz w:val="19"/>
              </w:rPr>
              <w:t>Hyperparameter grid</w:t>
            </w:r>
          </w:p>
        </w:tc>
      </w:tr>
      <w:tr>
        <w:tc>
          <w:tcPr>
            <w:tcW w:type="dxa" w:w="2592"/>
          </w:tcPr>
          <w:p>
            <w:pPr>
              <w:spacing w:after="0"/>
            </w:pPr>
            <w:r/>
            <w:r>
              <w:rPr>
                <w:sz w:val="19"/>
              </w:rPr>
              <w:t>Logistic Regression</w:t>
            </w:r>
          </w:p>
        </w:tc>
        <w:tc>
          <w:tcPr>
            <w:tcW w:type="dxa" w:w="6696"/>
          </w:tcPr>
          <w:p>
            <w:pPr>
              <w:spacing w:after="0"/>
            </w:pPr>
            <w:r/>
            <w:r>
              <w:rPr>
                <w:sz w:val="19"/>
              </w:rPr>
              <w:t>C in {0.01, 0.1, 1, 10}</w:t>
            </w:r>
          </w:p>
        </w:tc>
      </w:tr>
      <w:tr>
        <w:tc>
          <w:tcPr>
            <w:tcW w:type="dxa" w:w="2592"/>
            <w:shd w:val="clear" w:color="auto" w:fill="EEF3F9"/>
          </w:tcPr>
          <w:p>
            <w:pPr>
              <w:spacing w:after="0"/>
            </w:pPr>
            <w:r/>
            <w:r>
              <w:rPr>
                <w:sz w:val="19"/>
              </w:rPr>
              <w:t>Random Forest</w:t>
            </w:r>
          </w:p>
        </w:tc>
        <w:tc>
          <w:tcPr>
            <w:tcW w:type="dxa" w:w="6696"/>
            <w:shd w:val="clear" w:color="auto" w:fill="EEF3F9"/>
          </w:tcPr>
          <w:p>
            <w:pPr>
              <w:spacing w:after="0"/>
            </w:pPr>
            <w:r/>
            <w:r>
              <w:rPr>
                <w:sz w:val="19"/>
              </w:rPr>
              <w:t>n_estimators in {100, 300}, max_depth in {3, 5, None}, min_samples_leaf in {1, 3}</w:t>
            </w:r>
          </w:p>
        </w:tc>
      </w:tr>
    </w:tbl>
    <w:p>
      <w:pPr>
        <w:spacing w:after="40"/>
      </w:pPr>
    </w:p>
    <w:tbl>
      <w:tblPr>
        <w:tblStyle w:val="TableGrid"/>
        <w:tblW w:type="auto" w:w="0"/>
        <w:jc w:val="center"/>
        <w:tblLayout w:type="fixed"/>
        <w:tblLook w:firstColumn="1" w:firstRow="1" w:lastColumn="0" w:lastRow="0" w:noHBand="0" w:noVBand="1" w:val="04A0"/>
      </w:tblPr>
      <w:tblGrid>
        <w:gridCol w:w="932"/>
        <w:gridCol w:w="932"/>
        <w:gridCol w:w="932"/>
        <w:gridCol w:w="932"/>
        <w:gridCol w:w="932"/>
        <w:gridCol w:w="932"/>
        <w:gridCol w:w="932"/>
        <w:gridCol w:w="932"/>
        <w:gridCol w:w="932"/>
        <w:gridCol w:w="932"/>
      </w:tblGrid>
      <w:tr>
        <w:tc>
          <w:tcPr>
            <w:tcW w:type="dxa" w:w="1512"/>
            <w:shd w:val="clear" w:color="auto" w:fill="1F3A5F"/>
          </w:tcPr>
          <w:p>
            <w:r/>
            <w:r>
              <w:rPr>
                <w:b/>
                <w:color w:val="FFFFFF"/>
                <w:sz w:val="16"/>
              </w:rPr>
              <w:t>Model</w:t>
            </w:r>
          </w:p>
        </w:tc>
        <w:tc>
          <w:tcPr>
            <w:tcW w:type="dxa" w:w="1440"/>
            <w:shd w:val="clear" w:color="auto" w:fill="1F3A5F"/>
          </w:tcPr>
          <w:p>
            <w:r/>
            <w:r>
              <w:rPr>
                <w:b/>
                <w:color w:val="FFFFFF"/>
                <w:sz w:val="16"/>
              </w:rPr>
              <w:t>Best params</w:t>
            </w:r>
          </w:p>
        </w:tc>
        <w:tc>
          <w:tcPr>
            <w:tcW w:type="dxa" w:w="648"/>
            <w:shd w:val="clear" w:color="auto" w:fill="1F3A5F"/>
          </w:tcPr>
          <w:p>
            <w:r/>
            <w:r>
              <w:rPr>
                <w:b/>
                <w:color w:val="FFFFFF"/>
                <w:sz w:val="16"/>
              </w:rPr>
              <w:t>CV acc</w:t>
            </w:r>
          </w:p>
        </w:tc>
        <w:tc>
          <w:tcPr>
            <w:tcW w:type="dxa" w:w="720"/>
            <w:shd w:val="clear" w:color="auto" w:fill="1F3A5F"/>
          </w:tcPr>
          <w:p>
            <w:r/>
            <w:r>
              <w:rPr>
                <w:b/>
                <w:color w:val="FFFFFF"/>
                <w:sz w:val="16"/>
              </w:rPr>
              <w:t>CV prec</w:t>
            </w:r>
          </w:p>
        </w:tc>
        <w:tc>
          <w:tcPr>
            <w:tcW w:type="dxa" w:w="749"/>
            <w:shd w:val="clear" w:color="auto" w:fill="1F3A5F"/>
          </w:tcPr>
          <w:p>
            <w:r/>
            <w:r>
              <w:rPr>
                <w:b/>
                <w:color w:val="FFFFFF"/>
                <w:sz w:val="16"/>
              </w:rPr>
              <w:t>CV recall</w:t>
            </w:r>
          </w:p>
        </w:tc>
        <w:tc>
          <w:tcPr>
            <w:tcW w:type="dxa" w:w="720"/>
            <w:shd w:val="clear" w:color="auto" w:fill="1F3A5F"/>
          </w:tcPr>
          <w:p>
            <w:r/>
            <w:r>
              <w:rPr>
                <w:b/>
                <w:color w:val="FFFFFF"/>
                <w:sz w:val="16"/>
              </w:rPr>
              <w:t>CV AUC</w:t>
            </w:r>
          </w:p>
        </w:tc>
        <w:tc>
          <w:tcPr>
            <w:tcW w:type="dxa" w:w="720"/>
            <w:shd w:val="clear" w:color="auto" w:fill="1F3A5F"/>
          </w:tcPr>
          <w:p>
            <w:r/>
            <w:r>
              <w:rPr>
                <w:b/>
                <w:color w:val="FFFFFF"/>
                <w:sz w:val="16"/>
              </w:rPr>
              <w:t>Test acc</w:t>
            </w:r>
          </w:p>
        </w:tc>
        <w:tc>
          <w:tcPr>
            <w:tcW w:type="dxa" w:w="720"/>
            <w:shd w:val="clear" w:color="auto" w:fill="1F3A5F"/>
          </w:tcPr>
          <w:p>
            <w:r/>
            <w:r>
              <w:rPr>
                <w:b/>
                <w:color w:val="FFFFFF"/>
                <w:sz w:val="16"/>
              </w:rPr>
              <w:t>Test prec</w:t>
            </w:r>
          </w:p>
        </w:tc>
        <w:tc>
          <w:tcPr>
            <w:tcW w:type="dxa" w:w="792"/>
            <w:shd w:val="clear" w:color="auto" w:fill="1F3A5F"/>
          </w:tcPr>
          <w:p>
            <w:r/>
            <w:r>
              <w:rPr>
                <w:b/>
                <w:color w:val="FFFFFF"/>
                <w:sz w:val="16"/>
              </w:rPr>
              <w:t>Test recall</w:t>
            </w:r>
          </w:p>
        </w:tc>
        <w:tc>
          <w:tcPr>
            <w:tcW w:type="dxa" w:w="720"/>
            <w:shd w:val="clear" w:color="auto" w:fill="1F3A5F"/>
          </w:tcPr>
          <w:p>
            <w:r/>
            <w:r>
              <w:rPr>
                <w:b/>
                <w:color w:val="FFFFFF"/>
                <w:sz w:val="16"/>
              </w:rPr>
              <w:t>Test AUC</w:t>
            </w:r>
          </w:p>
        </w:tc>
      </w:tr>
      <w:tr>
        <w:tc>
          <w:tcPr>
            <w:tcW w:type="dxa" w:w="1512"/>
          </w:tcPr>
          <w:p>
            <w:pPr>
              <w:spacing w:after="0"/>
            </w:pPr>
            <w:r/>
            <w:r>
              <w:rPr>
                <w:sz w:val="16"/>
              </w:rPr>
              <w:t>Logistic Regression</w:t>
            </w:r>
          </w:p>
        </w:tc>
        <w:tc>
          <w:tcPr>
            <w:tcW w:type="dxa" w:w="1440"/>
          </w:tcPr>
          <w:p>
            <w:pPr>
              <w:spacing w:after="0"/>
            </w:pPr>
            <w:r/>
            <w:r>
              <w:rPr>
                <w:sz w:val="16"/>
              </w:rPr>
              <w:t>C = 1</w:t>
            </w:r>
          </w:p>
        </w:tc>
        <w:tc>
          <w:tcPr>
            <w:tcW w:type="dxa" w:w="648"/>
          </w:tcPr>
          <w:p>
            <w:pPr>
              <w:spacing w:after="0"/>
            </w:pPr>
            <w:r/>
            <w:r>
              <w:rPr>
                <w:sz w:val="16"/>
              </w:rPr>
              <w:t>0.847</w:t>
            </w:r>
          </w:p>
        </w:tc>
        <w:tc>
          <w:tcPr>
            <w:tcW w:type="dxa" w:w="720"/>
          </w:tcPr>
          <w:p>
            <w:pPr>
              <w:spacing w:after="0"/>
            </w:pPr>
            <w:r/>
            <w:r>
              <w:rPr>
                <w:sz w:val="16"/>
              </w:rPr>
              <w:t>0.877</w:t>
            </w:r>
          </w:p>
        </w:tc>
        <w:tc>
          <w:tcPr>
            <w:tcW w:type="dxa" w:w="749"/>
          </w:tcPr>
          <w:p>
            <w:pPr>
              <w:spacing w:after="0"/>
            </w:pPr>
            <w:r/>
            <w:r>
              <w:rPr>
                <w:sz w:val="16"/>
              </w:rPr>
              <w:t>0.783</w:t>
            </w:r>
          </w:p>
        </w:tc>
        <w:tc>
          <w:tcPr>
            <w:tcW w:type="dxa" w:w="720"/>
          </w:tcPr>
          <w:p>
            <w:pPr>
              <w:spacing w:after="0"/>
            </w:pPr>
            <w:r/>
            <w:r>
              <w:rPr>
                <w:sz w:val="16"/>
              </w:rPr>
              <w:t>0.902</w:t>
            </w:r>
          </w:p>
        </w:tc>
        <w:tc>
          <w:tcPr>
            <w:tcW w:type="dxa" w:w="720"/>
          </w:tcPr>
          <w:p>
            <w:pPr>
              <w:spacing w:after="0"/>
            </w:pPr>
            <w:r/>
            <w:r>
              <w:rPr>
                <w:sz w:val="16"/>
              </w:rPr>
              <w:t>0.885</w:t>
            </w:r>
          </w:p>
        </w:tc>
        <w:tc>
          <w:tcPr>
            <w:tcW w:type="dxa" w:w="720"/>
          </w:tcPr>
          <w:p>
            <w:pPr>
              <w:spacing w:after="0"/>
            </w:pPr>
            <w:r/>
            <w:r>
              <w:rPr>
                <w:sz w:val="16"/>
              </w:rPr>
              <w:t>0.839</w:t>
            </w:r>
          </w:p>
        </w:tc>
        <w:tc>
          <w:tcPr>
            <w:tcW w:type="dxa" w:w="792"/>
          </w:tcPr>
          <w:p>
            <w:pPr>
              <w:spacing w:after="0"/>
            </w:pPr>
            <w:r/>
            <w:r>
              <w:rPr>
                <w:sz w:val="16"/>
              </w:rPr>
              <w:t>0.929</w:t>
            </w:r>
          </w:p>
        </w:tc>
        <w:tc>
          <w:tcPr>
            <w:tcW w:type="dxa" w:w="720"/>
          </w:tcPr>
          <w:p>
            <w:pPr>
              <w:spacing w:after="0"/>
            </w:pPr>
            <w:r/>
            <w:r>
              <w:rPr>
                <w:sz w:val="16"/>
              </w:rPr>
              <w:t>0.966</w:t>
            </w:r>
          </w:p>
        </w:tc>
      </w:tr>
      <w:tr>
        <w:tc>
          <w:tcPr>
            <w:tcW w:type="dxa" w:w="1512"/>
            <w:shd w:val="clear" w:color="auto" w:fill="EEF3F9"/>
          </w:tcPr>
          <w:p>
            <w:pPr>
              <w:spacing w:after="0"/>
            </w:pPr>
            <w:r/>
            <w:r>
              <w:rPr>
                <w:sz w:val="16"/>
              </w:rPr>
              <w:t>Random Forest</w:t>
            </w:r>
          </w:p>
        </w:tc>
        <w:tc>
          <w:tcPr>
            <w:tcW w:type="dxa" w:w="1440"/>
            <w:shd w:val="clear" w:color="auto" w:fill="EEF3F9"/>
          </w:tcPr>
          <w:p>
            <w:pPr>
              <w:spacing w:after="0"/>
            </w:pPr>
            <w:r/>
            <w:r>
              <w:rPr>
                <w:sz w:val="16"/>
              </w:rPr>
              <w:t>100 trees, depth 5, leaf 3</w:t>
            </w:r>
          </w:p>
        </w:tc>
        <w:tc>
          <w:tcPr>
            <w:tcW w:type="dxa" w:w="648"/>
            <w:shd w:val="clear" w:color="auto" w:fill="EEF3F9"/>
          </w:tcPr>
          <w:p>
            <w:pPr>
              <w:spacing w:after="0"/>
            </w:pPr>
            <w:r/>
            <w:r>
              <w:rPr>
                <w:sz w:val="16"/>
              </w:rPr>
              <w:t>0.806</w:t>
            </w:r>
          </w:p>
        </w:tc>
        <w:tc>
          <w:tcPr>
            <w:tcW w:type="dxa" w:w="720"/>
            <w:shd w:val="clear" w:color="auto" w:fill="EEF3F9"/>
          </w:tcPr>
          <w:p>
            <w:pPr>
              <w:spacing w:after="0"/>
            </w:pPr>
            <w:r/>
            <w:r>
              <w:rPr>
                <w:sz w:val="16"/>
              </w:rPr>
              <w:t>0.811</w:t>
            </w:r>
          </w:p>
        </w:tc>
        <w:tc>
          <w:tcPr>
            <w:tcW w:type="dxa" w:w="749"/>
            <w:shd w:val="clear" w:color="auto" w:fill="EEF3F9"/>
          </w:tcPr>
          <w:p>
            <w:pPr>
              <w:spacing w:after="0"/>
            </w:pPr>
            <w:r/>
            <w:r>
              <w:rPr>
                <w:sz w:val="16"/>
              </w:rPr>
              <w:t>0.764</w:t>
            </w:r>
          </w:p>
        </w:tc>
        <w:tc>
          <w:tcPr>
            <w:tcW w:type="dxa" w:w="720"/>
            <w:shd w:val="clear" w:color="auto" w:fill="EEF3F9"/>
          </w:tcPr>
          <w:p>
            <w:pPr>
              <w:spacing w:after="0"/>
            </w:pPr>
            <w:r/>
            <w:r>
              <w:rPr>
                <w:sz w:val="16"/>
              </w:rPr>
              <w:t>0.902</w:t>
            </w:r>
          </w:p>
        </w:tc>
        <w:tc>
          <w:tcPr>
            <w:tcW w:type="dxa" w:w="720"/>
            <w:shd w:val="clear" w:color="auto" w:fill="EEF3F9"/>
          </w:tcPr>
          <w:p>
            <w:pPr>
              <w:spacing w:after="0"/>
            </w:pPr>
            <w:r/>
            <w:r>
              <w:rPr>
                <w:sz w:val="16"/>
              </w:rPr>
              <w:t>0.869</w:t>
            </w:r>
          </w:p>
        </w:tc>
        <w:tc>
          <w:tcPr>
            <w:tcW w:type="dxa" w:w="720"/>
            <w:shd w:val="clear" w:color="auto" w:fill="EEF3F9"/>
          </w:tcPr>
          <w:p>
            <w:pPr>
              <w:spacing w:after="0"/>
            </w:pPr>
            <w:r/>
            <w:r>
              <w:rPr>
                <w:sz w:val="16"/>
              </w:rPr>
              <w:t>0.833</w:t>
            </w:r>
          </w:p>
        </w:tc>
        <w:tc>
          <w:tcPr>
            <w:tcW w:type="dxa" w:w="792"/>
            <w:shd w:val="clear" w:color="auto" w:fill="EEF3F9"/>
          </w:tcPr>
          <w:p>
            <w:pPr>
              <w:spacing w:after="0"/>
            </w:pPr>
            <w:r/>
            <w:r>
              <w:rPr>
                <w:sz w:val="16"/>
              </w:rPr>
              <w:t>0.893</w:t>
            </w:r>
          </w:p>
        </w:tc>
        <w:tc>
          <w:tcPr>
            <w:tcW w:type="dxa" w:w="720"/>
            <w:shd w:val="clear" w:color="auto" w:fill="EEF3F9"/>
          </w:tcPr>
          <w:p>
            <w:pPr>
              <w:spacing w:after="0"/>
            </w:pPr>
            <w:r/>
            <w:r>
              <w:rPr>
                <w:sz w:val="16"/>
              </w:rPr>
              <w:t>0.948</w:t>
            </w:r>
          </w:p>
        </w:tc>
      </w:tr>
    </w:tbl>
    <w:p>
      <w:pPr>
        <w:spacing w:after="40"/>
      </w:pPr>
    </w:p>
    <w:p>
      <w:r>
        <w:rPr>
          <w:b/>
        </w:rPr>
        <w:t xml:space="preserve">Selection. </w:t>
      </w:r>
      <w:r>
        <w:rPr>
          <w:i w:val="0"/>
        </w:rPr>
        <w:t>The two models tie on cross-validated ROC-AUC (0.902 to three decimals), so the tie is broken on the other cross-validated metrics. Logistic Regression is better on accuracy, precision and recall, is simpler, faster to serve and easier to interpret, so it is promoted to models/model.joblib. In a screening setting recall matters, and its hold-out recall of 0.93 is also the higher of the two.</w:t>
      </w:r>
    </w:p>
    <w:p>
      <w:r>
        <w:rPr>
          <w:b/>
        </w:rPr>
        <w:t xml:space="preserve">Limitations. </w:t>
      </w:r>
      <w:r>
        <w:rPr>
          <w:i w:val="0"/>
        </w:rPr>
        <w:t>With only 303 patients the hold-out figures have wide confidence intervals and should be read as indicative. The data comes from a single site, so performance on other populations is unknown.</w:t>
      </w:r>
    </w:p>
    <w:p>
      <w:r>
        <w:br w:type="page"/>
      </w:r>
    </w:p>
    <w:p>
      <w:pPr>
        <w:pStyle w:val="Heading1"/>
      </w:pPr>
      <w:r>
        <w:t>5. Experiment tracking with MLflow</w:t>
      </w:r>
    </w:p>
    <w:p>
      <w:r>
        <w:rPr>
          <w:i w:val="0"/>
        </w:rPr>
        <w:t>Training logs every run to a local MLflow backend (SQLite file mlflow.db) in the experiment heart-disease. Each run records the model type and best hyperparameters, cross-validated and hold-out metrics with their standard deviations, the ROC curve and confusion matrix as figures, and the fitted pipeline as a model artifact. The runs table shows four runs: each model was trained once from src/train.py and once from the training notebook.</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58"/>
        <w:gridCol w:w="4658"/>
      </w:tblGrid>
      <w:tr>
        <w:tc>
          <w:tcPr>
            <w:tcW w:type="dxa" w:w="4680"/>
          </w:tcPr>
          <w:p>
            <w:pPr>
              <w:keepNext/>
              <w:spacing w:after="20"/>
              <w:jc w:val="center"/>
            </w:pPr>
            <w:r>
              <w:drawing>
                <wp:inline xmlns:a="http://schemas.openxmlformats.org/drawingml/2006/main" xmlns:pic="http://schemas.openxmlformats.org/drawingml/2006/picture">
                  <wp:extent cx="2926080" cy="1624835"/>
                  <wp:docPr id="7" name="Picture 7"/>
                  <wp:cNvGraphicFramePr>
                    <a:graphicFrameLocks noChangeAspect="1"/>
                  </wp:cNvGraphicFramePr>
                  <a:graphic>
                    <a:graphicData uri="http://schemas.openxmlformats.org/drawingml/2006/picture">
                      <pic:pic>
                        <pic:nvPicPr>
                          <pic:cNvPr id="0" name="MLFlow_MLFlow_tables.png"/>
                          <pic:cNvPicPr/>
                        </pic:nvPicPr>
                        <pic:blipFill>
                          <a:blip r:embed="rId18"/>
                          <a:stretch>
                            <a:fillRect/>
                          </a:stretch>
                        </pic:blipFill>
                        <pic:spPr>
                          <a:xfrm>
                            <a:off x="0" y="0"/>
                            <a:ext cx="2926080" cy="1624835"/>
                          </a:xfrm>
                          <a:prstGeom prst="rect"/>
                        </pic:spPr>
                      </pic:pic>
                    </a:graphicData>
                  </a:graphic>
                </wp:inline>
              </w:drawing>
            </w:r>
          </w:p>
        </w:tc>
        <w:tc>
          <w:tcPr>
            <w:tcW w:type="dxa" w:w="4680"/>
          </w:tcPr>
          <w:p>
            <w:pPr>
              <w:keepNext/>
              <w:spacing w:after="20"/>
              <w:jc w:val="center"/>
            </w:pPr>
            <w:r>
              <w:drawing>
                <wp:inline xmlns:a="http://schemas.openxmlformats.org/drawingml/2006/main" xmlns:pic="http://schemas.openxmlformats.org/drawingml/2006/picture">
                  <wp:extent cx="2926080" cy="1624835"/>
                  <wp:docPr id="8" name="Picture 8"/>
                  <wp:cNvGraphicFramePr>
                    <a:graphicFrameLocks noChangeAspect="1"/>
                  </wp:cNvGraphicFramePr>
                  <a:graphic>
                    <a:graphicData uri="http://schemas.openxmlformats.org/drawingml/2006/picture">
                      <pic:pic>
                        <pic:nvPicPr>
                          <pic:cNvPr id="0" name="MLFlow_comparing_experiments.png"/>
                          <pic:cNvPicPr/>
                        </pic:nvPicPr>
                        <pic:blipFill>
                          <a:blip r:embed="rId19"/>
                          <a:stretch>
                            <a:fillRect/>
                          </a:stretch>
                        </pic:blipFill>
                        <pic:spPr>
                          <a:xfrm>
                            <a:off x="0" y="0"/>
                            <a:ext cx="2926080" cy="1624835"/>
                          </a:xfrm>
                          <a:prstGeom prst="rect"/>
                        </pic:spPr>
                      </pic:pic>
                    </a:graphicData>
                  </a:graphic>
                </wp:inline>
              </w:drawing>
            </w:r>
          </w:p>
        </w:tc>
      </w:tr>
      <w:tr>
        <w:tc>
          <w:tcPr>
            <w:tcW w:type="dxa" w:w="4680"/>
          </w:tcPr>
          <w:p>
            <w:pPr>
              <w:spacing w:after="80"/>
              <w:jc w:val="center"/>
            </w:pPr>
            <w:r>
              <w:rPr>
                <w:i/>
                <w:color w:val="404040"/>
                <w:sz w:val="17"/>
              </w:rPr>
              <w:t>Figure 7. MLflow experiment heart-disease and its four runs.</w:t>
            </w:r>
          </w:p>
        </w:tc>
        <w:tc>
          <w:tcPr>
            <w:tcW w:type="dxa" w:w="4680"/>
          </w:tcPr>
          <w:p>
            <w:pPr>
              <w:spacing w:after="80"/>
              <w:jc w:val="center"/>
            </w:pPr>
            <w:r>
              <w:rPr>
                <w:i/>
                <w:color w:val="404040"/>
                <w:sz w:val="17"/>
              </w:rPr>
              <w:t>Figure 8. Side-by-side comparison of the model runs.</w:t>
            </w:r>
          </w:p>
        </w:tc>
      </w:tr>
    </w:tbl>
    <w:p>
      <w:pPr>
        <w:spacing w:after="4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58"/>
        <w:gridCol w:w="4658"/>
      </w:tblGrid>
      <w:tr>
        <w:tc>
          <w:tcPr>
            <w:tcW w:type="dxa" w:w="4680"/>
          </w:tcPr>
          <w:p>
            <w:pPr>
              <w:keepNext/>
              <w:spacing w:after="20"/>
              <w:jc w:val="center"/>
            </w:pPr>
            <w:r>
              <w:drawing>
                <wp:inline xmlns:a="http://schemas.openxmlformats.org/drawingml/2006/main" xmlns:pic="http://schemas.openxmlformats.org/drawingml/2006/picture">
                  <wp:extent cx="2926080" cy="1626556"/>
                  <wp:docPr id="9" name="Picture 9"/>
                  <wp:cNvGraphicFramePr>
                    <a:graphicFrameLocks noChangeAspect="1"/>
                  </wp:cNvGraphicFramePr>
                  <a:graphic>
                    <a:graphicData uri="http://schemas.openxmlformats.org/drawingml/2006/picture">
                      <pic:pic>
                        <pic:nvPicPr>
                          <pic:cNvPr id="0" name="MLFlow_MLFlow_metrics.png"/>
                          <pic:cNvPicPr/>
                        </pic:nvPicPr>
                        <pic:blipFill>
                          <a:blip r:embed="rId20"/>
                          <a:stretch>
                            <a:fillRect/>
                          </a:stretch>
                        </pic:blipFill>
                        <pic:spPr>
                          <a:xfrm>
                            <a:off x="0" y="0"/>
                            <a:ext cx="2926080" cy="1626556"/>
                          </a:xfrm>
                          <a:prstGeom prst="rect"/>
                        </pic:spPr>
                      </pic:pic>
                    </a:graphicData>
                  </a:graphic>
                </wp:inline>
              </w:drawing>
            </w:r>
          </w:p>
        </w:tc>
        <w:tc>
          <w:tcPr>
            <w:tcW w:type="dxa" w:w="4680"/>
          </w:tcPr>
          <w:p>
            <w:pPr>
              <w:keepNext/>
              <w:spacing w:after="20"/>
              <w:jc w:val="center"/>
            </w:pPr>
            <w:r>
              <w:drawing>
                <wp:inline xmlns:a="http://schemas.openxmlformats.org/drawingml/2006/main" xmlns:pic="http://schemas.openxmlformats.org/drawingml/2006/picture">
                  <wp:extent cx="2926080" cy="1626556"/>
                  <wp:docPr id="10" name="Picture 10"/>
                  <wp:cNvGraphicFramePr>
                    <a:graphicFrameLocks noChangeAspect="1"/>
                  </wp:cNvGraphicFramePr>
                  <a:graphic>
                    <a:graphicData uri="http://schemas.openxmlformats.org/drawingml/2006/picture">
                      <pic:pic>
                        <pic:nvPicPr>
                          <pic:cNvPr id="0" name="MLFlow_Logistic_regression.png"/>
                          <pic:cNvPicPr/>
                        </pic:nvPicPr>
                        <pic:blipFill>
                          <a:blip r:embed="rId21"/>
                          <a:stretch>
                            <a:fillRect/>
                          </a:stretch>
                        </pic:blipFill>
                        <pic:spPr>
                          <a:xfrm>
                            <a:off x="0" y="0"/>
                            <a:ext cx="2926080" cy="1626556"/>
                          </a:xfrm>
                          <a:prstGeom prst="rect"/>
                        </pic:spPr>
                      </pic:pic>
                    </a:graphicData>
                  </a:graphic>
                </wp:inline>
              </w:drawing>
            </w:r>
          </w:p>
        </w:tc>
      </w:tr>
      <w:tr>
        <w:tc>
          <w:tcPr>
            <w:tcW w:type="dxa" w:w="4680"/>
          </w:tcPr>
          <w:p>
            <w:pPr>
              <w:spacing w:after="80"/>
              <w:jc w:val="center"/>
            </w:pPr>
            <w:r>
              <w:rPr>
                <w:i/>
                <w:color w:val="404040"/>
                <w:sz w:val="17"/>
              </w:rPr>
              <w:t>Figure 9. Logged metrics for a run.</w:t>
            </w:r>
          </w:p>
        </w:tc>
        <w:tc>
          <w:tcPr>
            <w:tcW w:type="dxa" w:w="4680"/>
          </w:tcPr>
          <w:p>
            <w:pPr>
              <w:spacing w:after="80"/>
              <w:jc w:val="center"/>
            </w:pPr>
            <w:r>
              <w:rPr>
                <w:i/>
                <w:color w:val="404040"/>
                <w:sz w:val="17"/>
              </w:rPr>
              <w:t>Figure 10. Selected Logistic Regression run (parameters, metrics, artifacts).</w:t>
            </w:r>
          </w:p>
        </w:tc>
      </w:tr>
    </w:tbl>
    <w:p>
      <w:pPr>
        <w:spacing w:after="40"/>
      </w:pPr>
    </w:p>
    <w:p>
      <w:pPr>
        <w:pStyle w:val="Heading1"/>
      </w:pPr>
      <w:r>
        <w:t>6. Model packaging and reproducibility</w:t>
      </w:r>
    </w:p>
    <w:p>
      <w:pPr>
        <w:pStyle w:val="ListBullet"/>
        <w:spacing w:after="40"/>
      </w:pPr>
      <w:r>
        <w:rPr>
          <w:b/>
        </w:rPr>
        <w:t xml:space="preserve">Saved model: </w:t>
      </w:r>
      <w:r>
        <w:t>models/model.joblib is the full preprocessing + classifier pipeline; models/metrics.json holds its metrics.</w:t>
      </w:r>
    </w:p>
    <w:p>
      <w:pPr>
        <w:pStyle w:val="ListBullet"/>
        <w:spacing w:after="40"/>
      </w:pPr>
      <w:r>
        <w:rPr>
          <w:b/>
        </w:rPr>
        <w:t xml:space="preserve">Dependencies: </w:t>
      </w:r>
      <w:r>
        <w:t>requirements.txt pins exact versions; requirements-serve.txt pins the smaller serving set.</w:t>
      </w:r>
    </w:p>
    <w:p>
      <w:pPr>
        <w:pStyle w:val="ListBullet"/>
        <w:spacing w:after="40"/>
      </w:pPr>
      <w:r>
        <w:rPr>
          <w:b/>
        </w:rPr>
        <w:t xml:space="preserve">Determinism: </w:t>
      </w:r>
      <w:r>
        <w:t>fixed seeds, a stratified split, and the cleaned dataset committed to the repository.</w:t>
      </w:r>
    </w:p>
    <w:p>
      <w:pPr>
        <w:pStyle w:val="ListBullet"/>
        <w:spacing w:after="40"/>
      </w:pPr>
      <w:r>
        <w:rPr>
          <w:b/>
        </w:rPr>
        <w:t xml:space="preserve">Clean setup: </w:t>
      </w:r>
      <w:r>
        <w:t>CI installs from requirements.txt on a fresh runner and retrains on every push; src/predict.py scores new data offline.</w:t>
      </w:r>
    </w:p>
    <w:p>
      <w:r>
        <w:br w:type="page"/>
      </w:r>
    </w:p>
    <w:p>
      <w:pPr>
        <w:pStyle w:val="Heading1"/>
      </w:pPr>
      <w:r>
        <w:t>7. CI/CD pipeline and automated testing</w:t>
      </w:r>
    </w:p>
    <w:p>
      <w:r>
        <w:rPr>
          <w:i w:val="0"/>
        </w:rPr>
        <w:t>The workflow .github/workflows/ci.yml runs on every push and pull request. The first job executes, in order: flake8 lint, pytest (with a JUnit report), EDA figure generation, model training, an inference smoke test and artifact upload. A second job builds the Docker image and smoke-tests /health and /predict. A failure in any step fails the workflow and the later jobs do not run.</w:t>
      </w:r>
    </w:p>
    <w:tbl>
      <w:tblPr>
        <w:tblStyle w:val="TableGrid"/>
        <w:tblW w:type="auto" w:w="0"/>
        <w:jc w:val="center"/>
        <w:tblLayout w:type="fixed"/>
        <w:tblLook w:firstColumn="1" w:firstRow="1" w:lastColumn="0" w:lastRow="0" w:noHBand="0" w:noVBand="1" w:val="04A0"/>
      </w:tblPr>
      <w:tblGrid>
        <w:gridCol w:w="4658"/>
        <w:gridCol w:w="4658"/>
      </w:tblGrid>
      <w:tr>
        <w:tc>
          <w:tcPr>
            <w:tcW w:type="dxa" w:w="3024"/>
            <w:shd w:val="clear" w:color="auto" w:fill="1F3A5F"/>
          </w:tcPr>
          <w:p>
            <w:r/>
            <w:r>
              <w:rPr>
                <w:b/>
                <w:color w:val="FFFFFF"/>
                <w:sz w:val="19"/>
              </w:rPr>
              <w:t>Test file</w:t>
            </w:r>
          </w:p>
        </w:tc>
        <w:tc>
          <w:tcPr>
            <w:tcW w:type="dxa" w:w="6264"/>
            <w:shd w:val="clear" w:color="auto" w:fill="1F3A5F"/>
          </w:tcPr>
          <w:p>
            <w:r/>
            <w:r>
              <w:rPr>
                <w:b/>
                <w:color w:val="FFFFFF"/>
                <w:sz w:val="19"/>
              </w:rPr>
              <w:t>What it checks</w:t>
            </w:r>
          </w:p>
        </w:tc>
      </w:tr>
      <w:tr>
        <w:tc>
          <w:tcPr>
            <w:tcW w:type="dxa" w:w="3024"/>
          </w:tcPr>
          <w:p>
            <w:pPr>
              <w:spacing w:after="0"/>
            </w:pPr>
            <w:r/>
            <w:r>
              <w:rPr>
                <w:sz w:val="19"/>
              </w:rPr>
              <w:t>test_data.py, test_clean.py</w:t>
            </w:r>
          </w:p>
        </w:tc>
        <w:tc>
          <w:tcPr>
            <w:tcW w:type="dxa" w:w="6264"/>
          </w:tcPr>
          <w:p>
            <w:pPr>
              <w:spacing w:after="0"/>
            </w:pPr>
            <w:r/>
            <w:r>
              <w:rPr>
                <w:sz w:val="19"/>
              </w:rPr>
              <w:t>Cleaned schema, binary target, no duplicates, missing-value handling</w:t>
            </w:r>
          </w:p>
        </w:tc>
      </w:tr>
      <w:tr>
        <w:tc>
          <w:tcPr>
            <w:tcW w:type="dxa" w:w="3024"/>
            <w:shd w:val="clear" w:color="auto" w:fill="EEF3F9"/>
          </w:tcPr>
          <w:p>
            <w:pPr>
              <w:spacing w:after="0"/>
            </w:pPr>
            <w:r/>
            <w:r>
              <w:rPr>
                <w:sz w:val="19"/>
              </w:rPr>
              <w:t>test_model.py, test_train.py</w:t>
            </w:r>
          </w:p>
        </w:tc>
        <w:tc>
          <w:tcPr>
            <w:tcW w:type="dxa" w:w="6264"/>
            <w:shd w:val="clear" w:color="auto" w:fill="EEF3F9"/>
          </w:tcPr>
          <w:p>
            <w:pPr>
              <w:spacing w:after="0"/>
            </w:pPr>
            <w:r/>
            <w:r>
              <w:rPr>
                <w:sz w:val="19"/>
              </w:rPr>
              <w:t>Pipeline beats chance; a full training run produces metrics and a loadable model</w:t>
            </w:r>
          </w:p>
        </w:tc>
      </w:tr>
      <w:tr>
        <w:tc>
          <w:tcPr>
            <w:tcW w:type="dxa" w:w="3024"/>
          </w:tcPr>
          <w:p>
            <w:pPr>
              <w:spacing w:after="0"/>
            </w:pPr>
            <w:r/>
            <w:r>
              <w:rPr>
                <w:sz w:val="19"/>
              </w:rPr>
              <w:t>test_predict.py, test_eda.py</w:t>
            </w:r>
          </w:p>
        </w:tc>
        <w:tc>
          <w:tcPr>
            <w:tcW w:type="dxa" w:w="6264"/>
          </w:tcPr>
          <w:p>
            <w:pPr>
              <w:spacing w:after="0"/>
            </w:pPr>
            <w:r/>
            <w:r>
              <w:rPr>
                <w:sz w:val="19"/>
              </w:rPr>
              <w:t>Inference output and CLI (JSON, CSV), missing-column errors, EDA figures written</w:t>
            </w:r>
          </w:p>
        </w:tc>
      </w:tr>
      <w:tr>
        <w:tc>
          <w:tcPr>
            <w:tcW w:type="dxa" w:w="3024"/>
            <w:shd w:val="clear" w:color="auto" w:fill="EEF3F9"/>
          </w:tcPr>
          <w:p>
            <w:pPr>
              <w:spacing w:after="0"/>
            </w:pPr>
            <w:r/>
            <w:r>
              <w:rPr>
                <w:sz w:val="19"/>
              </w:rPr>
              <w:t>test_api.py</w:t>
            </w:r>
          </w:p>
        </w:tc>
        <w:tc>
          <w:tcPr>
            <w:tcW w:type="dxa" w:w="6264"/>
            <w:shd w:val="clear" w:color="auto" w:fill="EEF3F9"/>
          </w:tcPr>
          <w:p>
            <w:pPr>
              <w:spacing w:after="0"/>
            </w:pPr>
            <w:r/>
            <w:r>
              <w:rPr>
                <w:sz w:val="19"/>
              </w:rPr>
              <w:t>/health, /predict, input validation (HTTP 422) and the /metrics endpoint</w:t>
            </w:r>
          </w:p>
        </w:tc>
      </w:tr>
    </w:tbl>
    <w:p>
      <w:pPr>
        <w:spacing w:after="4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58"/>
        <w:gridCol w:w="4658"/>
      </w:tblGrid>
      <w:tr>
        <w:tc>
          <w:tcPr>
            <w:tcW w:type="dxa" w:w="4680"/>
          </w:tcPr>
          <w:p>
            <w:pPr>
              <w:keepNext/>
              <w:spacing w:after="20"/>
              <w:jc w:val="center"/>
            </w:pPr>
            <w:r>
              <w:drawing>
                <wp:inline xmlns:a="http://schemas.openxmlformats.org/drawingml/2006/main" xmlns:pic="http://schemas.openxmlformats.org/drawingml/2006/picture">
                  <wp:extent cx="2926080" cy="1399355"/>
                  <wp:docPr id="11" name="Picture 11"/>
                  <wp:cNvGraphicFramePr>
                    <a:graphicFrameLocks noChangeAspect="1"/>
                  </wp:cNvGraphicFramePr>
                  <a:graphic>
                    <a:graphicData uri="http://schemas.openxmlformats.org/drawingml/2006/picture">
                      <pic:pic>
                        <pic:nvPicPr>
                          <pic:cNvPr id="0" name="CI_ci_pipeline.png"/>
                          <pic:cNvPicPr/>
                        </pic:nvPicPr>
                        <pic:blipFill>
                          <a:blip r:embed="rId22"/>
                          <a:stretch>
                            <a:fillRect/>
                          </a:stretch>
                        </pic:blipFill>
                        <pic:spPr>
                          <a:xfrm>
                            <a:off x="0" y="0"/>
                            <a:ext cx="2926080" cy="1399355"/>
                          </a:xfrm>
                          <a:prstGeom prst="rect"/>
                        </pic:spPr>
                      </pic:pic>
                    </a:graphicData>
                  </a:graphic>
                </wp:inline>
              </w:drawing>
            </w:r>
          </w:p>
        </w:tc>
        <w:tc>
          <w:tcPr>
            <w:tcW w:type="dxa" w:w="4680"/>
          </w:tcPr>
          <w:p>
            <w:pPr>
              <w:keepNext/>
              <w:spacing w:after="20"/>
              <w:jc w:val="center"/>
            </w:pPr>
            <w:r>
              <w:drawing>
                <wp:inline xmlns:a="http://schemas.openxmlformats.org/drawingml/2006/main" xmlns:pic="http://schemas.openxmlformats.org/drawingml/2006/picture">
                  <wp:extent cx="2926080" cy="1623114"/>
                  <wp:docPr id="12" name="Picture 12"/>
                  <wp:cNvGraphicFramePr>
                    <a:graphicFrameLocks noChangeAspect="1"/>
                  </wp:cNvGraphicFramePr>
                  <a:graphic>
                    <a:graphicData uri="http://schemas.openxmlformats.org/drawingml/2006/picture">
                      <pic:pic>
                        <pic:nvPicPr>
                          <pic:cNvPr id="0" name="CI_unit_test.png"/>
                          <pic:cNvPicPr/>
                        </pic:nvPicPr>
                        <pic:blipFill>
                          <a:blip r:embed="rId23"/>
                          <a:stretch>
                            <a:fillRect/>
                          </a:stretch>
                        </pic:blipFill>
                        <pic:spPr>
                          <a:xfrm>
                            <a:off x="0" y="0"/>
                            <a:ext cx="2926080" cy="1623114"/>
                          </a:xfrm>
                          <a:prstGeom prst="rect"/>
                        </pic:spPr>
                      </pic:pic>
                    </a:graphicData>
                  </a:graphic>
                </wp:inline>
              </w:drawing>
            </w:r>
          </w:p>
        </w:tc>
      </w:tr>
      <w:tr>
        <w:tc>
          <w:tcPr>
            <w:tcW w:type="dxa" w:w="4680"/>
          </w:tcPr>
          <w:p>
            <w:pPr>
              <w:spacing w:after="80"/>
              <w:jc w:val="center"/>
            </w:pPr>
            <w:r>
              <w:rPr>
                <w:i/>
                <w:color w:val="404040"/>
                <w:sz w:val="17"/>
              </w:rPr>
              <w:t>Figure 11. GitHub Actions run history: all CI runs on main succeeded.</w:t>
            </w:r>
          </w:p>
        </w:tc>
        <w:tc>
          <w:tcPr>
            <w:tcW w:type="dxa" w:w="4680"/>
          </w:tcPr>
          <w:p>
            <w:pPr>
              <w:spacing w:after="80"/>
              <w:jc w:val="center"/>
            </w:pPr>
            <w:r>
              <w:rPr>
                <w:i/>
                <w:color w:val="404040"/>
                <w:sz w:val="17"/>
              </w:rPr>
              <w:t>Figure 12. Unit-test step in the CI job.</w:t>
            </w:r>
          </w:p>
        </w:tc>
      </w:tr>
    </w:tbl>
    <w:p>
      <w:pPr>
        <w:spacing w:after="4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58"/>
        <w:gridCol w:w="4658"/>
      </w:tblGrid>
      <w:tr>
        <w:tc>
          <w:tcPr>
            <w:tcW w:type="dxa" w:w="4680"/>
          </w:tcPr>
          <w:p>
            <w:pPr>
              <w:keepNext/>
              <w:spacing w:after="20"/>
              <w:jc w:val="center"/>
            </w:pPr>
            <w:r>
              <w:drawing>
                <wp:inline xmlns:a="http://schemas.openxmlformats.org/drawingml/2006/main" xmlns:pic="http://schemas.openxmlformats.org/drawingml/2006/picture">
                  <wp:extent cx="2926080" cy="1624835"/>
                  <wp:docPr id="13" name="Picture 13"/>
                  <wp:cNvGraphicFramePr>
                    <a:graphicFrameLocks noChangeAspect="1"/>
                  </wp:cNvGraphicFramePr>
                  <a:graphic>
                    <a:graphicData uri="http://schemas.openxmlformats.org/drawingml/2006/picture">
                      <pic:pic>
                        <pic:nvPicPr>
                          <pic:cNvPr id="0" name="CI_ci_docker.png"/>
                          <pic:cNvPicPr/>
                        </pic:nvPicPr>
                        <pic:blipFill>
                          <a:blip r:embed="rId24"/>
                          <a:stretch>
                            <a:fillRect/>
                          </a:stretch>
                        </pic:blipFill>
                        <pic:spPr>
                          <a:xfrm>
                            <a:off x="0" y="0"/>
                            <a:ext cx="2926080" cy="1624835"/>
                          </a:xfrm>
                          <a:prstGeom prst="rect"/>
                        </pic:spPr>
                      </pic:pic>
                    </a:graphicData>
                  </a:graphic>
                </wp:inline>
              </w:drawing>
            </w:r>
          </w:p>
        </w:tc>
        <w:tc>
          <w:tcPr>
            <w:tcW w:type="dxa" w:w="4680"/>
          </w:tcPr>
          <w:p>
            <w:pPr>
              <w:keepNext/>
              <w:spacing w:after="20"/>
              <w:jc w:val="center"/>
            </w:pPr>
            <w:r>
              <w:drawing>
                <wp:inline xmlns:a="http://schemas.openxmlformats.org/drawingml/2006/main" xmlns:pic="http://schemas.openxmlformats.org/drawingml/2006/picture">
                  <wp:extent cx="2926080" cy="1616229"/>
                  <wp:docPr id="14" name="Picture 14"/>
                  <wp:cNvGraphicFramePr>
                    <a:graphicFrameLocks noChangeAspect="1"/>
                  </wp:cNvGraphicFramePr>
                  <a:graphic>
                    <a:graphicData uri="http://schemas.openxmlformats.org/drawingml/2006/picture">
                      <pic:pic>
                        <pic:nvPicPr>
                          <pic:cNvPr id="0" name="CI_ml_artifact.png"/>
                          <pic:cNvPicPr/>
                        </pic:nvPicPr>
                        <pic:blipFill>
                          <a:blip r:embed="rId25"/>
                          <a:stretch>
                            <a:fillRect/>
                          </a:stretch>
                        </pic:blipFill>
                        <pic:spPr>
                          <a:xfrm>
                            <a:off x="0" y="0"/>
                            <a:ext cx="2926080" cy="1616229"/>
                          </a:xfrm>
                          <a:prstGeom prst="rect"/>
                        </pic:spPr>
                      </pic:pic>
                    </a:graphicData>
                  </a:graphic>
                </wp:inline>
              </w:drawing>
            </w:r>
          </w:p>
        </w:tc>
      </w:tr>
      <w:tr>
        <w:tc>
          <w:tcPr>
            <w:tcW w:type="dxa" w:w="4680"/>
          </w:tcPr>
          <w:p>
            <w:pPr>
              <w:spacing w:after="80"/>
              <w:jc w:val="center"/>
            </w:pPr>
            <w:r>
              <w:rPr>
                <w:i/>
                <w:color w:val="404040"/>
                <w:sz w:val="17"/>
              </w:rPr>
              <w:t>Figure 13. Docker job: image build and container smoke test.</w:t>
            </w:r>
          </w:p>
        </w:tc>
        <w:tc>
          <w:tcPr>
            <w:tcW w:type="dxa" w:w="4680"/>
          </w:tcPr>
          <w:p>
            <w:pPr>
              <w:spacing w:after="80"/>
              <w:jc w:val="center"/>
            </w:pPr>
            <w:r>
              <w:rPr>
                <w:i/>
                <w:color w:val="404040"/>
                <w:sz w:val="17"/>
              </w:rPr>
              <w:t>Figure 14. Artifacts uploaded by a run (models, MLflow data, EDA figures, test report).</w:t>
            </w:r>
          </w:p>
        </w:tc>
      </w:tr>
    </w:tbl>
    <w:p>
      <w:pPr>
        <w:spacing w:after="40"/>
      </w:pPr>
    </w:p>
    <w:p>
      <w:r>
        <w:br w:type="page"/>
      </w:r>
    </w:p>
    <w:p>
      <w:pPr>
        <w:pStyle w:val="Heading2"/>
      </w:pPr>
      <w:r>
        <w:t>Demonstrating that the pipeline fails on errors</w:t>
      </w:r>
    </w:p>
    <w:p>
      <w:r>
        <w:rPr>
          <w:i w:val="0"/>
        </w:rPr>
        <w:t>To show that the pipeline blocks bad code, a deliberate lint error (an unused import) was pushed on a throwaway branch, ci-failure-demo. The build-test-train job failed at the lint step with exit code 1 and the dependent docker job was skipped. The change was never merged into main.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58"/>
        <w:gridCol w:w="4658"/>
      </w:tblGrid>
      <w:tr>
        <w:tc>
          <w:tcPr>
            <w:tcW w:type="dxa" w:w="4680"/>
          </w:tcPr>
          <w:p>
            <w:pPr>
              <w:keepNext/>
              <w:spacing w:after="20"/>
              <w:jc w:val="center"/>
            </w:pPr>
            <w:r>
              <w:drawing>
                <wp:inline xmlns:a="http://schemas.openxmlformats.org/drawingml/2006/main" xmlns:pic="http://schemas.openxmlformats.org/drawingml/2006/picture">
                  <wp:extent cx="2926080" cy="1617950"/>
                  <wp:docPr id="15" name="Picture 15"/>
                  <wp:cNvGraphicFramePr>
                    <a:graphicFrameLocks noChangeAspect="1"/>
                  </wp:cNvGraphicFramePr>
                  <a:graphic>
                    <a:graphicData uri="http://schemas.openxmlformats.org/drawingml/2006/picture">
                      <pic:pic>
                        <pic:nvPicPr>
                          <pic:cNvPr id="0" name="CI_failed_ci_1.png"/>
                          <pic:cNvPicPr/>
                        </pic:nvPicPr>
                        <pic:blipFill>
                          <a:blip r:embed="rId26"/>
                          <a:stretch>
                            <a:fillRect/>
                          </a:stretch>
                        </pic:blipFill>
                        <pic:spPr>
                          <a:xfrm>
                            <a:off x="0" y="0"/>
                            <a:ext cx="2926080" cy="1617950"/>
                          </a:xfrm>
                          <a:prstGeom prst="rect"/>
                        </pic:spPr>
                      </pic:pic>
                    </a:graphicData>
                  </a:graphic>
                </wp:inline>
              </w:drawing>
            </w:r>
          </w:p>
        </w:tc>
        <w:tc>
          <w:tcPr>
            <w:tcW w:type="dxa" w:w="4680"/>
          </w:tcPr>
          <w:p>
            <w:pPr>
              <w:keepNext/>
              <w:spacing w:after="20"/>
              <w:jc w:val="center"/>
            </w:pPr>
            <w:r>
              <w:drawing>
                <wp:inline xmlns:a="http://schemas.openxmlformats.org/drawingml/2006/main" xmlns:pic="http://schemas.openxmlformats.org/drawingml/2006/picture">
                  <wp:extent cx="2926080" cy="1626556"/>
                  <wp:docPr id="16" name="Picture 16"/>
                  <wp:cNvGraphicFramePr>
                    <a:graphicFrameLocks noChangeAspect="1"/>
                  </wp:cNvGraphicFramePr>
                  <a:graphic>
                    <a:graphicData uri="http://schemas.openxmlformats.org/drawingml/2006/picture">
                      <pic:pic>
                        <pic:nvPicPr>
                          <pic:cNvPr id="0" name="CI_failed_ci_2.png"/>
                          <pic:cNvPicPr/>
                        </pic:nvPicPr>
                        <pic:blipFill>
                          <a:blip r:embed="rId27"/>
                          <a:stretch>
                            <a:fillRect/>
                          </a:stretch>
                        </pic:blipFill>
                        <pic:spPr>
                          <a:xfrm>
                            <a:off x="0" y="0"/>
                            <a:ext cx="2926080" cy="1626556"/>
                          </a:xfrm>
                          <a:prstGeom prst="rect"/>
                        </pic:spPr>
                      </pic:pic>
                    </a:graphicData>
                  </a:graphic>
                </wp:inline>
              </w:drawing>
            </w:r>
          </w:p>
        </w:tc>
      </w:tr>
      <w:tr>
        <w:tc>
          <w:tcPr>
            <w:tcW w:type="dxa" w:w="4680"/>
          </w:tcPr>
          <w:p>
            <w:pPr>
              <w:spacing w:after="80"/>
              <w:jc w:val="center"/>
            </w:pPr>
            <w:r>
              <w:rPr>
                <w:i/>
                <w:color w:val="404040"/>
                <w:sz w:val="17"/>
              </w:rPr>
              <w:t>Figure 15. Failed run on the demo branch: build-test-train fails, docker is skipped.</w:t>
            </w:r>
          </w:p>
        </w:tc>
        <w:tc>
          <w:tcPr>
            <w:tcW w:type="dxa" w:w="4680"/>
          </w:tcPr>
          <w:p>
            <w:pPr>
              <w:spacing w:after="80"/>
              <w:jc w:val="center"/>
            </w:pPr>
            <w:r>
              <w:rPr>
                <w:i/>
                <w:color w:val="404040"/>
                <w:sz w:val="17"/>
              </w:rPr>
              <w:t>Figure 16. Failing lint step log with the flake8 error message.</w:t>
            </w:r>
          </w:p>
        </w:tc>
      </w:tr>
    </w:tbl>
    <w:p>
      <w:pPr>
        <w:spacing w:after="40"/>
      </w:pPr>
    </w:p>
    <w:p>
      <w:pPr>
        <w:pStyle w:val="Heading1"/>
      </w:pPr>
      <w:r>
        <w:t>8. Model containerisation</w:t>
      </w:r>
    </w:p>
    <w:p>
      <w:r>
        <w:rPr>
          <w:i w:val="0"/>
        </w:rPr>
        <w:t>The Dockerfile uses python:3.11-slim, installs only the serving dependencies, copies the source and the trained model, defines a health check and starts uvicorn on port 8000. POST /predict accepts the 13 clinical features as JSON (ca and thal are optional) and returns the prediction, a label, the confidence in the predicted class and the disease probability. Invalid input, such as a negative age, returns HTTP 422.</w:t>
      </w:r>
    </w:p>
    <w:p>
      <w:pPr>
        <w:spacing w:after="0"/>
        <w:ind w:left="144"/>
        <w:shd w:val="clear" w:color="auto" w:fill="F2F2F2"/>
      </w:pPr>
      <w:r>
        <w:rPr>
          <w:rFonts w:ascii="Consolas" w:hAnsi="Consolas" w:eastAsia="Consolas"/>
          <w:sz w:val="17"/>
        </w:rPr>
        <w:t>POST /predict  {"age":63,"sex":1,"cp":1,"trestbps":145,"chol":233,"fbs":1,"restecg":2,"thalach":150,...}</w:t>
      </w:r>
    </w:p>
    <w:p>
      <w:pPr>
        <w:spacing w:after="0"/>
        <w:ind w:left="144"/>
        <w:shd w:val="clear" w:color="auto" w:fill="F2F2F2"/>
      </w:pPr>
      <w:r>
        <w:rPr>
          <w:rFonts w:ascii="Consolas" w:hAnsi="Consolas" w:eastAsia="Consolas"/>
          <w:sz w:val="17"/>
        </w:rPr>
        <w:t>200 OK  {"prediction":0,"label":"no heart disease","confidence":0.8345,"probability_disease":0.1655}</w:t>
      </w:r>
    </w:p>
    <w:p>
      <w:pPr>
        <w:spacing w:after="4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58"/>
        <w:gridCol w:w="4658"/>
      </w:tblGrid>
      <w:tr>
        <w:tc>
          <w:tcPr>
            <w:tcW w:type="dxa" w:w="4680"/>
          </w:tcPr>
          <w:p>
            <w:pPr>
              <w:keepNext/>
              <w:spacing w:after="20"/>
              <w:jc w:val="center"/>
            </w:pPr>
            <w:r>
              <w:drawing>
                <wp:inline xmlns:a="http://schemas.openxmlformats.org/drawingml/2006/main" xmlns:pic="http://schemas.openxmlformats.org/drawingml/2006/picture">
                  <wp:extent cx="2926080" cy="1621393"/>
                  <wp:docPr id="17" name="Picture 17"/>
                  <wp:cNvGraphicFramePr>
                    <a:graphicFrameLocks noChangeAspect="1"/>
                  </wp:cNvGraphicFramePr>
                  <a:graphic>
                    <a:graphicData uri="http://schemas.openxmlformats.org/drawingml/2006/picture">
                      <pic:pic>
                        <pic:nvPicPr>
                          <pic:cNvPr id="0" name="Docker_docker.png"/>
                          <pic:cNvPicPr/>
                        </pic:nvPicPr>
                        <pic:blipFill>
                          <a:blip r:embed="rId28"/>
                          <a:stretch>
                            <a:fillRect/>
                          </a:stretch>
                        </pic:blipFill>
                        <pic:spPr>
                          <a:xfrm>
                            <a:off x="0" y="0"/>
                            <a:ext cx="2926080" cy="1621393"/>
                          </a:xfrm>
                          <a:prstGeom prst="rect"/>
                        </pic:spPr>
                      </pic:pic>
                    </a:graphicData>
                  </a:graphic>
                </wp:inline>
              </w:drawing>
            </w:r>
          </w:p>
        </w:tc>
        <w:tc>
          <w:tcPr>
            <w:tcW w:type="dxa" w:w="4680"/>
          </w:tcPr>
          <w:p>
            <w:pPr>
              <w:keepNext/>
              <w:spacing w:after="20"/>
              <w:jc w:val="center"/>
            </w:pPr>
            <w:r>
              <w:drawing>
                <wp:inline xmlns:a="http://schemas.openxmlformats.org/drawingml/2006/main" xmlns:pic="http://schemas.openxmlformats.org/drawingml/2006/picture">
                  <wp:extent cx="2926080" cy="1621393"/>
                  <wp:docPr id="18" name="Picture 18"/>
                  <wp:cNvGraphicFramePr>
                    <a:graphicFrameLocks noChangeAspect="1"/>
                  </wp:cNvGraphicFramePr>
                  <a:graphic>
                    <a:graphicData uri="http://schemas.openxmlformats.org/drawingml/2006/picture">
                      <pic:pic>
                        <pic:nvPicPr>
                          <pic:cNvPr id="0" name="Docker_docker_api_ping.png"/>
                          <pic:cNvPicPr/>
                        </pic:nvPicPr>
                        <pic:blipFill>
                          <a:blip r:embed="rId29"/>
                          <a:stretch>
                            <a:fillRect/>
                          </a:stretch>
                        </pic:blipFill>
                        <pic:spPr>
                          <a:xfrm>
                            <a:off x="0" y="0"/>
                            <a:ext cx="2926080" cy="1621393"/>
                          </a:xfrm>
                          <a:prstGeom prst="rect"/>
                        </pic:spPr>
                      </pic:pic>
                    </a:graphicData>
                  </a:graphic>
                </wp:inline>
              </w:drawing>
            </w:r>
          </w:p>
        </w:tc>
      </w:tr>
      <w:tr>
        <w:tc>
          <w:tcPr>
            <w:tcW w:type="dxa" w:w="4680"/>
          </w:tcPr>
          <w:p>
            <w:pPr>
              <w:spacing w:after="80"/>
              <w:jc w:val="center"/>
            </w:pPr>
            <w:r>
              <w:rPr>
                <w:i/>
                <w:color w:val="404040"/>
                <w:sz w:val="17"/>
              </w:rPr>
              <w:t>Figure 17. Docker image build and container start.</w:t>
            </w:r>
          </w:p>
        </w:tc>
        <w:tc>
          <w:tcPr>
            <w:tcW w:type="dxa" w:w="4680"/>
          </w:tcPr>
          <w:p>
            <w:pPr>
              <w:spacing w:after="80"/>
              <w:jc w:val="center"/>
            </w:pPr>
            <w:r>
              <w:rPr>
                <w:i/>
                <w:color w:val="404040"/>
                <w:sz w:val="17"/>
              </w:rPr>
              <w:t>Figure 18. Calling /health and /predict on the running container.</w:t>
            </w:r>
          </w:p>
        </w:tc>
      </w:tr>
    </w:tbl>
    <w:p>
      <w:pPr>
        <w:spacing w:after="40"/>
      </w:pPr>
    </w:p>
    <w:p>
      <w:r>
        <w:br w:type="page"/>
      </w:r>
    </w:p>
    <w:p>
      <w:pPr>
        <w:keepNext/>
        <w:spacing w:after="40"/>
        <w:jc w:val="center"/>
      </w:pPr>
      <w:r>
        <w:drawing>
          <wp:inline xmlns:a="http://schemas.openxmlformats.org/drawingml/2006/main" xmlns:pic="http://schemas.openxmlformats.org/drawingml/2006/picture">
            <wp:extent cx="4754880" cy="2640357"/>
            <wp:docPr id="19" name="Picture 19"/>
            <wp:cNvGraphicFramePr>
              <a:graphicFrameLocks noChangeAspect="1"/>
            </wp:cNvGraphicFramePr>
            <a:graphic>
              <a:graphicData uri="http://schemas.openxmlformats.org/drawingml/2006/picture">
                <pic:pic>
                  <pic:nvPicPr>
                    <pic:cNvPr id="0" name="Docker_docker_logs.png"/>
                    <pic:cNvPicPr/>
                  </pic:nvPicPr>
                  <pic:blipFill>
                    <a:blip r:embed="rId30"/>
                    <a:stretch>
                      <a:fillRect/>
                    </a:stretch>
                  </pic:blipFill>
                  <pic:spPr>
                    <a:xfrm>
                      <a:off x="0" y="0"/>
                      <a:ext cx="4754880" cy="2640357"/>
                    </a:xfrm>
                    <a:prstGeom prst="rect"/>
                  </pic:spPr>
                </pic:pic>
              </a:graphicData>
            </a:graphic>
          </wp:inline>
        </w:drawing>
      </w:r>
    </w:p>
    <w:p>
      <w:pPr>
        <w:spacing w:after="160"/>
        <w:jc w:val="center"/>
      </w:pPr>
      <w:r>
        <w:rPr>
          <w:i/>
          <w:color w:val="404040"/>
          <w:sz w:val="18"/>
        </w:rPr>
        <w:t>Figure 19. Container logs showing logged API requests.</w:t>
      </w:r>
    </w:p>
    <w:p>
      <w:pPr>
        <w:pStyle w:val="Heading1"/>
      </w:pPr>
      <w:r>
        <w:t>9. Production deployment on Kubernetes</w:t>
      </w:r>
    </w:p>
    <w:p>
      <w:r>
        <w:rPr>
          <w:i w:val="0"/>
        </w:rPr>
        <w:t>The manifests in k8s/ deploy the image as a Deployment with two replicas, readiness and liveness probes on /health, and CPU and memory requests and limits. A Service of type LoadBalancer exposes port 80 and forwards to container port 8000. The deployment was performed on a kind cluster inside a GitHub Codespace: both pods reached Running 1/1, and the API was verified through a port-forward. kind has no cloud load balancer, so the service shows EXTERNAL-IP as pending; on Docker Desktop, Minikube (with minikube tunnel) or a cloud cluster the same manifest receives an external address.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58"/>
        <w:gridCol w:w="4658"/>
      </w:tblGrid>
      <w:tr>
        <w:tc>
          <w:tcPr>
            <w:tcW w:type="dxa" w:w="4680"/>
          </w:tcPr>
          <w:p>
            <w:pPr>
              <w:keepNext/>
              <w:spacing w:after="20"/>
              <w:jc w:val="center"/>
            </w:pPr>
            <w:r>
              <w:drawing>
                <wp:inline xmlns:a="http://schemas.openxmlformats.org/drawingml/2006/main" xmlns:pic="http://schemas.openxmlformats.org/drawingml/2006/picture">
                  <wp:extent cx="2926080" cy="1626556"/>
                  <wp:docPr id="20" name="Picture 20"/>
                  <wp:cNvGraphicFramePr>
                    <a:graphicFrameLocks noChangeAspect="1"/>
                  </wp:cNvGraphicFramePr>
                  <a:graphic>
                    <a:graphicData uri="http://schemas.openxmlformats.org/drawingml/2006/picture">
                      <pic:pic>
                        <pic:nvPicPr>
                          <pic:cNvPr id="0" name="Kubernetes_Kube_nodes.png"/>
                          <pic:cNvPicPr/>
                        </pic:nvPicPr>
                        <pic:blipFill>
                          <a:blip r:embed="rId31"/>
                          <a:stretch>
                            <a:fillRect/>
                          </a:stretch>
                        </pic:blipFill>
                        <pic:spPr>
                          <a:xfrm>
                            <a:off x="0" y="0"/>
                            <a:ext cx="2926080" cy="1626556"/>
                          </a:xfrm>
                          <a:prstGeom prst="rect"/>
                        </pic:spPr>
                      </pic:pic>
                    </a:graphicData>
                  </a:graphic>
                </wp:inline>
              </w:drawing>
            </w:r>
          </w:p>
        </w:tc>
        <w:tc>
          <w:tcPr>
            <w:tcW w:type="dxa" w:w="4680"/>
          </w:tcPr>
          <w:p>
            <w:pPr>
              <w:keepNext/>
              <w:spacing w:after="20"/>
              <w:jc w:val="center"/>
            </w:pPr>
            <w:r>
              <w:drawing>
                <wp:inline xmlns:a="http://schemas.openxmlformats.org/drawingml/2006/main" xmlns:pic="http://schemas.openxmlformats.org/drawingml/2006/picture">
                  <wp:extent cx="2926080" cy="1619671"/>
                  <wp:docPr id="21" name="Picture 21"/>
                  <wp:cNvGraphicFramePr>
                    <a:graphicFrameLocks noChangeAspect="1"/>
                  </wp:cNvGraphicFramePr>
                  <a:graphic>
                    <a:graphicData uri="http://schemas.openxmlformats.org/drawingml/2006/picture">
                      <pic:pic>
                        <pic:nvPicPr>
                          <pic:cNvPr id="0" name="Kubernetes_kube_api_predict_ping.png"/>
                          <pic:cNvPicPr/>
                        </pic:nvPicPr>
                        <pic:blipFill>
                          <a:blip r:embed="rId32"/>
                          <a:stretch>
                            <a:fillRect/>
                          </a:stretch>
                        </pic:blipFill>
                        <pic:spPr>
                          <a:xfrm>
                            <a:off x="0" y="0"/>
                            <a:ext cx="2926080" cy="1619671"/>
                          </a:xfrm>
                          <a:prstGeom prst="rect"/>
                        </pic:spPr>
                      </pic:pic>
                    </a:graphicData>
                  </a:graphic>
                </wp:inline>
              </w:drawing>
            </w:r>
          </w:p>
        </w:tc>
      </w:tr>
      <w:tr>
        <w:tc>
          <w:tcPr>
            <w:tcW w:type="dxa" w:w="4680"/>
          </w:tcPr>
          <w:p>
            <w:pPr>
              <w:spacing w:after="80"/>
              <w:jc w:val="center"/>
            </w:pPr>
            <w:r>
              <w:rPr>
                <w:i/>
                <w:color w:val="404040"/>
                <w:sz w:val="17"/>
              </w:rPr>
              <w:t>Figure 20. kubectl output: two heart-api pods Running and the LoadBalancer Service.</w:t>
            </w:r>
          </w:p>
        </w:tc>
        <w:tc>
          <w:tcPr>
            <w:tcW w:type="dxa" w:w="4680"/>
          </w:tcPr>
          <w:p>
            <w:pPr>
              <w:spacing w:after="80"/>
              <w:jc w:val="center"/>
            </w:pPr>
            <w:r>
              <w:rPr>
                <w:i/>
                <w:color w:val="404040"/>
                <w:sz w:val="17"/>
              </w:rPr>
              <w:t>Figure 21. Calling /health and /predict on the Kubernetes deployment.</w:t>
            </w:r>
          </w:p>
        </w:tc>
      </w:tr>
    </w:tbl>
    <w:p>
      <w:pPr>
        <w:spacing w:after="40"/>
      </w:pPr>
    </w:p>
    <w:p>
      <w:r>
        <w:br w:type="page"/>
      </w:r>
    </w:p>
    <w:p>
      <w:pPr>
        <w:pStyle w:val="Heading1"/>
      </w:pPr>
      <w:r>
        <w:t>10. Monitoring and logging</w:t>
      </w:r>
    </w:p>
    <w:p>
      <w:r>
        <w:rPr>
          <w:i w:val="0"/>
        </w:rPr>
        <w:t>Every request is logged with method, path, status and latency, and each prediction logs its input and result. The API exposes Prometheus metrics at /metrics: api_requests_total (by path, method and status), api_request_latency_seconds (histogram) and api_predictions_total (by predicted class). Docker Compose starts the API, Prometheus (scraping every 5 seconds) and Grafana, which is provisioned automatically with a Prometheus data source and a Heart Disease API dashboard.</w:t>
      </w:r>
    </w:p>
    <w:tbl>
      <w:tblPr>
        <w:tblStyle w:val="TableGrid"/>
        <w:tblW w:type="auto" w:w="0"/>
        <w:jc w:val="center"/>
        <w:tblLayout w:type="fixed"/>
        <w:tblLook w:firstColumn="1" w:firstRow="1" w:lastColumn="0" w:lastRow="0" w:noHBand="0" w:noVBand="1" w:val="04A0"/>
      </w:tblPr>
      <w:tblGrid>
        <w:gridCol w:w="4658"/>
        <w:gridCol w:w="4658"/>
      </w:tblGrid>
      <w:tr>
        <w:tc>
          <w:tcPr>
            <w:tcW w:type="dxa" w:w="3312"/>
            <w:shd w:val="clear" w:color="auto" w:fill="1F3A5F"/>
          </w:tcPr>
          <w:p>
            <w:r/>
            <w:r>
              <w:rPr>
                <w:b/>
                <w:color w:val="FFFFFF"/>
                <w:sz w:val="19"/>
              </w:rPr>
              <w:t>Dashboard panel</w:t>
            </w:r>
          </w:p>
        </w:tc>
        <w:tc>
          <w:tcPr>
            <w:tcW w:type="dxa" w:w="5976"/>
            <w:shd w:val="clear" w:color="auto" w:fill="1F3A5F"/>
          </w:tcPr>
          <w:p>
            <w:r/>
            <w:r>
              <w:rPr>
                <w:b/>
                <w:color w:val="FFFFFF"/>
                <w:sz w:val="19"/>
              </w:rPr>
              <w:t>Shows</w:t>
            </w:r>
          </w:p>
        </w:tc>
      </w:tr>
      <w:tr>
        <w:tc>
          <w:tcPr>
            <w:tcW w:type="dxa" w:w="3312"/>
          </w:tcPr>
          <w:p>
            <w:pPr>
              <w:spacing w:after="0"/>
            </w:pPr>
            <w:r/>
            <w:r>
              <w:rPr>
                <w:sz w:val="19"/>
              </w:rPr>
              <w:t>Request rate by path</w:t>
            </w:r>
          </w:p>
        </w:tc>
        <w:tc>
          <w:tcPr>
            <w:tcW w:type="dxa" w:w="5976"/>
          </w:tcPr>
          <w:p>
            <w:pPr>
              <w:spacing w:after="0"/>
            </w:pPr>
            <w:r/>
            <w:r>
              <w:rPr>
                <w:sz w:val="19"/>
              </w:rPr>
              <w:t>Traffic to /predict, /health and /metrics</w:t>
            </w:r>
          </w:p>
        </w:tc>
      </w:tr>
      <w:tr>
        <w:tc>
          <w:tcPr>
            <w:tcW w:type="dxa" w:w="3312"/>
            <w:shd w:val="clear" w:color="auto" w:fill="EEF3F9"/>
          </w:tcPr>
          <w:p>
            <w:pPr>
              <w:spacing w:after="0"/>
            </w:pPr>
            <w:r/>
            <w:r>
              <w:rPr>
                <w:sz w:val="19"/>
              </w:rPr>
              <w:t>Requests by status</w:t>
            </w:r>
          </w:p>
        </w:tc>
        <w:tc>
          <w:tcPr>
            <w:tcW w:type="dxa" w:w="5976"/>
            <w:shd w:val="clear" w:color="auto" w:fill="EEF3F9"/>
          </w:tcPr>
          <w:p>
            <w:pPr>
              <w:spacing w:after="0"/>
            </w:pPr>
            <w:r/>
            <w:r>
              <w:rPr>
                <w:sz w:val="19"/>
              </w:rPr>
              <w:t>200 vs 4xx responses (for example, 422 validation errors)</w:t>
            </w:r>
          </w:p>
        </w:tc>
      </w:tr>
      <w:tr>
        <w:tc>
          <w:tcPr>
            <w:tcW w:type="dxa" w:w="3312"/>
          </w:tcPr>
          <w:p>
            <w:pPr>
              <w:spacing w:after="0"/>
            </w:pPr>
            <w:r/>
            <w:r>
              <w:rPr>
                <w:sz w:val="19"/>
              </w:rPr>
              <w:t>p95 latency (/predict)</w:t>
            </w:r>
          </w:p>
        </w:tc>
        <w:tc>
          <w:tcPr>
            <w:tcW w:type="dxa" w:w="5976"/>
          </w:tcPr>
          <w:p>
            <w:pPr>
              <w:spacing w:after="0"/>
            </w:pPr>
            <w:r/>
            <w:r>
              <w:rPr>
                <w:sz w:val="19"/>
              </w:rPr>
              <w:t>95th percentile response time</w:t>
            </w:r>
          </w:p>
        </w:tc>
      </w:tr>
      <w:tr>
        <w:tc>
          <w:tcPr>
            <w:tcW w:type="dxa" w:w="3312"/>
            <w:shd w:val="clear" w:color="auto" w:fill="EEF3F9"/>
          </w:tcPr>
          <w:p>
            <w:pPr>
              <w:spacing w:after="0"/>
            </w:pPr>
            <w:r/>
            <w:r>
              <w:rPr>
                <w:sz w:val="19"/>
              </w:rPr>
              <w:t>Predictions by class</w:t>
            </w:r>
          </w:p>
        </w:tc>
        <w:tc>
          <w:tcPr>
            <w:tcW w:type="dxa" w:w="5976"/>
            <w:shd w:val="clear" w:color="auto" w:fill="EEF3F9"/>
          </w:tcPr>
          <w:p>
            <w:pPr>
              <w:spacing w:after="0"/>
            </w:pPr>
            <w:r/>
            <w:r>
              <w:rPr>
                <w:sz w:val="19"/>
              </w:rPr>
              <w:t>Count of predictions for each class</w:t>
            </w:r>
          </w:p>
        </w:tc>
      </w:tr>
      <w:tr>
        <w:tc>
          <w:tcPr>
            <w:tcW w:type="dxa" w:w="3312"/>
          </w:tcPr>
          <w:p>
            <w:pPr>
              <w:spacing w:after="0"/>
            </w:pPr>
            <w:r/>
            <w:r>
              <w:rPr>
                <w:sz w:val="19"/>
              </w:rPr>
              <w:t>Total requests, error ratio, API up</w:t>
            </w:r>
          </w:p>
        </w:tc>
        <w:tc>
          <w:tcPr>
            <w:tcW w:type="dxa" w:w="5976"/>
          </w:tcPr>
          <w:p>
            <w:pPr>
              <w:spacing w:after="0"/>
            </w:pPr>
            <w:r/>
            <w:r>
              <w:rPr>
                <w:sz w:val="19"/>
              </w:rPr>
              <w:t>Headline health indicators</w:t>
            </w:r>
          </w:p>
        </w:tc>
      </w:tr>
    </w:tbl>
    <w:p>
      <w:pPr>
        <w:spacing w:after="4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58"/>
        <w:gridCol w:w="4658"/>
      </w:tblGrid>
      <w:tr>
        <w:tc>
          <w:tcPr>
            <w:tcW w:type="dxa" w:w="4680"/>
          </w:tcPr>
          <w:p>
            <w:pPr>
              <w:keepNext/>
              <w:spacing w:after="20"/>
              <w:jc w:val="center"/>
            </w:pPr>
            <w:r>
              <w:drawing>
                <wp:inline xmlns:a="http://schemas.openxmlformats.org/drawingml/2006/main" xmlns:pic="http://schemas.openxmlformats.org/drawingml/2006/picture">
                  <wp:extent cx="2926080" cy="1616229"/>
                  <wp:docPr id="22" name="Picture 22"/>
                  <wp:cNvGraphicFramePr>
                    <a:graphicFrameLocks noChangeAspect="1"/>
                  </wp:cNvGraphicFramePr>
                  <a:graphic>
                    <a:graphicData uri="http://schemas.openxmlformats.org/drawingml/2006/picture">
                      <pic:pic>
                        <pic:nvPicPr>
                          <pic:cNvPr id="0" name="Promotheus_promotheus_target_up.png"/>
                          <pic:cNvPicPr/>
                        </pic:nvPicPr>
                        <pic:blipFill>
                          <a:blip r:embed="rId33"/>
                          <a:stretch>
                            <a:fillRect/>
                          </a:stretch>
                        </pic:blipFill>
                        <pic:spPr>
                          <a:xfrm>
                            <a:off x="0" y="0"/>
                            <a:ext cx="2926080" cy="1616229"/>
                          </a:xfrm>
                          <a:prstGeom prst="rect"/>
                        </pic:spPr>
                      </pic:pic>
                    </a:graphicData>
                  </a:graphic>
                </wp:inline>
              </w:drawing>
            </w:r>
          </w:p>
        </w:tc>
        <w:tc>
          <w:tcPr>
            <w:tcW w:type="dxa" w:w="4680"/>
          </w:tcPr>
          <w:p>
            <w:pPr>
              <w:keepNext/>
              <w:spacing w:after="20"/>
              <w:jc w:val="center"/>
            </w:pPr>
            <w:r>
              <w:drawing>
                <wp:inline xmlns:a="http://schemas.openxmlformats.org/drawingml/2006/main" xmlns:pic="http://schemas.openxmlformats.org/drawingml/2006/picture">
                  <wp:extent cx="2926080" cy="1629999"/>
                  <wp:docPr id="23" name="Picture 23"/>
                  <wp:cNvGraphicFramePr>
                    <a:graphicFrameLocks noChangeAspect="1"/>
                  </wp:cNvGraphicFramePr>
                  <a:graphic>
                    <a:graphicData uri="http://schemas.openxmlformats.org/drawingml/2006/picture">
                      <pic:pic>
                        <pic:nvPicPr>
                          <pic:cNvPr id="0" name="Promotheus_promotheus_query.png"/>
                          <pic:cNvPicPr/>
                        </pic:nvPicPr>
                        <pic:blipFill>
                          <a:blip r:embed="rId34"/>
                          <a:stretch>
                            <a:fillRect/>
                          </a:stretch>
                        </pic:blipFill>
                        <pic:spPr>
                          <a:xfrm>
                            <a:off x="0" y="0"/>
                            <a:ext cx="2926080" cy="1629999"/>
                          </a:xfrm>
                          <a:prstGeom prst="rect"/>
                        </pic:spPr>
                      </pic:pic>
                    </a:graphicData>
                  </a:graphic>
                </wp:inline>
              </w:drawing>
            </w:r>
          </w:p>
        </w:tc>
      </w:tr>
      <w:tr>
        <w:tc>
          <w:tcPr>
            <w:tcW w:type="dxa" w:w="4680"/>
          </w:tcPr>
          <w:p>
            <w:pPr>
              <w:spacing w:after="80"/>
              <w:jc w:val="center"/>
            </w:pPr>
            <w:r>
              <w:rPr>
                <w:i/>
                <w:color w:val="404040"/>
                <w:sz w:val="17"/>
              </w:rPr>
              <w:t>Figure 22. Prometheus targets page: heart-api is UP.</w:t>
            </w:r>
          </w:p>
        </w:tc>
        <w:tc>
          <w:tcPr>
            <w:tcW w:type="dxa" w:w="4680"/>
          </w:tcPr>
          <w:p>
            <w:pPr>
              <w:spacing w:after="80"/>
              <w:jc w:val="center"/>
            </w:pPr>
            <w:r>
              <w:rPr>
                <w:i/>
                <w:color w:val="404040"/>
                <w:sz w:val="17"/>
              </w:rPr>
              <w:t>Figure 23. Prometheus query over the exported API metrics.</w:t>
            </w:r>
          </w:p>
        </w:tc>
      </w:tr>
    </w:tbl>
    <w:p>
      <w:pPr>
        <w:spacing w:after="4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58"/>
        <w:gridCol w:w="4658"/>
      </w:tblGrid>
      <w:tr>
        <w:tc>
          <w:tcPr>
            <w:tcW w:type="dxa" w:w="4680"/>
          </w:tcPr>
          <w:p>
            <w:pPr>
              <w:keepNext/>
              <w:spacing w:after="20"/>
              <w:jc w:val="center"/>
            </w:pPr>
            <w:r>
              <w:drawing>
                <wp:inline xmlns:a="http://schemas.openxmlformats.org/drawingml/2006/main" xmlns:pic="http://schemas.openxmlformats.org/drawingml/2006/picture">
                  <wp:extent cx="2926080" cy="1619671"/>
                  <wp:docPr id="24" name="Picture 24"/>
                  <wp:cNvGraphicFramePr>
                    <a:graphicFrameLocks noChangeAspect="1"/>
                  </wp:cNvGraphicFramePr>
                  <a:graphic>
                    <a:graphicData uri="http://schemas.openxmlformats.org/drawingml/2006/picture">
                      <pic:pic>
                        <pic:nvPicPr>
                          <pic:cNvPr id="0" name="Graphana_graphana_1.png"/>
                          <pic:cNvPicPr/>
                        </pic:nvPicPr>
                        <pic:blipFill>
                          <a:blip r:embed="rId35"/>
                          <a:stretch>
                            <a:fillRect/>
                          </a:stretch>
                        </pic:blipFill>
                        <pic:spPr>
                          <a:xfrm>
                            <a:off x="0" y="0"/>
                            <a:ext cx="2926080" cy="1619671"/>
                          </a:xfrm>
                          <a:prstGeom prst="rect"/>
                        </pic:spPr>
                      </pic:pic>
                    </a:graphicData>
                  </a:graphic>
                </wp:inline>
              </w:drawing>
            </w:r>
          </w:p>
        </w:tc>
        <w:tc>
          <w:tcPr>
            <w:tcW w:type="dxa" w:w="4680"/>
          </w:tcPr>
          <w:p>
            <w:pPr>
              <w:keepNext/>
              <w:spacing w:after="20"/>
              <w:jc w:val="center"/>
            </w:pPr>
            <w:r>
              <w:drawing>
                <wp:inline xmlns:a="http://schemas.openxmlformats.org/drawingml/2006/main" xmlns:pic="http://schemas.openxmlformats.org/drawingml/2006/picture">
                  <wp:extent cx="2926080" cy="1623114"/>
                  <wp:docPr id="25" name="Picture 25"/>
                  <wp:cNvGraphicFramePr>
                    <a:graphicFrameLocks noChangeAspect="1"/>
                  </wp:cNvGraphicFramePr>
                  <a:graphic>
                    <a:graphicData uri="http://schemas.openxmlformats.org/drawingml/2006/picture">
                      <pic:pic>
                        <pic:nvPicPr>
                          <pic:cNvPr id="0" name="Graphana_grapahan_2.png"/>
                          <pic:cNvPicPr/>
                        </pic:nvPicPr>
                        <pic:blipFill>
                          <a:blip r:embed="rId36"/>
                          <a:stretch>
                            <a:fillRect/>
                          </a:stretch>
                        </pic:blipFill>
                        <pic:spPr>
                          <a:xfrm>
                            <a:off x="0" y="0"/>
                            <a:ext cx="2926080" cy="1623114"/>
                          </a:xfrm>
                          <a:prstGeom prst="rect"/>
                        </pic:spPr>
                      </pic:pic>
                    </a:graphicData>
                  </a:graphic>
                </wp:inline>
              </w:drawing>
            </w:r>
          </w:p>
        </w:tc>
      </w:tr>
      <w:tr>
        <w:tc>
          <w:tcPr>
            <w:tcW w:type="dxa" w:w="4680"/>
          </w:tcPr>
          <w:p>
            <w:pPr>
              <w:spacing w:after="80"/>
              <w:jc w:val="center"/>
            </w:pPr>
            <w:r>
              <w:rPr>
                <w:i/>
                <w:color w:val="404040"/>
                <w:sz w:val="17"/>
              </w:rPr>
              <w:t>Figure 24. Grafana dashboard: request rate and status panels.</w:t>
            </w:r>
          </w:p>
        </w:tc>
        <w:tc>
          <w:tcPr>
            <w:tcW w:type="dxa" w:w="4680"/>
          </w:tcPr>
          <w:p>
            <w:pPr>
              <w:spacing w:after="80"/>
              <w:jc w:val="center"/>
            </w:pPr>
            <w:r>
              <w:rPr>
                <w:i/>
                <w:color w:val="404040"/>
                <w:sz w:val="17"/>
              </w:rPr>
              <w:t>Figure 25. Grafana dashboard: total requests, 0% error ratio, API up, predictions by class.</w:t>
            </w:r>
          </w:p>
        </w:tc>
      </w:tr>
    </w:tbl>
    <w:p>
      <w:pPr>
        <w:spacing w:after="40"/>
      </w:pPr>
    </w:p>
    <w:p>
      <w:r>
        <w:br w:type="page"/>
      </w:r>
    </w:p>
    <w:p>
      <w:pPr>
        <w:pStyle w:val="Heading1"/>
      </w:pPr>
      <w:r>
        <w:t>11. Requirements coverage and repository structure</w:t>
      </w:r>
    </w:p>
    <w:tbl>
      <w:tblPr>
        <w:tblStyle w:val="TableGrid"/>
        <w:tblW w:type="auto" w:w="0"/>
        <w:jc w:val="center"/>
        <w:tblLayout w:type="fixed"/>
        <w:tblLook w:firstColumn="1" w:firstRow="1" w:lastColumn="0" w:lastRow="0" w:noHBand="0" w:noVBand="1" w:val="04A0"/>
      </w:tblPr>
      <w:tblGrid>
        <w:gridCol w:w="4658"/>
        <w:gridCol w:w="4658"/>
      </w:tblGrid>
      <w:tr>
        <w:tc>
          <w:tcPr>
            <w:tcW w:type="dxa" w:w="3600"/>
            <w:shd w:val="clear" w:color="auto" w:fill="1F3A5F"/>
          </w:tcPr>
          <w:p>
            <w:r/>
            <w:r>
              <w:rPr>
                <w:b/>
                <w:color w:val="FFFFFF"/>
                <w:sz w:val="19"/>
              </w:rPr>
              <w:t>Assignment task</w:t>
            </w:r>
          </w:p>
        </w:tc>
        <w:tc>
          <w:tcPr>
            <w:tcW w:type="dxa" w:w="5688"/>
            <w:shd w:val="clear" w:color="auto" w:fill="1F3A5F"/>
          </w:tcPr>
          <w:p>
            <w:r/>
            <w:r>
              <w:rPr>
                <w:b/>
                <w:color w:val="FFFFFF"/>
                <w:sz w:val="19"/>
              </w:rPr>
              <w:t>Where it is covered</w:t>
            </w:r>
          </w:p>
        </w:tc>
      </w:tr>
      <w:tr>
        <w:tc>
          <w:tcPr>
            <w:tcW w:type="dxa" w:w="3600"/>
          </w:tcPr>
          <w:p>
            <w:pPr>
              <w:spacing w:after="0"/>
            </w:pPr>
            <w:r/>
            <w:r>
              <w:rPr>
                <w:sz w:val="19"/>
              </w:rPr>
              <w:t>1. Data acquisition and EDA</w:t>
            </w:r>
          </w:p>
        </w:tc>
        <w:tc>
          <w:tcPr>
            <w:tcW w:type="dxa" w:w="5688"/>
          </w:tcPr>
          <w:p>
            <w:pPr>
              <w:spacing w:after="0"/>
            </w:pPr>
            <w:r/>
            <w:r>
              <w:rPr>
                <w:sz w:val="19"/>
              </w:rPr>
              <w:t>Section 3; src/data.py, src/eda.py, notebooks/01_eda.ipynb</w:t>
            </w:r>
          </w:p>
        </w:tc>
      </w:tr>
      <w:tr>
        <w:tc>
          <w:tcPr>
            <w:tcW w:type="dxa" w:w="3600"/>
            <w:shd w:val="clear" w:color="auto" w:fill="EEF3F9"/>
          </w:tcPr>
          <w:p>
            <w:pPr>
              <w:spacing w:after="0"/>
            </w:pPr>
            <w:r/>
            <w:r>
              <w:rPr>
                <w:sz w:val="19"/>
              </w:rPr>
              <w:t>2. Feature engineering and models</w:t>
            </w:r>
          </w:p>
        </w:tc>
        <w:tc>
          <w:tcPr>
            <w:tcW w:type="dxa" w:w="5688"/>
            <w:shd w:val="clear" w:color="auto" w:fill="EEF3F9"/>
          </w:tcPr>
          <w:p>
            <w:pPr>
              <w:spacing w:after="0"/>
            </w:pPr>
            <w:r/>
            <w:r>
              <w:rPr>
                <w:sz w:val="19"/>
              </w:rPr>
              <w:t>Section 4; src/features.py, src/train.py</w:t>
            </w:r>
          </w:p>
        </w:tc>
      </w:tr>
      <w:tr>
        <w:tc>
          <w:tcPr>
            <w:tcW w:type="dxa" w:w="3600"/>
          </w:tcPr>
          <w:p>
            <w:pPr>
              <w:spacing w:after="0"/>
            </w:pPr>
            <w:r/>
            <w:r>
              <w:rPr>
                <w:sz w:val="19"/>
              </w:rPr>
              <w:t>3. Experiment tracking</w:t>
            </w:r>
          </w:p>
        </w:tc>
        <w:tc>
          <w:tcPr>
            <w:tcW w:type="dxa" w:w="5688"/>
          </w:tcPr>
          <w:p>
            <w:pPr>
              <w:spacing w:after="0"/>
            </w:pPr>
            <w:r/>
            <w:r>
              <w:rPr>
                <w:sz w:val="19"/>
              </w:rPr>
              <w:t>Section 5; MLflow (mlflow.db), src/train.py</w:t>
            </w:r>
          </w:p>
        </w:tc>
      </w:tr>
      <w:tr>
        <w:tc>
          <w:tcPr>
            <w:tcW w:type="dxa" w:w="3600"/>
            <w:shd w:val="clear" w:color="auto" w:fill="EEF3F9"/>
          </w:tcPr>
          <w:p>
            <w:pPr>
              <w:spacing w:after="0"/>
            </w:pPr>
            <w:r/>
            <w:r>
              <w:rPr>
                <w:sz w:val="19"/>
              </w:rPr>
              <w:t>4. Packaging and reproducibility</w:t>
            </w:r>
          </w:p>
        </w:tc>
        <w:tc>
          <w:tcPr>
            <w:tcW w:type="dxa" w:w="5688"/>
            <w:shd w:val="clear" w:color="auto" w:fill="EEF3F9"/>
          </w:tcPr>
          <w:p>
            <w:pPr>
              <w:spacing w:after="0"/>
            </w:pPr>
            <w:r/>
            <w:r>
              <w:rPr>
                <w:sz w:val="19"/>
              </w:rPr>
              <w:t>Section 6; models/, requirements.txt, requirements-serve.txt</w:t>
            </w:r>
          </w:p>
        </w:tc>
      </w:tr>
      <w:tr>
        <w:tc>
          <w:tcPr>
            <w:tcW w:type="dxa" w:w="3600"/>
          </w:tcPr>
          <w:p>
            <w:pPr>
              <w:spacing w:after="0"/>
            </w:pPr>
            <w:r/>
            <w:r>
              <w:rPr>
                <w:sz w:val="19"/>
              </w:rPr>
              <w:t>5. CI/CD and automated testing</w:t>
            </w:r>
          </w:p>
        </w:tc>
        <w:tc>
          <w:tcPr>
            <w:tcW w:type="dxa" w:w="5688"/>
          </w:tcPr>
          <w:p>
            <w:pPr>
              <w:spacing w:after="0"/>
            </w:pPr>
            <w:r/>
            <w:r>
              <w:rPr>
                <w:sz w:val="19"/>
              </w:rPr>
              <w:t>Section 7; tests/, .github/workflows/ci.yml</w:t>
            </w:r>
          </w:p>
        </w:tc>
      </w:tr>
      <w:tr>
        <w:tc>
          <w:tcPr>
            <w:tcW w:type="dxa" w:w="3600"/>
            <w:shd w:val="clear" w:color="auto" w:fill="EEF3F9"/>
          </w:tcPr>
          <w:p>
            <w:pPr>
              <w:spacing w:after="0"/>
            </w:pPr>
            <w:r/>
            <w:r>
              <w:rPr>
                <w:sz w:val="19"/>
              </w:rPr>
              <w:t>6. Containerisation</w:t>
            </w:r>
          </w:p>
        </w:tc>
        <w:tc>
          <w:tcPr>
            <w:tcW w:type="dxa" w:w="5688"/>
            <w:shd w:val="clear" w:color="auto" w:fill="EEF3F9"/>
          </w:tcPr>
          <w:p>
            <w:pPr>
              <w:spacing w:after="0"/>
            </w:pPr>
            <w:r/>
            <w:r>
              <w:rPr>
                <w:sz w:val="19"/>
              </w:rPr>
              <w:t>Section 8; Dockerfile, app/main.py</w:t>
            </w:r>
          </w:p>
        </w:tc>
      </w:tr>
      <w:tr>
        <w:tc>
          <w:tcPr>
            <w:tcW w:type="dxa" w:w="3600"/>
          </w:tcPr>
          <w:p>
            <w:pPr>
              <w:spacing w:after="0"/>
            </w:pPr>
            <w:r/>
            <w:r>
              <w:rPr>
                <w:sz w:val="19"/>
              </w:rPr>
              <w:t>7. Production deployment</w:t>
            </w:r>
          </w:p>
        </w:tc>
        <w:tc>
          <w:tcPr>
            <w:tcW w:type="dxa" w:w="5688"/>
          </w:tcPr>
          <w:p>
            <w:pPr>
              <w:spacing w:after="0"/>
            </w:pPr>
            <w:r/>
            <w:r>
              <w:rPr>
                <w:sz w:val="19"/>
              </w:rPr>
              <w:t>Section 9; k8s/deployment.yaml, k8s/service.yaml</w:t>
            </w:r>
          </w:p>
        </w:tc>
      </w:tr>
      <w:tr>
        <w:tc>
          <w:tcPr>
            <w:tcW w:type="dxa" w:w="3600"/>
            <w:shd w:val="clear" w:color="auto" w:fill="EEF3F9"/>
          </w:tcPr>
          <w:p>
            <w:pPr>
              <w:spacing w:after="0"/>
            </w:pPr>
            <w:r/>
            <w:r>
              <w:rPr>
                <w:sz w:val="19"/>
              </w:rPr>
              <w:t>8. Monitoring and logging</w:t>
            </w:r>
          </w:p>
        </w:tc>
        <w:tc>
          <w:tcPr>
            <w:tcW w:type="dxa" w:w="5688"/>
            <w:shd w:val="clear" w:color="auto" w:fill="EEF3F9"/>
          </w:tcPr>
          <w:p>
            <w:pPr>
              <w:spacing w:after="0"/>
            </w:pPr>
            <w:r/>
            <w:r>
              <w:rPr>
                <w:sz w:val="19"/>
              </w:rPr>
              <w:t>Section 10; monitoring/, request logging in app/main.py</w:t>
            </w:r>
          </w:p>
        </w:tc>
      </w:tr>
      <w:tr>
        <w:tc>
          <w:tcPr>
            <w:tcW w:type="dxa" w:w="3600"/>
          </w:tcPr>
          <w:p>
            <w:pPr>
              <w:spacing w:after="0"/>
            </w:pPr>
            <w:r/>
            <w:r>
              <w:rPr>
                <w:sz w:val="19"/>
              </w:rPr>
              <w:t>9. Documentation and reporting</w:t>
            </w:r>
          </w:p>
        </w:tc>
        <w:tc>
          <w:tcPr>
            <w:tcW w:type="dxa" w:w="5688"/>
          </w:tcPr>
          <w:p>
            <w:pPr>
              <w:spacing w:after="0"/>
            </w:pPr>
            <w:r/>
            <w:r>
              <w:rPr>
                <w:sz w:val="19"/>
              </w:rPr>
              <w:t>This report; README.md; docs/architecture.png</w:t>
            </w:r>
          </w:p>
        </w:tc>
      </w:tr>
    </w:tbl>
    <w:p>
      <w:pPr>
        <w:spacing w:after="40"/>
      </w:pPr>
    </w:p>
    <w:tbl>
      <w:tblPr>
        <w:tblStyle w:val="TableGrid"/>
        <w:tblW w:type="auto" w:w="0"/>
        <w:jc w:val="center"/>
        <w:tblLayout w:type="fixed"/>
        <w:tblLook w:firstColumn="1" w:firstRow="1" w:lastColumn="0" w:lastRow="0" w:noHBand="0" w:noVBand="1" w:val="04A0"/>
      </w:tblPr>
      <w:tblGrid>
        <w:gridCol w:w="4658"/>
        <w:gridCol w:w="4658"/>
      </w:tblGrid>
      <w:tr>
        <w:tc>
          <w:tcPr>
            <w:tcW w:type="dxa" w:w="3168"/>
            <w:shd w:val="clear" w:color="auto" w:fill="1F3A5F"/>
          </w:tcPr>
          <w:p>
            <w:r/>
            <w:r>
              <w:rPr>
                <w:b/>
                <w:color w:val="FFFFFF"/>
                <w:sz w:val="19"/>
              </w:rPr>
              <w:t>Path</w:t>
            </w:r>
          </w:p>
        </w:tc>
        <w:tc>
          <w:tcPr>
            <w:tcW w:type="dxa" w:w="6120"/>
            <w:shd w:val="clear" w:color="auto" w:fill="1F3A5F"/>
          </w:tcPr>
          <w:p>
            <w:r/>
            <w:r>
              <w:rPr>
                <w:b/>
                <w:color w:val="FFFFFF"/>
                <w:sz w:val="19"/>
              </w:rPr>
              <w:t>Purpose</w:t>
            </w:r>
          </w:p>
        </w:tc>
      </w:tr>
      <w:tr>
        <w:tc>
          <w:tcPr>
            <w:tcW w:type="dxa" w:w="3168"/>
          </w:tcPr>
          <w:p>
            <w:pPr>
              <w:spacing w:after="0"/>
            </w:pPr>
            <w:r/>
            <w:r>
              <w:rPr>
                <w:sz w:val="19"/>
              </w:rPr>
              <w:t>src/</w:t>
            </w:r>
          </w:p>
        </w:tc>
        <w:tc>
          <w:tcPr>
            <w:tcW w:type="dxa" w:w="6120"/>
          </w:tcPr>
          <w:p>
            <w:pPr>
              <w:spacing w:after="0"/>
            </w:pPr>
            <w:r/>
            <w:r>
              <w:rPr>
                <w:sz w:val="19"/>
              </w:rPr>
              <w:t>Data download and cleaning, EDA, features, training, inference</w:t>
            </w:r>
          </w:p>
        </w:tc>
      </w:tr>
      <w:tr>
        <w:tc>
          <w:tcPr>
            <w:tcW w:type="dxa" w:w="3168"/>
            <w:shd w:val="clear" w:color="auto" w:fill="EEF3F9"/>
          </w:tcPr>
          <w:p>
            <w:pPr>
              <w:spacing w:after="0"/>
            </w:pPr>
            <w:r/>
            <w:r>
              <w:rPr>
                <w:sz w:val="19"/>
              </w:rPr>
              <w:t>app/main.py</w:t>
            </w:r>
          </w:p>
        </w:tc>
        <w:tc>
          <w:tcPr>
            <w:tcW w:type="dxa" w:w="6120"/>
            <w:shd w:val="clear" w:color="auto" w:fill="EEF3F9"/>
          </w:tcPr>
          <w:p>
            <w:pPr>
              <w:spacing w:after="0"/>
            </w:pPr>
            <w:r/>
            <w:r>
              <w:rPr>
                <w:sz w:val="19"/>
              </w:rPr>
              <w:t>FastAPI service with metrics and logging</w:t>
            </w:r>
          </w:p>
        </w:tc>
      </w:tr>
      <w:tr>
        <w:tc>
          <w:tcPr>
            <w:tcW w:type="dxa" w:w="3168"/>
          </w:tcPr>
          <w:p>
            <w:pPr>
              <w:spacing w:after="0"/>
            </w:pPr>
            <w:r/>
            <w:r>
              <w:rPr>
                <w:sz w:val="19"/>
              </w:rPr>
              <w:t>tests/</w:t>
            </w:r>
          </w:p>
        </w:tc>
        <w:tc>
          <w:tcPr>
            <w:tcW w:type="dxa" w:w="6120"/>
          </w:tcPr>
          <w:p>
            <w:pPr>
              <w:spacing w:after="0"/>
            </w:pPr>
            <w:r/>
            <w:r>
              <w:rPr>
                <w:sz w:val="19"/>
              </w:rPr>
              <w:t>13 pytest unit tests</w:t>
            </w:r>
          </w:p>
        </w:tc>
      </w:tr>
      <w:tr>
        <w:tc>
          <w:tcPr>
            <w:tcW w:type="dxa" w:w="3168"/>
            <w:shd w:val="clear" w:color="auto" w:fill="EEF3F9"/>
          </w:tcPr>
          <w:p>
            <w:pPr>
              <w:spacing w:after="0"/>
            </w:pPr>
            <w:r/>
            <w:r>
              <w:rPr>
                <w:sz w:val="19"/>
              </w:rPr>
              <w:t>notebooks/</w:t>
            </w:r>
          </w:p>
        </w:tc>
        <w:tc>
          <w:tcPr>
            <w:tcW w:type="dxa" w:w="6120"/>
            <w:shd w:val="clear" w:color="auto" w:fill="EEF3F9"/>
          </w:tcPr>
          <w:p>
            <w:pPr>
              <w:spacing w:after="0"/>
            </w:pPr>
            <w:r/>
            <w:r>
              <w:rPr>
                <w:sz w:val="19"/>
              </w:rPr>
              <w:t>EDA notebook and training/inference notebook</w:t>
            </w:r>
          </w:p>
        </w:tc>
      </w:tr>
      <w:tr>
        <w:tc>
          <w:tcPr>
            <w:tcW w:type="dxa" w:w="3168"/>
          </w:tcPr>
          <w:p>
            <w:pPr>
              <w:spacing w:after="0"/>
            </w:pPr>
            <w:r/>
            <w:r>
              <w:rPr>
                <w:sz w:val="19"/>
              </w:rPr>
              <w:t>.github/workflows/</w:t>
            </w:r>
          </w:p>
        </w:tc>
        <w:tc>
          <w:tcPr>
            <w:tcW w:type="dxa" w:w="6120"/>
          </w:tcPr>
          <w:p>
            <w:pPr>
              <w:spacing w:after="0"/>
            </w:pPr>
            <w:r/>
            <w:r>
              <w:rPr>
                <w:sz w:val="19"/>
              </w:rPr>
              <w:t>CI pipeline (ci.yml) and a manual deployment demo workflow</w:t>
            </w:r>
          </w:p>
        </w:tc>
      </w:tr>
      <w:tr>
        <w:tc>
          <w:tcPr>
            <w:tcW w:type="dxa" w:w="3168"/>
            <w:shd w:val="clear" w:color="auto" w:fill="EEF3F9"/>
          </w:tcPr>
          <w:p>
            <w:pPr>
              <w:spacing w:after="0"/>
            </w:pPr>
            <w:r/>
            <w:r>
              <w:rPr>
                <w:sz w:val="19"/>
              </w:rPr>
              <w:t>Dockerfile, requirements*.txt</w:t>
            </w:r>
          </w:p>
        </w:tc>
        <w:tc>
          <w:tcPr>
            <w:tcW w:type="dxa" w:w="6120"/>
            <w:shd w:val="clear" w:color="auto" w:fill="EEF3F9"/>
          </w:tcPr>
          <w:p>
            <w:pPr>
              <w:spacing w:after="0"/>
            </w:pPr>
            <w:r/>
            <w:r>
              <w:rPr>
                <w:sz w:val="19"/>
              </w:rPr>
              <w:t>Container image and pinned dependencies</w:t>
            </w:r>
          </w:p>
        </w:tc>
      </w:tr>
      <w:tr>
        <w:tc>
          <w:tcPr>
            <w:tcW w:type="dxa" w:w="3168"/>
          </w:tcPr>
          <w:p>
            <w:pPr>
              <w:spacing w:after="0"/>
            </w:pPr>
            <w:r/>
            <w:r>
              <w:rPr>
                <w:sz w:val="19"/>
              </w:rPr>
              <w:t>k8s/, monitoring/</w:t>
            </w:r>
          </w:p>
        </w:tc>
        <w:tc>
          <w:tcPr>
            <w:tcW w:type="dxa" w:w="6120"/>
          </w:tcPr>
          <w:p>
            <w:pPr>
              <w:spacing w:after="0"/>
            </w:pPr>
            <w:r/>
            <w:r>
              <w:rPr>
                <w:sz w:val="19"/>
              </w:rPr>
              <w:t>Kubernetes manifests; Prometheus, Compose and Grafana provisioning</w:t>
            </w:r>
          </w:p>
        </w:tc>
      </w:tr>
      <w:tr>
        <w:tc>
          <w:tcPr>
            <w:tcW w:type="dxa" w:w="3168"/>
            <w:shd w:val="clear" w:color="auto" w:fill="EEF3F9"/>
          </w:tcPr>
          <w:p>
            <w:pPr>
              <w:spacing w:after="0"/>
            </w:pPr>
            <w:r/>
            <w:r>
              <w:rPr>
                <w:sz w:val="19"/>
              </w:rPr>
              <w:t>docs/, report/, screenshots/</w:t>
            </w:r>
          </w:p>
        </w:tc>
        <w:tc>
          <w:tcPr>
            <w:tcW w:type="dxa" w:w="6120"/>
            <w:shd w:val="clear" w:color="auto" w:fill="EEF3F9"/>
          </w:tcPr>
          <w:p>
            <w:pPr>
              <w:spacing w:after="0"/>
            </w:pPr>
            <w:r/>
            <w:r>
              <w:rPr>
                <w:sz w:val="19"/>
              </w:rPr>
              <w:t>Architecture diagram, this report, evidence images</w:t>
            </w:r>
          </w:p>
        </w:tc>
      </w:tr>
    </w:tbl>
    <w:p>
      <w:pPr>
        <w:spacing w:after="40"/>
      </w:pPr>
    </w:p>
    <w:p>
      <w:pPr>
        <w:pStyle w:val="Heading1"/>
      </w:pPr>
      <w:r>
        <w:t>12. Conclusion and future work</w:t>
      </w:r>
    </w:p>
    <w:p>
      <w:r>
        <w:rPr>
          <w:i w:val="0"/>
        </w:rPr>
        <w:t>The project delivers a reproducible path from raw data to a monitored, containerised model: tracked experiments, tested and linted code, a CI pipeline that fails on errors, a Docker image served through FastAPI, a two-replica Kubernetes deployment and a live Grafana dashboard. Natural extensions are a model registry with staged promotion, drift monitoring on inputs and predictions, Helm packaging, automated deployment from CI, and validation on larger multi-site data.</w:t>
      </w:r>
    </w:p>
    <w:p>
      <w:r>
        <w:rPr>
          <w:b/>
        </w:rPr>
        <w:t xml:space="preserve">Code repository: </w:t>
      </w:r>
      <w:hyperlink r:id="rId10">
        <w:r>
          <w:rPr>
            <w:color w:val="0563C1"/>
            <w:u w:val="single"/>
          </w:rPr>
          <w:t>https://github.com/JohanVar05893/heart-disease-monitor-mlops</w:t>
        </w:r>
      </w:hyperlink>
    </w:p>
    <w:p>
      <w:r>
        <w:rPr>
          <w:b/>
        </w:rPr>
        <w:t xml:space="preserve">Pipeline video: </w:t>
      </w:r>
      <w:hyperlink r:id="rId11">
        <w:r>
          <w:rPr>
            <w:color w:val="0563C1"/>
            <w:u w:val="single"/>
          </w:rPr>
          <w:t>https://drive.google.com/file/d/1JQYdvKA8mJlrv3UU5GVnvCiacO9p3CyI/view?usp=drive_link</w:t>
        </w:r>
      </w:hyperlink>
    </w:p>
    <w:sectPr w:rsidR="00FC693F" w:rsidRPr="0006063C" w:rsidSect="00034616">
      <w:footerReference w:type="default" r:id="rId9"/>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Heart Disease MLOps - Assignment 01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JohanVar05893/heart-disease-monitor-mlops" TargetMode="External"/><Relationship Id="rId11" Type="http://schemas.openxmlformats.org/officeDocument/2006/relationships/hyperlink" Target="https://drive.google.com/file/d/1JQYdvKA8mJlrv3UU5GVnvCiacO9p3CyI/view?usp=drive_link"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