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2DD1B" w14:textId="77777777" w:rsidR="00C96089" w:rsidRDefault="002E4645">
      <w:pPr>
        <w:pStyle w:val="Ttulo"/>
      </w:pPr>
      <w:r>
        <w:t>Paso 2 – Frameworks de Gobernanza y Soporte</w:t>
      </w:r>
    </w:p>
    <w:p w14:paraId="51EE03E4" w14:textId="465F306C" w:rsidR="00240107" w:rsidRPr="00240107" w:rsidRDefault="00240107" w:rsidP="00240107">
      <w:pPr>
        <w:spacing w:before="80"/>
        <w:rPr>
          <w:b/>
          <w:bCs/>
          <w:lang w:val="es-CO"/>
        </w:rPr>
      </w:pPr>
      <w:proofErr w:type="spellStart"/>
      <w:r w:rsidRPr="00240107">
        <w:rPr>
          <w:b/>
          <w:bCs/>
          <w:lang w:val="es-CO"/>
        </w:rPr>
        <w:t>Frameworks</w:t>
      </w:r>
      <w:proofErr w:type="spellEnd"/>
      <w:r w:rsidRPr="00240107">
        <w:rPr>
          <w:b/>
          <w:bCs/>
          <w:lang w:val="es-CO"/>
        </w:rPr>
        <w:t xml:space="preserve"> Existentes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70"/>
        <w:gridCol w:w="1862"/>
        <w:gridCol w:w="6464"/>
      </w:tblGrid>
      <w:tr w:rsidR="00240107" w:rsidRPr="00240107" w14:paraId="7F8A04E8" w14:textId="77777777" w:rsidTr="00240107">
        <w:tc>
          <w:tcPr>
            <w:tcW w:w="0" w:type="auto"/>
            <w:hideMark/>
          </w:tcPr>
          <w:p w14:paraId="331835E5" w14:textId="77777777" w:rsidR="00240107" w:rsidRPr="00240107" w:rsidRDefault="00240107" w:rsidP="00240107">
            <w:pPr>
              <w:spacing w:before="80" w:after="200" w:line="276" w:lineRule="auto"/>
              <w:rPr>
                <w:b/>
                <w:bCs/>
                <w:lang w:val="es-CO"/>
              </w:rPr>
            </w:pPr>
            <w:r w:rsidRPr="00240107">
              <w:rPr>
                <w:b/>
                <w:bCs/>
                <w:lang w:val="es-CO"/>
              </w:rPr>
              <w:t>Framework</w:t>
            </w:r>
          </w:p>
        </w:tc>
        <w:tc>
          <w:tcPr>
            <w:tcW w:w="0" w:type="auto"/>
            <w:hideMark/>
          </w:tcPr>
          <w:p w14:paraId="42D85387" w14:textId="77777777" w:rsidR="00240107" w:rsidRPr="00240107" w:rsidRDefault="00240107" w:rsidP="00240107">
            <w:pPr>
              <w:spacing w:before="80" w:after="200" w:line="276" w:lineRule="auto"/>
              <w:rPr>
                <w:b/>
                <w:bCs/>
                <w:lang w:val="es-CO"/>
              </w:rPr>
            </w:pPr>
            <w:r w:rsidRPr="00240107">
              <w:rPr>
                <w:b/>
                <w:bCs/>
                <w:lang w:val="es-CO"/>
              </w:rPr>
              <w:t>Área</w:t>
            </w:r>
          </w:p>
        </w:tc>
        <w:tc>
          <w:tcPr>
            <w:tcW w:w="0" w:type="auto"/>
            <w:hideMark/>
          </w:tcPr>
          <w:p w14:paraId="00094ADF" w14:textId="77777777" w:rsidR="00240107" w:rsidRPr="00240107" w:rsidRDefault="00240107" w:rsidP="00240107">
            <w:pPr>
              <w:spacing w:before="80" w:after="200" w:line="276" w:lineRule="auto"/>
              <w:rPr>
                <w:b/>
                <w:bCs/>
                <w:lang w:val="es-CO"/>
              </w:rPr>
            </w:pPr>
            <w:r w:rsidRPr="00240107">
              <w:rPr>
                <w:b/>
                <w:bCs/>
                <w:lang w:val="es-CO"/>
              </w:rPr>
              <w:t>Descripción</w:t>
            </w:r>
          </w:p>
        </w:tc>
      </w:tr>
      <w:tr w:rsidR="00240107" w:rsidRPr="00240107" w14:paraId="27BB3462" w14:textId="77777777" w:rsidTr="00240107">
        <w:tc>
          <w:tcPr>
            <w:tcW w:w="0" w:type="auto"/>
            <w:hideMark/>
          </w:tcPr>
          <w:p w14:paraId="6CEB2573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Gobierno Corporativo</w:t>
            </w:r>
          </w:p>
        </w:tc>
        <w:tc>
          <w:tcPr>
            <w:tcW w:w="0" w:type="auto"/>
            <w:hideMark/>
          </w:tcPr>
          <w:p w14:paraId="1408AD48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Gerencia / Dirección</w:t>
            </w:r>
          </w:p>
        </w:tc>
        <w:tc>
          <w:tcPr>
            <w:tcW w:w="0" w:type="auto"/>
            <w:hideMark/>
          </w:tcPr>
          <w:p w14:paraId="2BEC6A6A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 xml:space="preserve">Define responsabilidades, niveles de autoridad y mecanismos de toma de decisión entre el Gerente General, el CTO y los responsables de Operaciones y de Servicio al Cliente en </w:t>
            </w:r>
            <w:proofErr w:type="spellStart"/>
            <w:r w:rsidRPr="00240107">
              <w:rPr>
                <w:lang w:val="es-CO"/>
              </w:rPr>
              <w:t>ConectaSU</w:t>
            </w:r>
            <w:proofErr w:type="spellEnd"/>
            <w:r w:rsidRPr="00240107">
              <w:rPr>
                <w:lang w:val="es-CO"/>
              </w:rPr>
              <w:t xml:space="preserve"> S.A.S.</w:t>
            </w:r>
          </w:p>
        </w:tc>
      </w:tr>
      <w:tr w:rsidR="00240107" w:rsidRPr="00240107" w14:paraId="44582048" w14:textId="77777777" w:rsidTr="00240107">
        <w:tc>
          <w:tcPr>
            <w:tcW w:w="0" w:type="auto"/>
            <w:hideMark/>
          </w:tcPr>
          <w:p w14:paraId="53D55F34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Gestión de Riesgos y Cumplimiento</w:t>
            </w:r>
          </w:p>
        </w:tc>
        <w:tc>
          <w:tcPr>
            <w:tcW w:w="0" w:type="auto"/>
            <w:hideMark/>
          </w:tcPr>
          <w:p w14:paraId="3BB2324C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Riesgo / Cumplimiento</w:t>
            </w:r>
          </w:p>
        </w:tc>
        <w:tc>
          <w:tcPr>
            <w:tcW w:w="0" w:type="auto"/>
            <w:hideMark/>
          </w:tcPr>
          <w:p w14:paraId="3E40505F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Establece políticas y controles para gestionar riesgos operativos (fraude en pagos, incumplimiento de entregas), comerciales (deserción de comerciantes) y regulatorios (formalización progresiva) que la arquitectura debe considerar.</w:t>
            </w:r>
          </w:p>
        </w:tc>
      </w:tr>
      <w:tr w:rsidR="00240107" w:rsidRPr="00240107" w14:paraId="3315AF49" w14:textId="77777777" w:rsidTr="00240107">
        <w:tc>
          <w:tcPr>
            <w:tcW w:w="0" w:type="auto"/>
            <w:hideMark/>
          </w:tcPr>
          <w:p w14:paraId="03DB46D9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Gobierno de Datos y Seguridad</w:t>
            </w:r>
          </w:p>
        </w:tc>
        <w:tc>
          <w:tcPr>
            <w:tcW w:w="0" w:type="auto"/>
            <w:hideMark/>
          </w:tcPr>
          <w:p w14:paraId="0E399A66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Datos / Seguridad / Tecnología</w:t>
            </w:r>
          </w:p>
        </w:tc>
        <w:tc>
          <w:tcPr>
            <w:tcW w:w="0" w:type="auto"/>
            <w:hideMark/>
          </w:tcPr>
          <w:p w14:paraId="52E4EAEF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Define lineamientos para el uso, calidad, acceso, protección y trazabilidad de los datos personales de comerciantes y clientes, así como de los datos transaccionales (pedidos, pagos, inventario).</w:t>
            </w:r>
          </w:p>
        </w:tc>
      </w:tr>
    </w:tbl>
    <w:p w14:paraId="6B9A8B65" w14:textId="77777777" w:rsidR="00240107" w:rsidRDefault="00240107" w:rsidP="00240107">
      <w:pPr>
        <w:spacing w:before="80"/>
        <w:rPr>
          <w:b/>
          <w:bCs/>
          <w:lang w:val="es-CO"/>
        </w:rPr>
      </w:pPr>
    </w:p>
    <w:p w14:paraId="61F262E7" w14:textId="5704BB84" w:rsidR="00240107" w:rsidRPr="00240107" w:rsidRDefault="00240107" w:rsidP="00240107">
      <w:pPr>
        <w:spacing w:before="80"/>
        <w:rPr>
          <w:b/>
          <w:bCs/>
          <w:lang w:val="es-CO"/>
        </w:rPr>
      </w:pPr>
      <w:r w:rsidRPr="00240107">
        <w:rPr>
          <w:b/>
          <w:bCs/>
          <w:lang w:val="es-CO"/>
        </w:rPr>
        <w:t>Procesos Relacionados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41"/>
        <w:gridCol w:w="1821"/>
        <w:gridCol w:w="6134"/>
      </w:tblGrid>
      <w:tr w:rsidR="00240107" w:rsidRPr="00240107" w14:paraId="7EC0CC1C" w14:textId="77777777" w:rsidTr="00240107">
        <w:tc>
          <w:tcPr>
            <w:tcW w:w="0" w:type="auto"/>
            <w:hideMark/>
          </w:tcPr>
          <w:p w14:paraId="2AC91A86" w14:textId="77777777" w:rsidR="00240107" w:rsidRPr="00240107" w:rsidRDefault="00240107" w:rsidP="00240107">
            <w:pPr>
              <w:spacing w:before="80" w:after="200" w:line="276" w:lineRule="auto"/>
              <w:rPr>
                <w:b/>
                <w:bCs/>
                <w:lang w:val="es-CO"/>
              </w:rPr>
            </w:pPr>
            <w:r w:rsidRPr="00240107">
              <w:rPr>
                <w:b/>
                <w:bCs/>
                <w:lang w:val="es-CO"/>
              </w:rPr>
              <w:t>Proceso</w:t>
            </w:r>
          </w:p>
        </w:tc>
        <w:tc>
          <w:tcPr>
            <w:tcW w:w="0" w:type="auto"/>
            <w:hideMark/>
          </w:tcPr>
          <w:p w14:paraId="000B6206" w14:textId="77777777" w:rsidR="00240107" w:rsidRPr="00240107" w:rsidRDefault="00240107" w:rsidP="00240107">
            <w:pPr>
              <w:spacing w:before="80" w:after="200" w:line="276" w:lineRule="auto"/>
              <w:rPr>
                <w:b/>
                <w:bCs/>
                <w:lang w:val="es-CO"/>
              </w:rPr>
            </w:pPr>
            <w:r w:rsidRPr="00240107">
              <w:rPr>
                <w:b/>
                <w:bCs/>
                <w:lang w:val="es-CO"/>
              </w:rPr>
              <w:t>Área Responsable</w:t>
            </w:r>
          </w:p>
        </w:tc>
        <w:tc>
          <w:tcPr>
            <w:tcW w:w="0" w:type="auto"/>
            <w:hideMark/>
          </w:tcPr>
          <w:p w14:paraId="4FBC1D67" w14:textId="77777777" w:rsidR="00240107" w:rsidRPr="00240107" w:rsidRDefault="00240107" w:rsidP="00240107">
            <w:pPr>
              <w:spacing w:before="80" w:after="200" w:line="276" w:lineRule="auto"/>
              <w:rPr>
                <w:b/>
                <w:bCs/>
                <w:lang w:val="es-CO"/>
              </w:rPr>
            </w:pPr>
            <w:r w:rsidRPr="00240107">
              <w:rPr>
                <w:b/>
                <w:bCs/>
                <w:lang w:val="es-CO"/>
              </w:rPr>
              <w:t>Relación con EA</w:t>
            </w:r>
          </w:p>
        </w:tc>
      </w:tr>
      <w:tr w:rsidR="00240107" w:rsidRPr="00240107" w14:paraId="5EE16102" w14:textId="77777777" w:rsidTr="00240107">
        <w:tc>
          <w:tcPr>
            <w:tcW w:w="0" w:type="auto"/>
            <w:hideMark/>
          </w:tcPr>
          <w:p w14:paraId="456357E4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 xml:space="preserve">Vinculación y </w:t>
            </w:r>
            <w:proofErr w:type="spellStart"/>
            <w:r w:rsidRPr="00240107">
              <w:rPr>
                <w:lang w:val="es-CO"/>
              </w:rPr>
              <w:t>onboarding</w:t>
            </w:r>
            <w:proofErr w:type="spellEnd"/>
            <w:r w:rsidRPr="00240107">
              <w:rPr>
                <w:lang w:val="es-CO"/>
              </w:rPr>
              <w:t xml:space="preserve"> de comerciantes</w:t>
            </w:r>
          </w:p>
        </w:tc>
        <w:tc>
          <w:tcPr>
            <w:tcW w:w="0" w:type="auto"/>
            <w:hideMark/>
          </w:tcPr>
          <w:p w14:paraId="0F2F9A47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Comercial / Vinculación</w:t>
            </w:r>
          </w:p>
        </w:tc>
        <w:tc>
          <w:tcPr>
            <w:tcW w:w="0" w:type="auto"/>
            <w:hideMark/>
          </w:tcPr>
          <w:p w14:paraId="303E3E1B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Proceso principal que la arquitectura debe soportar y agilizar para alcanzar la meta de 500 comerciantes vinculados en el primer año.</w:t>
            </w:r>
          </w:p>
        </w:tc>
      </w:tr>
      <w:tr w:rsidR="00240107" w:rsidRPr="00240107" w14:paraId="733584D2" w14:textId="77777777" w:rsidTr="00240107">
        <w:tc>
          <w:tcPr>
            <w:tcW w:w="0" w:type="auto"/>
            <w:hideMark/>
          </w:tcPr>
          <w:p w14:paraId="07536358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Gestión de catálogo, pedidos y pagos</w:t>
            </w:r>
          </w:p>
        </w:tc>
        <w:tc>
          <w:tcPr>
            <w:tcW w:w="0" w:type="auto"/>
            <w:hideMark/>
          </w:tcPr>
          <w:p w14:paraId="2516E3BD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Tecnología / Operaciones</w:t>
            </w:r>
          </w:p>
        </w:tc>
        <w:tc>
          <w:tcPr>
            <w:tcW w:w="0" w:type="auto"/>
            <w:hideMark/>
          </w:tcPr>
          <w:p w14:paraId="7A2B890C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Proceso central del negocio: integra la promoción de productos, la recepción de pedidos y el procesamiento de pagos electrónicos en un solo flujo.</w:t>
            </w:r>
          </w:p>
        </w:tc>
      </w:tr>
      <w:tr w:rsidR="00240107" w:rsidRPr="00240107" w14:paraId="4164CAA0" w14:textId="77777777" w:rsidTr="00240107">
        <w:tc>
          <w:tcPr>
            <w:tcW w:w="0" w:type="auto"/>
            <w:hideMark/>
          </w:tcPr>
          <w:p w14:paraId="6735690B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Coordinación de domicilios</w:t>
            </w:r>
          </w:p>
        </w:tc>
        <w:tc>
          <w:tcPr>
            <w:tcW w:w="0" w:type="auto"/>
            <w:hideMark/>
          </w:tcPr>
          <w:p w14:paraId="070BB579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Operaciones / Logística</w:t>
            </w:r>
          </w:p>
        </w:tc>
        <w:tc>
          <w:tcPr>
            <w:tcW w:w="0" w:type="auto"/>
            <w:hideMark/>
          </w:tcPr>
          <w:p w14:paraId="673D9AB4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Comprende la asignación, seguimiento y entrega de pedidos; ciclo operativo que la arquitectura debe habilitar para sostener la promesa de valor de entregas rápidas.</w:t>
            </w:r>
          </w:p>
        </w:tc>
      </w:tr>
      <w:tr w:rsidR="00240107" w:rsidRPr="00240107" w14:paraId="3910A36F" w14:textId="77777777" w:rsidTr="00240107">
        <w:tc>
          <w:tcPr>
            <w:tcW w:w="0" w:type="auto"/>
            <w:hideMark/>
          </w:tcPr>
          <w:p w14:paraId="52BE30CB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Analítica y reporte de datos comerciales</w:t>
            </w:r>
          </w:p>
        </w:tc>
        <w:tc>
          <w:tcPr>
            <w:tcW w:w="0" w:type="auto"/>
            <w:hideMark/>
          </w:tcPr>
          <w:p w14:paraId="6562BF53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Datos / Tecnología</w:t>
            </w:r>
          </w:p>
        </w:tc>
        <w:tc>
          <w:tcPr>
            <w:tcW w:w="0" w:type="auto"/>
            <w:hideMark/>
          </w:tcPr>
          <w:p w14:paraId="1852BC5B" w14:textId="77777777" w:rsidR="00240107" w:rsidRPr="00240107" w:rsidRDefault="00240107" w:rsidP="00240107">
            <w:pPr>
              <w:spacing w:before="80" w:after="200" w:line="276" w:lineRule="auto"/>
              <w:rPr>
                <w:lang w:val="es-CO"/>
              </w:rPr>
            </w:pPr>
            <w:r w:rsidRPr="00240107">
              <w:rPr>
                <w:lang w:val="es-CO"/>
              </w:rPr>
              <w:t>Proporciona la información consolidada de ventas, inventario y clientes necesaria para la toma de decisiones y el camino de formalización de los comerciantes.</w:t>
            </w:r>
          </w:p>
        </w:tc>
      </w:tr>
    </w:tbl>
    <w:p w14:paraId="4E5AB1E4" w14:textId="77777777" w:rsidR="00240107" w:rsidRPr="00240107" w:rsidRDefault="00240107" w:rsidP="00240107">
      <w:pPr>
        <w:spacing w:before="80"/>
        <w:rPr>
          <w:lang w:val="es-CO"/>
        </w:rPr>
      </w:pPr>
      <w:r w:rsidRPr="00240107">
        <w:rPr>
          <w:b/>
          <w:bCs/>
          <w:i/>
          <w:iCs/>
          <w:lang w:val="es-CO"/>
        </w:rPr>
        <w:t>Nota:</w:t>
      </w:r>
      <w:r w:rsidRPr="00240107">
        <w:rPr>
          <w:i/>
          <w:iCs/>
          <w:lang w:val="es-CO"/>
        </w:rPr>
        <w:t xml:space="preserve"> en esta etapa se identifican los marcos de gobierno y procesos existentes que condicionan la Arquitectura Empresarial de </w:t>
      </w:r>
      <w:proofErr w:type="spellStart"/>
      <w:r w:rsidRPr="00240107">
        <w:rPr>
          <w:i/>
          <w:iCs/>
          <w:lang w:val="es-CO"/>
        </w:rPr>
        <w:t>ConectaSU</w:t>
      </w:r>
      <w:proofErr w:type="spellEnd"/>
      <w:r w:rsidRPr="00240107">
        <w:rPr>
          <w:i/>
          <w:iCs/>
          <w:lang w:val="es-CO"/>
        </w:rPr>
        <w:t>; aún no se seleccionan tecnologías específicas.</w:t>
      </w:r>
    </w:p>
    <w:p w14:paraId="3E2E2A99" w14:textId="7EAAB9FF" w:rsidR="00C96089" w:rsidRDefault="00C96089">
      <w:pPr>
        <w:spacing w:before="80"/>
      </w:pPr>
    </w:p>
    <w:sectPr w:rsidR="00C9608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2265384">
    <w:abstractNumId w:val="8"/>
  </w:num>
  <w:num w:numId="2" w16cid:durableId="1362128432">
    <w:abstractNumId w:val="6"/>
  </w:num>
  <w:num w:numId="3" w16cid:durableId="1655601768">
    <w:abstractNumId w:val="5"/>
  </w:num>
  <w:num w:numId="4" w16cid:durableId="1805655559">
    <w:abstractNumId w:val="4"/>
  </w:num>
  <w:num w:numId="5" w16cid:durableId="150759957">
    <w:abstractNumId w:val="7"/>
  </w:num>
  <w:num w:numId="6" w16cid:durableId="1222249782">
    <w:abstractNumId w:val="3"/>
  </w:num>
  <w:num w:numId="7" w16cid:durableId="1816876468">
    <w:abstractNumId w:val="2"/>
  </w:num>
  <w:num w:numId="8" w16cid:durableId="444272498">
    <w:abstractNumId w:val="1"/>
  </w:num>
  <w:num w:numId="9" w16cid:durableId="76024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0107"/>
    <w:rsid w:val="0029639D"/>
    <w:rsid w:val="002E4645"/>
    <w:rsid w:val="00326F90"/>
    <w:rsid w:val="00AA1D8D"/>
    <w:rsid w:val="00B0462C"/>
    <w:rsid w:val="00B47730"/>
    <w:rsid w:val="00C9608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4C80A2E1-526F-4B38-816F-F7BB2B3BE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303</Words>
  <Characters>1671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Johan Manuel Benitez Yaruro</cp:lastModifiedBy>
  <cp:revision>2</cp:revision>
  <dcterms:created xsi:type="dcterms:W3CDTF">2013-12-23T23:15:00Z</dcterms:created>
  <dcterms:modified xsi:type="dcterms:W3CDTF">2026-09-25T02:32:00Z</dcterms:modified>
  <cp:category/>
</cp:coreProperties>
</file>