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69DD" w14:textId="77777777" w:rsidR="00403BC4" w:rsidRDefault="00F22DEF">
      <w:pPr>
        <w:pStyle w:val="Ttulo"/>
        <w:rPr>
          <w:lang w:val="es-CO"/>
        </w:rPr>
      </w:pPr>
      <w:r w:rsidRPr="00D50EA2">
        <w:rPr>
          <w:lang w:val="es-CO"/>
        </w:rPr>
        <w:t>Paso 4 – Identificar y Establecer Principios de Arquitectura (Caso Fintech B2C)</w:t>
      </w:r>
    </w:p>
    <w:p w14:paraId="720D782E" w14:textId="77777777" w:rsidR="00A93A0E" w:rsidRPr="00A93A0E" w:rsidRDefault="00A93A0E" w:rsidP="00A93A0E">
      <w:pPr>
        <w:rPr>
          <w:b/>
          <w:bCs/>
          <w:lang w:val="es-CO"/>
        </w:rPr>
      </w:pPr>
      <w:r w:rsidRPr="00A93A0E">
        <w:rPr>
          <w:b/>
          <w:bCs/>
          <w:lang w:val="es-CO"/>
        </w:rPr>
        <w:t>Descripción</w:t>
      </w:r>
    </w:p>
    <w:p w14:paraId="09C87426" w14:textId="77777777" w:rsidR="00A93A0E" w:rsidRPr="00A93A0E" w:rsidRDefault="00A93A0E" w:rsidP="00A93A0E">
      <w:pPr>
        <w:rPr>
          <w:lang w:val="es-CO"/>
        </w:rPr>
      </w:pPr>
      <w:r w:rsidRPr="00A93A0E">
        <w:rPr>
          <w:lang w:val="es-CO"/>
        </w:rPr>
        <w:t xml:space="preserve">En esta etapa se definen los principios de arquitectura que guiarán todas las decisiones de diseño de la plataforma de </w:t>
      </w:r>
      <w:proofErr w:type="spellStart"/>
      <w:r w:rsidRPr="00A93A0E">
        <w:rPr>
          <w:lang w:val="es-CO"/>
        </w:rPr>
        <w:t>ConectaSU</w:t>
      </w:r>
      <w:proofErr w:type="spellEnd"/>
      <w:r w:rsidRPr="00A93A0E">
        <w:rPr>
          <w:lang w:val="es-CO"/>
        </w:rPr>
        <w:t>. Los principios establecen reglas y lineamientos que deben respetarse durante el desarrollo, implementación y evolución de la arquitectura, en línea con la estrategia de diferenciación por nicho definida en el Taller 1.</w:t>
      </w:r>
    </w:p>
    <w:p w14:paraId="6A1C9DF5" w14:textId="77777777" w:rsidR="00A93A0E" w:rsidRPr="00A93A0E" w:rsidRDefault="00A93A0E" w:rsidP="00A93A0E">
      <w:pPr>
        <w:rPr>
          <w:b/>
          <w:bCs/>
          <w:lang w:val="es-CO"/>
        </w:rPr>
      </w:pPr>
      <w:r w:rsidRPr="00A93A0E">
        <w:rPr>
          <w:b/>
          <w:bCs/>
          <w:lang w:val="es-CO"/>
        </w:rPr>
        <w:t>Catálogo de Principios de Arquitectura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2"/>
        <w:gridCol w:w="2151"/>
        <w:gridCol w:w="2111"/>
        <w:gridCol w:w="2592"/>
      </w:tblGrid>
      <w:tr w:rsidR="00A93A0E" w:rsidRPr="00A93A0E" w14:paraId="33C80ED7" w14:textId="77777777" w:rsidTr="00A93A0E">
        <w:tc>
          <w:tcPr>
            <w:tcW w:w="0" w:type="auto"/>
            <w:hideMark/>
          </w:tcPr>
          <w:p w14:paraId="66E4BD22" w14:textId="77777777" w:rsidR="00A93A0E" w:rsidRPr="00A93A0E" w:rsidRDefault="00A93A0E" w:rsidP="00A93A0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93A0E">
              <w:rPr>
                <w:b/>
                <w:bCs/>
                <w:lang w:val="es-CO"/>
              </w:rPr>
              <w:t>Nombre del Principio</w:t>
            </w:r>
          </w:p>
        </w:tc>
        <w:tc>
          <w:tcPr>
            <w:tcW w:w="0" w:type="auto"/>
            <w:hideMark/>
          </w:tcPr>
          <w:p w14:paraId="7038A83A" w14:textId="77777777" w:rsidR="00A93A0E" w:rsidRPr="00A93A0E" w:rsidRDefault="00A93A0E" w:rsidP="00A93A0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93A0E">
              <w:rPr>
                <w:b/>
                <w:bCs/>
                <w:lang w:val="es-CO"/>
              </w:rPr>
              <w:t>Declaración</w:t>
            </w:r>
          </w:p>
        </w:tc>
        <w:tc>
          <w:tcPr>
            <w:tcW w:w="0" w:type="auto"/>
            <w:hideMark/>
          </w:tcPr>
          <w:p w14:paraId="489AA1F8" w14:textId="77777777" w:rsidR="00A93A0E" w:rsidRPr="00A93A0E" w:rsidRDefault="00A93A0E" w:rsidP="00A93A0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93A0E">
              <w:rPr>
                <w:b/>
                <w:bCs/>
                <w:lang w:val="es-CO"/>
              </w:rPr>
              <w:t>Justificación</w:t>
            </w:r>
          </w:p>
        </w:tc>
        <w:tc>
          <w:tcPr>
            <w:tcW w:w="0" w:type="auto"/>
            <w:hideMark/>
          </w:tcPr>
          <w:p w14:paraId="6F448C52" w14:textId="77777777" w:rsidR="00A93A0E" w:rsidRPr="00A93A0E" w:rsidRDefault="00A93A0E" w:rsidP="00A93A0E">
            <w:pPr>
              <w:spacing w:after="200" w:line="276" w:lineRule="auto"/>
              <w:rPr>
                <w:b/>
                <w:bCs/>
                <w:lang w:val="es-CO"/>
              </w:rPr>
            </w:pPr>
            <w:r w:rsidRPr="00A93A0E">
              <w:rPr>
                <w:b/>
                <w:bCs/>
                <w:lang w:val="es-CO"/>
              </w:rPr>
              <w:t>Implicaciones</w:t>
            </w:r>
          </w:p>
        </w:tc>
      </w:tr>
      <w:tr w:rsidR="00A93A0E" w:rsidRPr="00A93A0E" w14:paraId="440775AC" w14:textId="77777777" w:rsidTr="00A93A0E">
        <w:tc>
          <w:tcPr>
            <w:tcW w:w="0" w:type="auto"/>
            <w:hideMark/>
          </w:tcPr>
          <w:p w14:paraId="1CEE1B0F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Interoperabilidad con canales existentes</w:t>
            </w:r>
          </w:p>
        </w:tc>
        <w:tc>
          <w:tcPr>
            <w:tcW w:w="0" w:type="auto"/>
            <w:hideMark/>
          </w:tcPr>
          <w:p w14:paraId="7590D6D4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plataforma debe integrarse con los canales digitales que ya usan los comerciantes (WhatsApp, redes sociales, pasarelas de pago).</w:t>
            </w:r>
          </w:p>
        </w:tc>
        <w:tc>
          <w:tcPr>
            <w:tcW w:w="0" w:type="auto"/>
            <w:hideMark/>
          </w:tcPr>
          <w:p w14:paraId="508E6EB0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 xml:space="preserve">El factor diferenciador de </w:t>
            </w:r>
            <w:proofErr w:type="spellStart"/>
            <w:r w:rsidRPr="00A93A0E">
              <w:rPr>
                <w:lang w:val="es-CO"/>
              </w:rPr>
              <w:t>ConectaSU</w:t>
            </w:r>
            <w:proofErr w:type="spellEnd"/>
            <w:r w:rsidRPr="00A93A0E">
              <w:rPr>
                <w:lang w:val="es-CO"/>
              </w:rPr>
              <w:t xml:space="preserve"> es no reemplazar, sino integrar las herramientas que el comerciante informal ya adoptó.</w:t>
            </w:r>
          </w:p>
        </w:tc>
        <w:tc>
          <w:tcPr>
            <w:tcW w:w="0" w:type="auto"/>
            <w:hideMark/>
          </w:tcPr>
          <w:p w14:paraId="03393088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 xml:space="preserve">La arquitectura debe incluir </w:t>
            </w:r>
            <w:proofErr w:type="spellStart"/>
            <w:r w:rsidRPr="00A93A0E">
              <w:rPr>
                <w:lang w:val="es-CO"/>
              </w:rPr>
              <w:t>APIs</w:t>
            </w:r>
            <w:proofErr w:type="spellEnd"/>
            <w:r w:rsidRPr="00A93A0E">
              <w:rPr>
                <w:lang w:val="es-CO"/>
              </w:rPr>
              <w:t xml:space="preserve"> de integración con WhatsApp Business, redes sociales y pasarelas de pago electrónico.</w:t>
            </w:r>
          </w:p>
        </w:tc>
      </w:tr>
      <w:tr w:rsidR="00A93A0E" w:rsidRPr="00A93A0E" w14:paraId="0B377C5E" w14:textId="77777777" w:rsidTr="00A93A0E">
        <w:tc>
          <w:tcPr>
            <w:tcW w:w="0" w:type="auto"/>
            <w:hideMark/>
          </w:tcPr>
          <w:p w14:paraId="6D3A1E07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Bajo costo operativo y de entrada</w:t>
            </w:r>
          </w:p>
        </w:tc>
        <w:tc>
          <w:tcPr>
            <w:tcW w:w="0" w:type="auto"/>
            <w:hideMark/>
          </w:tcPr>
          <w:p w14:paraId="699EDB84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arquitectura debe minimizar los costos de infraestructura y de adopción para el comerciante.</w:t>
            </w:r>
          </w:p>
        </w:tc>
        <w:tc>
          <w:tcPr>
            <w:tcW w:w="0" w:type="auto"/>
            <w:hideMark/>
          </w:tcPr>
          <w:p w14:paraId="0E58433A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ventaja competitiva se basa en comisiones más bajas que las plataformas nacionales; una arquitectura costosa erosiona ese margen.</w:t>
            </w:r>
          </w:p>
        </w:tc>
        <w:tc>
          <w:tcPr>
            <w:tcW w:w="0" w:type="auto"/>
            <w:hideMark/>
          </w:tcPr>
          <w:p w14:paraId="6B17CD9A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 xml:space="preserve">Se deben priorizar soluciones </w:t>
            </w:r>
            <w:proofErr w:type="spellStart"/>
            <w:r w:rsidRPr="00A93A0E">
              <w:rPr>
                <w:lang w:val="es-CO"/>
              </w:rPr>
              <w:t>cloud</w:t>
            </w:r>
            <w:proofErr w:type="spellEnd"/>
            <w:r w:rsidRPr="00A93A0E">
              <w:rPr>
                <w:lang w:val="es-CO"/>
              </w:rPr>
              <w:t xml:space="preserve"> de pago por uso y componentes reutilizables en lugar de infraestructura sobredimensionada.</w:t>
            </w:r>
          </w:p>
        </w:tc>
      </w:tr>
      <w:tr w:rsidR="00A93A0E" w:rsidRPr="00A93A0E" w14:paraId="4E6BD583" w14:textId="77777777" w:rsidTr="00A93A0E">
        <w:tc>
          <w:tcPr>
            <w:tcW w:w="0" w:type="auto"/>
            <w:hideMark/>
          </w:tcPr>
          <w:p w14:paraId="6AAAD985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Simplicidad de uso</w:t>
            </w:r>
          </w:p>
        </w:tc>
        <w:tc>
          <w:tcPr>
            <w:tcW w:w="0" w:type="auto"/>
            <w:hideMark/>
          </w:tcPr>
          <w:p w14:paraId="3767A613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Las interfaces y flujos deben ser simples, pensados para usuarios con poca alfabetización digital formal.</w:t>
            </w:r>
          </w:p>
        </w:tc>
        <w:tc>
          <w:tcPr>
            <w:tcW w:w="0" w:type="auto"/>
            <w:hideMark/>
          </w:tcPr>
          <w:p w14:paraId="1E5AE9D1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 xml:space="preserve">El 96,4 % de los micronegocios son de trabajadores por cuenta propia, sin equipos técnicos ni formación en </w:t>
            </w:r>
            <w:r w:rsidRPr="00A93A0E">
              <w:rPr>
                <w:lang w:val="es-CO"/>
              </w:rPr>
              <w:lastRenderedPageBreak/>
              <w:t>herramientas complejas.</w:t>
            </w:r>
          </w:p>
        </w:tc>
        <w:tc>
          <w:tcPr>
            <w:tcW w:w="0" w:type="auto"/>
            <w:hideMark/>
          </w:tcPr>
          <w:p w14:paraId="20C8B245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lastRenderedPageBreak/>
              <w:t>El diseño de UX/UI y los reportes de analítica deben priorizar la claridad sobre la sofisticación funcional.</w:t>
            </w:r>
          </w:p>
        </w:tc>
      </w:tr>
      <w:tr w:rsidR="00A93A0E" w:rsidRPr="00A93A0E" w14:paraId="00E52C87" w14:textId="77777777" w:rsidTr="00A93A0E">
        <w:tc>
          <w:tcPr>
            <w:tcW w:w="0" w:type="auto"/>
            <w:hideMark/>
          </w:tcPr>
          <w:p w14:paraId="19EAD144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Escalabilidad progresiva</w:t>
            </w:r>
          </w:p>
        </w:tc>
        <w:tc>
          <w:tcPr>
            <w:tcW w:w="0" w:type="auto"/>
            <w:hideMark/>
          </w:tcPr>
          <w:p w14:paraId="606AECE7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arquitectura debe permitir crecer de forma gradual, desde el comercio de Sincelejo hacia la región Caribe.</w:t>
            </w:r>
          </w:p>
        </w:tc>
        <w:tc>
          <w:tcPr>
            <w:tcW w:w="0" w:type="auto"/>
            <w:hideMark/>
          </w:tcPr>
          <w:p w14:paraId="010F3389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visión de la empresa proyecta expansión regional para 2030, partiendo de una meta inicial de 500 comerciantes.</w:t>
            </w:r>
          </w:p>
        </w:tc>
        <w:tc>
          <w:tcPr>
            <w:tcW w:w="0" w:type="auto"/>
            <w:hideMark/>
          </w:tcPr>
          <w:p w14:paraId="3F38CB89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Se deben usar arquitecturas modulares y servicios que puedan escalar sin rediseño completo del sistema.</w:t>
            </w:r>
          </w:p>
        </w:tc>
      </w:tr>
      <w:tr w:rsidR="00A93A0E" w:rsidRPr="00A93A0E" w14:paraId="6DBC180F" w14:textId="77777777" w:rsidTr="00A93A0E">
        <w:tc>
          <w:tcPr>
            <w:tcW w:w="0" w:type="auto"/>
            <w:hideMark/>
          </w:tcPr>
          <w:p w14:paraId="72E9E93E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Confiabilidad en pagos y transacciones</w:t>
            </w:r>
          </w:p>
        </w:tc>
        <w:tc>
          <w:tcPr>
            <w:tcW w:w="0" w:type="auto"/>
            <w:hideMark/>
          </w:tcPr>
          <w:p w14:paraId="12A5E431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El sistema debe garantizar el registro, verificación y conciliación correcta de cada pago.</w:t>
            </w:r>
          </w:p>
        </w:tc>
        <w:tc>
          <w:tcPr>
            <w:tcW w:w="0" w:type="auto"/>
            <w:hideMark/>
          </w:tcPr>
          <w:p w14:paraId="012FE3C7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dificultad actual para verificar pagos es uno de los problemas centrales que la plataforma busca resolver.</w:t>
            </w:r>
          </w:p>
        </w:tc>
        <w:tc>
          <w:tcPr>
            <w:tcW w:w="0" w:type="auto"/>
            <w:hideMark/>
          </w:tcPr>
          <w:p w14:paraId="2541F0B5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La arquitectura debe incluir mecanismos de conciliación automática, trazabilidad y manejo de errores en las transacciones.</w:t>
            </w:r>
          </w:p>
        </w:tc>
      </w:tr>
      <w:tr w:rsidR="00A93A0E" w:rsidRPr="00A93A0E" w14:paraId="0E0839F0" w14:textId="77777777" w:rsidTr="00A93A0E">
        <w:tc>
          <w:tcPr>
            <w:tcW w:w="0" w:type="auto"/>
            <w:hideMark/>
          </w:tcPr>
          <w:p w14:paraId="63F3E7A7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Protección de datos personales y comerciales</w:t>
            </w:r>
          </w:p>
        </w:tc>
        <w:tc>
          <w:tcPr>
            <w:tcW w:w="0" w:type="auto"/>
            <w:hideMark/>
          </w:tcPr>
          <w:p w14:paraId="1F0ADEFE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El sistema debe proteger los datos de comerciantes y clientes conforme a la normativa vigente.</w:t>
            </w:r>
          </w:p>
        </w:tc>
        <w:tc>
          <w:tcPr>
            <w:tcW w:w="0" w:type="auto"/>
            <w:hideMark/>
          </w:tcPr>
          <w:p w14:paraId="7F196A45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proofErr w:type="spellStart"/>
            <w:r w:rsidRPr="00A93A0E">
              <w:rPr>
                <w:lang w:val="es-CO"/>
              </w:rPr>
              <w:t>ConectaSU</w:t>
            </w:r>
            <w:proofErr w:type="spellEnd"/>
            <w:r w:rsidRPr="00A93A0E">
              <w:rPr>
                <w:lang w:val="es-CO"/>
              </w:rPr>
              <w:t xml:space="preserve"> maneja información personal y transaccional sujeta a la Ley 1581 de 2012 (Habeas Data).</w:t>
            </w:r>
          </w:p>
        </w:tc>
        <w:tc>
          <w:tcPr>
            <w:tcW w:w="0" w:type="auto"/>
            <w:hideMark/>
          </w:tcPr>
          <w:p w14:paraId="0D0EDB85" w14:textId="77777777" w:rsidR="00A93A0E" w:rsidRPr="00A93A0E" w:rsidRDefault="00A93A0E" w:rsidP="00A93A0E">
            <w:pPr>
              <w:spacing w:after="200" w:line="276" w:lineRule="auto"/>
              <w:rPr>
                <w:lang w:val="es-CO"/>
              </w:rPr>
            </w:pPr>
            <w:r w:rsidRPr="00A93A0E">
              <w:rPr>
                <w:lang w:val="es-CO"/>
              </w:rPr>
              <w:t>Se deben implementar cifrado, control de acceso por rol y políticas de retención de datos.</w:t>
            </w:r>
          </w:p>
        </w:tc>
      </w:tr>
    </w:tbl>
    <w:p w14:paraId="555C8ABC" w14:textId="77777777" w:rsidR="00A93A0E" w:rsidRDefault="00A93A0E" w:rsidP="00A93A0E">
      <w:pPr>
        <w:rPr>
          <w:b/>
          <w:bCs/>
          <w:lang w:val="es-CO"/>
        </w:rPr>
      </w:pPr>
    </w:p>
    <w:p w14:paraId="6CA35DA3" w14:textId="577C447E" w:rsidR="00A93A0E" w:rsidRPr="00A93A0E" w:rsidRDefault="00A93A0E" w:rsidP="00A93A0E">
      <w:pPr>
        <w:rPr>
          <w:b/>
          <w:bCs/>
          <w:lang w:val="es-CO"/>
        </w:rPr>
      </w:pPr>
      <w:r w:rsidRPr="00A93A0E">
        <w:rPr>
          <w:b/>
          <w:bCs/>
          <w:lang w:val="es-CO"/>
        </w:rPr>
        <w:t>Relación con los Objetivos del Negocio</w:t>
      </w:r>
    </w:p>
    <w:p w14:paraId="524C31EC" w14:textId="77777777" w:rsidR="00A93A0E" w:rsidRPr="00A93A0E" w:rsidRDefault="00A93A0E" w:rsidP="00A93A0E">
      <w:pPr>
        <w:rPr>
          <w:lang w:val="es-CO"/>
        </w:rPr>
      </w:pPr>
      <w:r w:rsidRPr="00A93A0E">
        <w:rPr>
          <w:lang w:val="es-CO"/>
        </w:rPr>
        <w:t xml:space="preserve">Los principios definidos aseguran que la arquitectura tecnológica de </w:t>
      </w:r>
      <w:proofErr w:type="spellStart"/>
      <w:r w:rsidRPr="00A93A0E">
        <w:rPr>
          <w:lang w:val="es-CO"/>
        </w:rPr>
        <w:t>ConectaSU</w:t>
      </w:r>
      <w:proofErr w:type="spellEnd"/>
      <w:r w:rsidRPr="00A93A0E">
        <w:rPr>
          <w:lang w:val="es-CO"/>
        </w:rPr>
        <w:t xml:space="preserve"> esté alineada con los objetivos estratégicos planteados en el Taller 1: vincular al menos 500 comerciantes en el primer año, reducir en un 30 % el tiempo de gestión de pedidos, y generar reportes de ventas e inventario para el 100 % de los comerciantes activos como base de su formalización progresiva.</w:t>
      </w:r>
    </w:p>
    <w:p w14:paraId="3D725C3A" w14:textId="77777777" w:rsidR="00A93A0E" w:rsidRPr="00A93A0E" w:rsidRDefault="00A93A0E" w:rsidP="00A93A0E">
      <w:pPr>
        <w:rPr>
          <w:lang w:val="es-CO"/>
        </w:rPr>
      </w:pPr>
    </w:p>
    <w:sectPr w:rsidR="00A93A0E" w:rsidRPr="00A93A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240867">
    <w:abstractNumId w:val="8"/>
  </w:num>
  <w:num w:numId="2" w16cid:durableId="208224682">
    <w:abstractNumId w:val="6"/>
  </w:num>
  <w:num w:numId="3" w16cid:durableId="1140003893">
    <w:abstractNumId w:val="5"/>
  </w:num>
  <w:num w:numId="4" w16cid:durableId="1574657665">
    <w:abstractNumId w:val="4"/>
  </w:num>
  <w:num w:numId="5" w16cid:durableId="592399828">
    <w:abstractNumId w:val="7"/>
  </w:num>
  <w:num w:numId="6" w16cid:durableId="589317544">
    <w:abstractNumId w:val="3"/>
  </w:num>
  <w:num w:numId="7" w16cid:durableId="744030883">
    <w:abstractNumId w:val="2"/>
  </w:num>
  <w:num w:numId="8" w16cid:durableId="2068216426">
    <w:abstractNumId w:val="1"/>
  </w:num>
  <w:num w:numId="9" w16cid:durableId="13333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6A"/>
    <w:rsid w:val="0029639D"/>
    <w:rsid w:val="00326F90"/>
    <w:rsid w:val="00403BC4"/>
    <w:rsid w:val="00635ABC"/>
    <w:rsid w:val="00A93A0E"/>
    <w:rsid w:val="00AA1D8D"/>
    <w:rsid w:val="00B47730"/>
    <w:rsid w:val="00CB0664"/>
    <w:rsid w:val="00D50EA2"/>
    <w:rsid w:val="00F22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Manuel Benitez Yaruro</cp:lastModifiedBy>
  <cp:revision>3</cp:revision>
  <dcterms:created xsi:type="dcterms:W3CDTF">2013-12-23T23:15:00Z</dcterms:created>
  <dcterms:modified xsi:type="dcterms:W3CDTF">2026-09-25T02:35:00Z</dcterms:modified>
  <cp:category/>
</cp:coreProperties>
</file>