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duranki-logo.png"/>
                    <pic:cNvPicPr/>
                  </pic:nvPicPr>
                  <pic:blipFill>
                    <a:blip r:embed="rId11"/>
                    <a:stretch>
                      <a:fillRect/>
                    </a:stretch>
                  </pic:blipFill>
                  <pic:spPr>
                    <a:xfrm>
                      <a:off x="0" y="0"/>
                      <a:ext cx="1417320" cy="1417320"/>
                    </a:xfrm>
                    <a:prstGeom prst="rect"/>
                  </pic:spPr>
                </pic:pic>
              </a:graphicData>
            </a:graphic>
          </wp:inline>
        </w:drawing>
      </w:r>
    </w:p>
    <w:p>
      <w:pPr>
        <w:pStyle w:val="Title"/>
        <w:jc w:val="center"/>
      </w:pPr>
      <w:r>
        <w:rPr>
          <w:rFonts w:ascii="Calibri" w:hAnsi="Calibri"/>
          <w:b/>
          <w:i w:val="0"/>
          <w:color w:val="0B1D33"/>
          <w:sz w:val="60"/>
        </w:rPr>
        <w:t>STANDARD OPERATING PROCEDURE</w:t>
      </w:r>
    </w:p>
    <w:p>
      <w:pPr>
        <w:jc w:val="center"/>
      </w:pPr>
      <w:r>
        <w:rPr>
          <w:rFonts w:ascii="Calibri" w:hAnsi="Calibri"/>
          <w:b/>
          <w:i w:val="0"/>
          <w:color w:val="173A5E"/>
          <w:sz w:val="32"/>
        </w:rPr>
        <w:t>Duranki Digital Banking &amp; FLEXCUBE Integration Demonstration</w:t>
      </w:r>
    </w:p>
    <w:p>
      <w:pPr>
        <w:spacing w:before="280"/>
        <w:jc w:val="center"/>
      </w:pPr>
      <w:r>
        <w:rPr>
          <w:rFonts w:ascii="Calibri" w:hAnsi="Calibri"/>
          <w:b w:val="0"/>
          <w:i w:val="0"/>
          <w:color w:val="667085"/>
          <w:sz w:val="22"/>
        </w:rPr>
        <w:t>Customer Online Banking • Digital Onboarding • KYC Operations Portal</w:t>
      </w:r>
    </w:p>
    <w:p>
      <w:pPr>
        <w:spacing w:before="1800"/>
      </w:pPr>
    </w:p>
    <w:tbl>
      <w:tblPr>
        <w:tblStyle w:val="TableGrid"/>
        <w:tblW w:type="dxa" w:w="9360"/>
        <w:tblLayout w:type="fixed"/>
        <w:tblLook w:firstColumn="1" w:firstRow="1" w:lastColumn="0" w:lastRow="0" w:noHBand="0" w:noVBand="1" w:val="04A0"/>
        <w:jc w:val="left"/>
        <w:tblInd w:w="120" w:type="dxa"/>
        <w:tblInd w:w="120" w:type="dxa"/>
      </w:tblPr>
      <w:tblGrid>
        <w:gridCol w:w="2600"/>
        <w:gridCol w:w="1500"/>
        <w:gridCol w:w="2200"/>
        <w:gridCol w:w="3060"/>
      </w:tblGrid>
      <w:tr>
        <w:trPr>
          <w:cantSplit/>
        </w:trPr>
        <w:tc>
          <w:tcPr>
            <w:tcW w:type="dxa" w:w="26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Document owner</w:t>
            </w:r>
          </w:p>
        </w:tc>
        <w:tc>
          <w:tcPr>
            <w:tcW w:type="dxa" w:w="15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Version</w:t>
            </w:r>
          </w:p>
        </w:tc>
        <w:tc>
          <w:tcPr>
            <w:tcW w:type="dxa" w:w="22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Effective date</w:t>
            </w:r>
          </w:p>
        </w:tc>
        <w:tc>
          <w:tcPr>
            <w:tcW w:type="dxa" w:w="306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Classification</w:t>
            </w:r>
          </w:p>
        </w:tc>
      </w:tr>
      <w:tr>
        <w:trPr>
          <w:cantSplit/>
        </w:trPr>
        <w:tc>
          <w:tcPr>
            <w:tcW w:type="dxa" w:w="2600"/>
            <w:vAlign w:val="center"/>
            <w:tcMar>
              <w:top w:w="80" w:type="dxa"/>
              <w:start w:w="120" w:type="dxa"/>
              <w:bottom w:w="80" w:type="dxa"/>
              <w:end w:w="120" w:type="dxa"/>
            </w:tcMar>
          </w:tcPr>
          <w:p>
            <w:pPr>
              <w:spacing w:after="0"/>
            </w:pPr>
            <w:r>
              <w:rPr>
                <w:rFonts w:ascii="Calibri" w:hAnsi="Calibri"/>
                <w:b w:val="0"/>
                <w:i w:val="0"/>
                <w:color w:val="202733"/>
                <w:sz w:val="19"/>
              </w:rPr>
              <w:t>Duranki Platform Operations</w:t>
            </w:r>
          </w:p>
        </w:tc>
        <w:tc>
          <w:tcPr>
            <w:tcW w:type="dxa" w:w="1500"/>
            <w:vAlign w:val="center"/>
            <w:tcMar>
              <w:top w:w="80" w:type="dxa"/>
              <w:start w:w="120" w:type="dxa"/>
              <w:bottom w:w="80" w:type="dxa"/>
              <w:end w:w="120" w:type="dxa"/>
            </w:tcMar>
          </w:tcPr>
          <w:p>
            <w:pPr>
              <w:spacing w:after="0"/>
            </w:pPr>
            <w:r>
              <w:rPr>
                <w:rFonts w:ascii="Calibri" w:hAnsi="Calibri"/>
                <w:b w:val="0"/>
                <w:i w:val="0"/>
                <w:color w:val="202733"/>
                <w:sz w:val="19"/>
              </w:rPr>
              <w:t>1.2</w:t>
            </w:r>
          </w:p>
        </w:tc>
        <w:tc>
          <w:tcPr>
            <w:tcW w:type="dxa" w:w="2200"/>
            <w:vAlign w:val="center"/>
            <w:tcMar>
              <w:top w:w="80" w:type="dxa"/>
              <w:start w:w="120" w:type="dxa"/>
              <w:bottom w:w="80" w:type="dxa"/>
              <w:end w:w="120" w:type="dxa"/>
            </w:tcMar>
          </w:tcPr>
          <w:p>
            <w:pPr>
              <w:spacing w:after="0"/>
            </w:pPr>
            <w:r>
              <w:rPr>
                <w:rFonts w:ascii="Calibri" w:hAnsi="Calibri"/>
                <w:b w:val="0"/>
                <w:i w:val="0"/>
                <w:color w:val="202733"/>
                <w:sz w:val="19"/>
              </w:rPr>
              <w:t>1 September 2026</w:t>
            </w:r>
          </w:p>
        </w:tc>
        <w:tc>
          <w:tcPr>
            <w:tcW w:type="dxa" w:w="3060"/>
            <w:vAlign w:val="center"/>
            <w:tcMar>
              <w:top w:w="80" w:type="dxa"/>
              <w:start w:w="120" w:type="dxa"/>
              <w:bottom w:w="80" w:type="dxa"/>
              <w:end w:w="120" w:type="dxa"/>
            </w:tcMar>
          </w:tcPr>
          <w:p>
            <w:pPr>
              <w:spacing w:after="0"/>
            </w:pPr>
            <w:r>
              <w:rPr>
                <w:rFonts w:ascii="Calibri" w:hAnsi="Calibri"/>
                <w:b w:val="0"/>
                <w:i w:val="0"/>
                <w:color w:val="202733"/>
                <w:sz w:val="19"/>
              </w:rPr>
              <w:t>Bank Demonstration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F4F8"/>
          </w:tcPr>
          <w:p>
            <w:pPr>
              <w:pStyle w:val="SOPNote"/>
            </w:pPr>
            <w:r>
              <w:rPr>
                <w:rFonts w:ascii="Calibri" w:hAnsi="Calibri"/>
                <w:b/>
                <w:i w:val="0"/>
                <w:color w:val="173A5E"/>
                <w:sz w:val="21"/>
              </w:rPr>
              <w:t xml:space="preserve">PURPOSE: </w:t>
            </w:r>
            <w:r>
              <w:rPr>
                <w:rFonts w:ascii="Calibri" w:hAnsi="Calibri"/>
                <w:b w:val="0"/>
                <w:i w:val="0"/>
                <w:color w:val="0B1D33"/>
                <w:sz w:val="21"/>
              </w:rPr>
              <w:t>Provide a controlled, repeatable bank demonstration of the Duranki digital banking experience and the proposed integration with the bank's existing Oracle FLEXCUBE environment. This SOP covers customer banking, digital onboarding, KYC operations and the integration control model.</w:t>
            </w:r>
          </w:p>
        </w:tc>
      </w:tr>
    </w:tbl>
    <w:p>
      <w:pPr>
        <w:spacing w:after="0"/>
      </w:pPr>
    </w:p>
    <w:p>
      <w:r>
        <w:br w:type="page"/>
      </w:r>
    </w:p>
    <w:p>
      <w:pPr>
        <w:pStyle w:val="Title"/>
      </w:pPr>
      <w:r>
        <w:t>Document control</w:t>
      </w:r>
    </w:p>
    <w:tbl>
      <w:tblPr>
        <w:tblStyle w:val="TableGrid"/>
        <w:tblW w:type="dxa" w:w="9360"/>
        <w:tblLayout w:type="fixed"/>
        <w:tblLook w:firstColumn="1" w:firstRow="1" w:lastColumn="0" w:lastRow="0" w:noHBand="0" w:noVBand="1" w:val="04A0"/>
        <w:jc w:val="left"/>
        <w:tblInd w:w="120" w:type="dxa"/>
        <w:tblInd w:w="120" w:type="dxa"/>
      </w:tblPr>
      <w:tblGrid>
        <w:gridCol w:w="2700"/>
        <w:gridCol w:w="6660"/>
      </w:tblGrid>
      <w:tr>
        <w:trPr>
          <w:cantSplit/>
        </w:trPr>
        <w:tc>
          <w:tcPr>
            <w:tcW w:type="dxa" w:w="27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Field</w:t>
            </w:r>
          </w:p>
        </w:tc>
        <w:tc>
          <w:tcPr>
            <w:tcW w:type="dxa" w:w="666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Value</w:t>
            </w:r>
          </w:p>
        </w:tc>
      </w:tr>
      <w:tr>
        <w:trPr>
          <w:cantSplit/>
        </w:trPr>
        <w:tc>
          <w:tcPr>
            <w:tcW w:type="dxa" w:w="2700"/>
            <w:vAlign w:val="center"/>
            <w:tcMar>
              <w:top w:w="80" w:type="dxa"/>
              <w:start w:w="120" w:type="dxa"/>
              <w:bottom w:w="80" w:type="dxa"/>
              <w:end w:w="120" w:type="dxa"/>
            </w:tcMar>
          </w:tcPr>
          <w:p>
            <w:pPr>
              <w:spacing w:after="0"/>
            </w:pPr>
            <w:r>
              <w:rPr>
                <w:rFonts w:ascii="Calibri" w:hAnsi="Calibri"/>
                <w:b w:val="0"/>
                <w:i w:val="0"/>
                <w:color w:val="202733"/>
                <w:sz w:val="19"/>
              </w:rPr>
              <w:t>Document ID</w:t>
            </w:r>
          </w:p>
        </w:tc>
        <w:tc>
          <w:tcPr>
            <w:tcW w:type="dxa" w:w="6660"/>
            <w:vAlign w:val="center"/>
            <w:tcMar>
              <w:top w:w="80" w:type="dxa"/>
              <w:start w:w="120" w:type="dxa"/>
              <w:bottom w:w="80" w:type="dxa"/>
              <w:end w:w="120" w:type="dxa"/>
            </w:tcMar>
          </w:tcPr>
          <w:p>
            <w:pPr>
              <w:spacing w:after="0"/>
            </w:pPr>
            <w:r>
              <w:rPr>
                <w:rFonts w:ascii="Calibri" w:hAnsi="Calibri"/>
                <w:b w:val="0"/>
                <w:i w:val="0"/>
                <w:color w:val="202733"/>
                <w:sz w:val="19"/>
              </w:rPr>
              <w:t>DUR-BANK-SOP-001</w:t>
            </w:r>
          </w:p>
        </w:tc>
      </w:tr>
      <w:tr>
        <w:trPr>
          <w:cantSplit/>
        </w:trPr>
        <w:tc>
          <w:tcPr>
            <w:tcW w:type="dxa" w:w="2700"/>
            <w:vAlign w:val="center"/>
            <w:tcMar>
              <w:top w:w="80" w:type="dxa"/>
              <w:start w:w="120" w:type="dxa"/>
              <w:bottom w:w="80" w:type="dxa"/>
              <w:end w:w="120" w:type="dxa"/>
            </w:tcMar>
          </w:tcPr>
          <w:p>
            <w:pPr>
              <w:spacing w:after="0"/>
            </w:pPr>
            <w:r>
              <w:rPr>
                <w:rFonts w:ascii="Calibri" w:hAnsi="Calibri"/>
                <w:b w:val="0"/>
                <w:i w:val="0"/>
                <w:color w:val="202733"/>
                <w:sz w:val="19"/>
              </w:rPr>
              <w:t>Process owner</w:t>
            </w:r>
          </w:p>
        </w:tc>
        <w:tc>
          <w:tcPr>
            <w:tcW w:type="dxa" w:w="6660"/>
            <w:vAlign w:val="center"/>
            <w:tcMar>
              <w:top w:w="80" w:type="dxa"/>
              <w:start w:w="120" w:type="dxa"/>
              <w:bottom w:w="80" w:type="dxa"/>
              <w:end w:w="120" w:type="dxa"/>
            </w:tcMar>
          </w:tcPr>
          <w:p>
            <w:pPr>
              <w:spacing w:after="0"/>
            </w:pPr>
            <w:r>
              <w:rPr>
                <w:rFonts w:ascii="Calibri" w:hAnsi="Calibri"/>
                <w:b w:val="0"/>
                <w:i w:val="0"/>
                <w:color w:val="202733"/>
                <w:sz w:val="19"/>
              </w:rPr>
              <w:t>Duranki Platform Operations</w:t>
            </w:r>
          </w:p>
        </w:tc>
      </w:tr>
      <w:tr>
        <w:trPr>
          <w:cantSplit/>
        </w:trPr>
        <w:tc>
          <w:tcPr>
            <w:tcW w:type="dxa" w:w="2700"/>
            <w:vAlign w:val="center"/>
            <w:tcMar>
              <w:top w:w="80" w:type="dxa"/>
              <w:start w:w="120" w:type="dxa"/>
              <w:bottom w:w="80" w:type="dxa"/>
              <w:end w:w="120" w:type="dxa"/>
            </w:tcMar>
          </w:tcPr>
          <w:p>
            <w:pPr>
              <w:spacing w:after="0"/>
            </w:pPr>
            <w:r>
              <w:rPr>
                <w:rFonts w:ascii="Calibri" w:hAnsi="Calibri"/>
                <w:b w:val="0"/>
                <w:i w:val="0"/>
                <w:color w:val="202733"/>
                <w:sz w:val="19"/>
              </w:rPr>
              <w:t>Approver</w:t>
            </w:r>
          </w:p>
        </w:tc>
        <w:tc>
          <w:tcPr>
            <w:tcW w:type="dxa" w:w="6660"/>
            <w:vAlign w:val="center"/>
            <w:tcMar>
              <w:top w:w="80" w:type="dxa"/>
              <w:start w:w="120" w:type="dxa"/>
              <w:bottom w:w="80" w:type="dxa"/>
              <w:end w:w="120" w:type="dxa"/>
            </w:tcMar>
          </w:tcPr>
          <w:p>
            <w:pPr>
              <w:spacing w:after="0"/>
            </w:pPr>
            <w:r>
              <w:rPr>
                <w:rFonts w:ascii="Calibri" w:hAnsi="Calibri"/>
                <w:b w:val="0"/>
                <w:i w:val="0"/>
                <w:color w:val="202733"/>
                <w:sz w:val="19"/>
              </w:rPr>
              <w:t>Head of Banking Operations / Product Owner</w:t>
            </w:r>
          </w:p>
        </w:tc>
      </w:tr>
      <w:tr>
        <w:trPr>
          <w:cantSplit/>
        </w:trPr>
        <w:tc>
          <w:tcPr>
            <w:tcW w:type="dxa" w:w="2700"/>
            <w:vAlign w:val="center"/>
            <w:tcMar>
              <w:top w:w="80" w:type="dxa"/>
              <w:start w:w="120" w:type="dxa"/>
              <w:bottom w:w="80" w:type="dxa"/>
              <w:end w:w="120" w:type="dxa"/>
            </w:tcMar>
          </w:tcPr>
          <w:p>
            <w:pPr>
              <w:spacing w:after="0"/>
            </w:pPr>
            <w:r>
              <w:rPr>
                <w:rFonts w:ascii="Calibri" w:hAnsi="Calibri"/>
                <w:b w:val="0"/>
                <w:i w:val="0"/>
                <w:color w:val="202733"/>
                <w:sz w:val="19"/>
              </w:rPr>
              <w:t>Review cycle</w:t>
            </w:r>
          </w:p>
        </w:tc>
        <w:tc>
          <w:tcPr>
            <w:tcW w:type="dxa" w:w="6660"/>
            <w:vAlign w:val="center"/>
            <w:tcMar>
              <w:top w:w="80" w:type="dxa"/>
              <w:start w:w="120" w:type="dxa"/>
              <w:bottom w:w="80" w:type="dxa"/>
              <w:end w:w="120" w:type="dxa"/>
            </w:tcMar>
          </w:tcPr>
          <w:p>
            <w:pPr>
              <w:spacing w:after="0"/>
            </w:pPr>
            <w:r>
              <w:rPr>
                <w:rFonts w:ascii="Calibri" w:hAnsi="Calibri"/>
                <w:b w:val="0"/>
                <w:i w:val="0"/>
                <w:color w:val="202733"/>
                <w:sz w:val="19"/>
              </w:rPr>
              <w:t>Quarterly and after every material release</w:t>
            </w:r>
          </w:p>
        </w:tc>
      </w:tr>
      <w:tr>
        <w:trPr>
          <w:cantSplit/>
        </w:trPr>
        <w:tc>
          <w:tcPr>
            <w:tcW w:type="dxa" w:w="2700"/>
            <w:vAlign w:val="center"/>
            <w:tcMar>
              <w:top w:w="80" w:type="dxa"/>
              <w:start w:w="120" w:type="dxa"/>
              <w:bottom w:w="80" w:type="dxa"/>
              <w:end w:w="120" w:type="dxa"/>
            </w:tcMar>
          </w:tcPr>
          <w:p>
            <w:pPr>
              <w:spacing w:after="0"/>
            </w:pPr>
            <w:r>
              <w:rPr>
                <w:rFonts w:ascii="Calibri" w:hAnsi="Calibri"/>
                <w:b w:val="0"/>
                <w:i w:val="0"/>
                <w:color w:val="202733"/>
                <w:sz w:val="19"/>
              </w:rPr>
              <w:t>Related systems</w:t>
            </w:r>
          </w:p>
        </w:tc>
        <w:tc>
          <w:tcPr>
            <w:tcW w:type="dxa" w:w="6660"/>
            <w:vAlign w:val="center"/>
            <w:tcMar>
              <w:top w:w="80" w:type="dxa"/>
              <w:start w:w="120" w:type="dxa"/>
              <w:bottom w:w="80" w:type="dxa"/>
              <w:end w:w="120" w:type="dxa"/>
            </w:tcMar>
          </w:tcPr>
          <w:p>
            <w:pPr>
              <w:spacing w:after="0"/>
            </w:pPr>
            <w:r>
              <w:rPr>
                <w:rFonts w:ascii="Calibri" w:hAnsi="Calibri"/>
                <w:b w:val="0"/>
                <w:i w:val="0"/>
                <w:color w:val="202733"/>
                <w:sz w:val="19"/>
              </w:rPr>
              <w:t>Duranki channels, Operations portal and the bank's Oracle FLEXCUBE environment</w:t>
            </w:r>
          </w:p>
        </w:tc>
      </w:tr>
      <w:tr>
        <w:trPr>
          <w:cantSplit/>
        </w:trPr>
        <w:tc>
          <w:tcPr>
            <w:tcW w:type="dxa" w:w="2700"/>
            <w:vAlign w:val="center"/>
            <w:tcMar>
              <w:top w:w="80" w:type="dxa"/>
              <w:start w:w="120" w:type="dxa"/>
              <w:bottom w:w="80" w:type="dxa"/>
              <w:end w:w="120" w:type="dxa"/>
            </w:tcMar>
          </w:tcPr>
          <w:p>
            <w:pPr>
              <w:spacing w:after="0"/>
            </w:pPr>
            <w:r>
              <w:rPr>
                <w:rFonts w:ascii="Calibri" w:hAnsi="Calibri"/>
                <w:b w:val="0"/>
                <w:i w:val="0"/>
                <w:color w:val="202733"/>
                <w:sz w:val="19"/>
              </w:rPr>
              <w:t>Access location</w:t>
            </w:r>
          </w:p>
        </w:tc>
        <w:tc>
          <w:tcPr>
            <w:tcW w:type="dxa" w:w="6660"/>
            <w:vAlign w:val="center"/>
            <w:tcMar>
              <w:top w:w="80" w:type="dxa"/>
              <w:start w:w="120" w:type="dxa"/>
              <w:bottom w:w="80" w:type="dxa"/>
              <w:end w:w="120" w:type="dxa"/>
            </w:tcMar>
          </w:tcPr>
          <w:p>
            <w:pPr>
              <w:spacing w:after="0"/>
            </w:pPr>
            <w:r>
              <w:rPr>
                <w:rFonts w:ascii="Calibri" w:hAnsi="Calibri"/>
                <w:b w:val="0"/>
                <w:i w:val="0"/>
                <w:color w:val="202733"/>
                <w:sz w:val="19"/>
              </w:rPr>
              <w:t>Use the approved demonstration address supplied by the system administrator</w:t>
            </w:r>
          </w:p>
        </w:tc>
      </w:tr>
    </w:tbl>
    <w:p>
      <w:pPr>
        <w:spacing w:after="0"/>
      </w:pPr>
    </w:p>
    <w:p>
      <w:pPr>
        <w:pStyle w:val="Heading1"/>
      </w:pPr>
      <w:r>
        <w:t>Approval and revision history</w:t>
      </w:r>
    </w:p>
    <w:tbl>
      <w:tblPr>
        <w:tblStyle w:val="TableGrid"/>
        <w:tblW w:type="dxa" w:w="9360"/>
        <w:tblLayout w:type="fixed"/>
        <w:tblLook w:firstColumn="1" w:firstRow="1" w:lastColumn="0" w:lastRow="0" w:noHBand="0" w:noVBand="1" w:val="04A0"/>
        <w:jc w:val="left"/>
        <w:tblInd w:w="120" w:type="dxa"/>
        <w:tblInd w:w="120" w:type="dxa"/>
      </w:tblPr>
      <w:tblGrid>
        <w:gridCol w:w="1200"/>
        <w:gridCol w:w="1600"/>
        <w:gridCol w:w="4300"/>
        <w:gridCol w:w="2260"/>
      </w:tblGrid>
      <w:tr>
        <w:trPr>
          <w:cantSplit/>
        </w:trPr>
        <w:tc>
          <w:tcPr>
            <w:tcW w:type="dxa" w:w="12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Version</w:t>
            </w:r>
          </w:p>
        </w:tc>
        <w:tc>
          <w:tcPr>
            <w:tcW w:type="dxa" w:w="16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Date</w:t>
            </w:r>
          </w:p>
        </w:tc>
        <w:tc>
          <w:tcPr>
            <w:tcW w:type="dxa" w:w="43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Change</w:t>
            </w:r>
          </w:p>
        </w:tc>
        <w:tc>
          <w:tcPr>
            <w:tcW w:type="dxa" w:w="226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Author / approver</w:t>
            </w:r>
          </w:p>
        </w:tc>
      </w:tr>
      <w:tr>
        <w:trPr>
          <w:cantSplit/>
        </w:trPr>
        <w:tc>
          <w:tcPr>
            <w:tcW w:type="dxa" w:w="1200"/>
            <w:vAlign w:val="center"/>
            <w:tcMar>
              <w:top w:w="80" w:type="dxa"/>
              <w:start w:w="120" w:type="dxa"/>
              <w:bottom w:w="80" w:type="dxa"/>
              <w:end w:w="120" w:type="dxa"/>
            </w:tcMar>
          </w:tcPr>
          <w:p>
            <w:pPr>
              <w:spacing w:after="0"/>
            </w:pPr>
            <w:r>
              <w:rPr>
                <w:rFonts w:ascii="Calibri" w:hAnsi="Calibri"/>
                <w:b w:val="0"/>
                <w:i w:val="0"/>
                <w:color w:val="202733"/>
                <w:sz w:val="19"/>
              </w:rPr>
              <w:t>1.2</w:t>
            </w:r>
          </w:p>
        </w:tc>
        <w:tc>
          <w:tcPr>
            <w:tcW w:type="dxa" w:w="1600"/>
            <w:vAlign w:val="center"/>
            <w:tcMar>
              <w:top w:w="80" w:type="dxa"/>
              <w:start w:w="120" w:type="dxa"/>
              <w:bottom w:w="80" w:type="dxa"/>
              <w:end w:w="120" w:type="dxa"/>
            </w:tcMar>
          </w:tcPr>
          <w:p>
            <w:pPr>
              <w:spacing w:after="0"/>
            </w:pPr>
            <w:r>
              <w:rPr>
                <w:rFonts w:ascii="Calibri" w:hAnsi="Calibri"/>
                <w:b w:val="0"/>
                <w:i w:val="0"/>
                <w:color w:val="202733"/>
                <w:sz w:val="19"/>
              </w:rPr>
              <w:t>1 Sep 2026</w:t>
            </w:r>
          </w:p>
        </w:tc>
        <w:tc>
          <w:tcPr>
            <w:tcW w:type="dxa" w:w="4300"/>
            <w:vAlign w:val="center"/>
            <w:tcMar>
              <w:top w:w="80" w:type="dxa"/>
              <w:start w:w="120" w:type="dxa"/>
              <w:bottom w:w="80" w:type="dxa"/>
              <w:end w:w="120" w:type="dxa"/>
            </w:tcMar>
          </w:tcPr>
          <w:p>
            <w:pPr>
              <w:spacing w:after="0"/>
            </w:pPr>
            <w:r>
              <w:rPr>
                <w:rFonts w:ascii="Calibri" w:hAnsi="Calibri"/>
                <w:b w:val="0"/>
                <w:i w:val="0"/>
                <w:color w:val="202733"/>
                <w:sz w:val="19"/>
              </w:rPr>
              <w:t>Bank demonstration and FLEXCUBE integration procedure</w:t>
            </w:r>
          </w:p>
        </w:tc>
        <w:tc>
          <w:tcPr>
            <w:tcW w:type="dxa" w:w="2260"/>
            <w:vAlign w:val="center"/>
            <w:tcMar>
              <w:top w:w="80" w:type="dxa"/>
              <w:start w:w="120" w:type="dxa"/>
              <w:bottom w:w="80" w:type="dxa"/>
              <w:end w:w="120" w:type="dxa"/>
            </w:tcMar>
          </w:tcPr>
          <w:p>
            <w:pPr>
              <w:spacing w:after="0"/>
            </w:pPr>
            <w:r>
              <w:rPr>
                <w:rFonts w:ascii="Calibri" w:hAnsi="Calibri"/>
                <w:b w:val="0"/>
                <w:i w:val="0"/>
                <w:color w:val="202733"/>
                <w:sz w:val="19"/>
              </w:rPr>
              <w:t>Duranki Platform Operations</w:t>
            </w:r>
          </w:p>
        </w:tc>
      </w:tr>
    </w:tbl>
    <w:p>
      <w:pPr>
        <w:spacing w:after="0"/>
      </w:pPr>
    </w:p>
    <w:p>
      <w:pPr>
        <w:pStyle w:val="Heading1"/>
      </w:pPr>
      <w:r>
        <w:t>Contents</w:t>
      </w:r>
    </w:p>
    <w:p>
      <w:pPr>
        <w:pStyle w:val="ListBullet"/>
      </w:pPr>
      <w:r>
        <w:t>1. Purpose and scope</w:t>
      </w:r>
    </w:p>
    <w:p>
      <w:pPr>
        <w:pStyle w:val="ListBullet"/>
      </w:pPr>
      <w:r>
        <w:t>2. Roles and access</w:t>
      </w:r>
    </w:p>
    <w:p>
      <w:pPr>
        <w:pStyle w:val="ListBullet"/>
      </w:pPr>
      <w:r>
        <w:t>3. FLEXCUBE integration overview and prerequisites</w:t>
      </w:r>
    </w:p>
    <w:p>
      <w:pPr>
        <w:pStyle w:val="ListBullet"/>
      </w:pPr>
      <w:r>
        <w:t>4. Start-up procedure</w:t>
      </w:r>
    </w:p>
    <w:p>
      <w:pPr>
        <w:pStyle w:val="ListBullet"/>
      </w:pPr>
      <w:r>
        <w:t>5. Customer onboarding and KYC submission</w:t>
      </w:r>
    </w:p>
    <w:p>
      <w:pPr>
        <w:pStyle w:val="ListBullet"/>
      </w:pPr>
      <w:r>
        <w:t>6. KYC review and approval</w:t>
      </w:r>
    </w:p>
    <w:p>
      <w:pPr>
        <w:pStyle w:val="ListBullet"/>
      </w:pPr>
      <w:r>
        <w:t>7. Customer banking operations</w:t>
      </w:r>
    </w:p>
    <w:p>
      <w:pPr>
        <w:pStyle w:val="ListBullet"/>
      </w:pPr>
      <w:r>
        <w:t>8. QR merchant payments</w:t>
      </w:r>
    </w:p>
    <w:p>
      <w:pPr>
        <w:pStyle w:val="ListBullet"/>
      </w:pPr>
      <w:r>
        <w:t>9. Daily controls and monitoring</w:t>
      </w:r>
    </w:p>
    <w:p>
      <w:pPr>
        <w:pStyle w:val="ListBullet"/>
      </w:pPr>
      <w:r>
        <w:t>10. Backup and recovery</w:t>
      </w:r>
    </w:p>
    <w:p>
      <w:pPr>
        <w:pStyle w:val="ListBullet"/>
      </w:pPr>
      <w:r>
        <w:t>11. Shutdown procedure</w:t>
      </w:r>
    </w:p>
    <w:p>
      <w:pPr>
        <w:pStyle w:val="ListBullet"/>
      </w:pPr>
      <w:r>
        <w:t>12. Incident handling and troubleshooting</w:t>
      </w:r>
    </w:p>
    <w:p>
      <w:pPr>
        <w:pStyle w:val="ListBullet"/>
      </w:pPr>
      <w:r>
        <w:t>13. Security and compliance controls</w:t>
      </w:r>
    </w:p>
    <w:p>
      <w:pPr>
        <w:pStyle w:val="ListBullet"/>
      </w:pPr>
      <w:r>
        <w:t>14. Bank demonstration runbook</w:t>
      </w:r>
    </w:p>
    <w:p>
      <w:pPr>
        <w:pStyle w:val="ListBullet"/>
      </w:pPr>
      <w:r>
        <w:t>Appendix A: Integration discovery record</w:t>
      </w:r>
    </w:p>
    <w:p>
      <w:pPr>
        <w:pStyle w:val="ListBullet"/>
      </w:pPr>
      <w:r>
        <w:t>Appendix B: Operator checklists</w:t>
      </w:r>
    </w:p>
    <w:p>
      <w:pPr>
        <w:pStyle w:val="Heading1"/>
      </w:pPr>
      <w:r>
        <w:t>1. Purpose and scope</w:t>
      </w:r>
    </w:p>
    <w:p>
      <w:r>
        <w:t>This SOP applies to Duranki and bank personnel who prepare, demonstrate, assess or support the proposed digital banking solution. It explains the customer experience, the bank-controlled KYC workflow and the proposed exchange of approved customer, account, balance, payment and status information with Oracle FLEXCUBE.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F4F8"/>
          </w:tcPr>
          <w:p>
            <w:pPr>
              <w:pStyle w:val="SOPNote"/>
            </w:pPr>
            <w:r>
              <w:rPr>
                <w:rFonts w:ascii="Calibri" w:hAnsi="Calibri"/>
                <w:b/>
                <w:i w:val="0"/>
                <w:color w:val="173A5E"/>
                <w:sz w:val="21"/>
              </w:rPr>
              <w:t xml:space="preserve">IMPORTANT: </w:t>
            </w:r>
            <w:r>
              <w:rPr>
                <w:rFonts w:ascii="Calibri" w:hAnsi="Calibri"/>
                <w:b w:val="0"/>
                <w:i w:val="0"/>
                <w:color w:val="0B1D33"/>
                <w:sz w:val="21"/>
              </w:rPr>
              <w:t>The platform is a demonstration environment. No real money, production identity records or live payment credentials may be entered or processed.</w:t>
            </w:r>
          </w:p>
        </w:tc>
      </w:tr>
    </w:tbl>
    <w:p>
      <w:pPr>
        <w:spacing w:after="0"/>
      </w:pPr>
    </w:p>
    <w:p>
      <w:pPr>
        <w:pStyle w:val="Heading1"/>
      </w:pPr>
      <w:r>
        <w:t>2. Roles and access</w:t>
      </w:r>
    </w:p>
    <w:tbl>
      <w:tblPr>
        <w:tblStyle w:val="TableGrid"/>
        <w:tblW w:type="dxa" w:w="9360"/>
        <w:tblLayout w:type="fixed"/>
        <w:tblLook w:firstColumn="1" w:firstRow="1" w:lastColumn="0" w:lastRow="0" w:noHBand="0" w:noVBand="1" w:val="04A0"/>
        <w:jc w:val="left"/>
        <w:tblInd w:w="120" w:type="dxa"/>
        <w:tblInd w:w="120" w:type="dxa"/>
      </w:tblPr>
      <w:tblGrid>
        <w:gridCol w:w="1800"/>
        <w:gridCol w:w="4500"/>
        <w:gridCol w:w="3060"/>
      </w:tblGrid>
      <w:tr>
        <w:trPr>
          <w:cantSplit/>
        </w:trPr>
        <w:tc>
          <w:tcPr>
            <w:tcW w:type="dxa" w:w="18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Role</w:t>
            </w:r>
          </w:p>
        </w:tc>
        <w:tc>
          <w:tcPr>
            <w:tcW w:type="dxa" w:w="45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Permitted activities</w:t>
            </w:r>
          </w:p>
        </w:tc>
        <w:tc>
          <w:tcPr>
            <w:tcW w:type="dxa" w:w="306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Key control</w:t>
            </w:r>
          </w:p>
        </w:tc>
      </w:tr>
      <w:tr>
        <w:trPr>
          <w:cantSplit/>
        </w:trPr>
        <w:tc>
          <w:tcPr>
            <w:tcW w:type="dxa" w:w="1800"/>
            <w:vAlign w:val="center"/>
            <w:tcMar>
              <w:top w:w="80" w:type="dxa"/>
              <w:start w:w="120" w:type="dxa"/>
              <w:bottom w:w="80" w:type="dxa"/>
              <w:end w:w="120" w:type="dxa"/>
            </w:tcMar>
          </w:tcPr>
          <w:p>
            <w:pPr>
              <w:spacing w:after="0"/>
            </w:pPr>
            <w:r>
              <w:rPr>
                <w:rFonts w:ascii="Calibri" w:hAnsi="Calibri"/>
                <w:b w:val="0"/>
                <w:i w:val="0"/>
                <w:color w:val="202733"/>
                <w:sz w:val="19"/>
              </w:rPr>
              <w:t>Demo administrator</w:t>
            </w:r>
          </w:p>
        </w:tc>
        <w:tc>
          <w:tcPr>
            <w:tcW w:type="dxa" w:w="4500"/>
            <w:vAlign w:val="center"/>
            <w:tcMar>
              <w:top w:w="80" w:type="dxa"/>
              <w:start w:w="120" w:type="dxa"/>
              <w:bottom w:w="80" w:type="dxa"/>
              <w:end w:w="120" w:type="dxa"/>
            </w:tcMar>
          </w:tcPr>
          <w:p>
            <w:pPr>
              <w:spacing w:after="0"/>
            </w:pPr>
            <w:r>
              <w:rPr>
                <w:rFonts w:ascii="Calibri" w:hAnsi="Calibri"/>
                <w:b w:val="0"/>
                <w:i w:val="0"/>
                <w:color w:val="202733"/>
                <w:sz w:val="19"/>
              </w:rPr>
              <w:t>Prepare the application; verify availability; prepare demo data</w:t>
            </w:r>
          </w:p>
        </w:tc>
        <w:tc>
          <w:tcPr>
            <w:tcW w:type="dxa" w:w="3060"/>
            <w:vAlign w:val="center"/>
            <w:tcMar>
              <w:top w:w="80" w:type="dxa"/>
              <w:start w:w="120" w:type="dxa"/>
              <w:bottom w:w="80" w:type="dxa"/>
              <w:end w:w="120" w:type="dxa"/>
            </w:tcMar>
          </w:tcPr>
          <w:p>
            <w:pPr>
              <w:spacing w:after="0"/>
            </w:pPr>
            <w:r>
              <w:rPr>
                <w:rFonts w:ascii="Calibri" w:hAnsi="Calibri"/>
                <w:b w:val="0"/>
                <w:i w:val="0"/>
                <w:color w:val="202733"/>
                <w:sz w:val="19"/>
              </w:rPr>
              <w:t>Must complete pre-demo checklist</w:t>
            </w:r>
          </w:p>
        </w:tc>
      </w:tr>
      <w:tr>
        <w:trPr>
          <w:cantSplit/>
        </w:trPr>
        <w:tc>
          <w:tcPr>
            <w:tcW w:type="dxa" w:w="1800"/>
            <w:vAlign w:val="center"/>
            <w:tcMar>
              <w:top w:w="80" w:type="dxa"/>
              <w:start w:w="120" w:type="dxa"/>
              <w:bottom w:w="80" w:type="dxa"/>
              <w:end w:w="120" w:type="dxa"/>
            </w:tcMar>
          </w:tcPr>
          <w:p>
            <w:pPr>
              <w:spacing w:after="0"/>
            </w:pPr>
            <w:r>
              <w:rPr>
                <w:rFonts w:ascii="Calibri" w:hAnsi="Calibri"/>
                <w:b w:val="0"/>
                <w:i w:val="0"/>
                <w:color w:val="202733"/>
                <w:sz w:val="19"/>
              </w:rPr>
              <w:t>Bank compliance officer</w:t>
            </w:r>
          </w:p>
        </w:tc>
        <w:tc>
          <w:tcPr>
            <w:tcW w:type="dxa" w:w="4500"/>
            <w:vAlign w:val="center"/>
            <w:tcMar>
              <w:top w:w="80" w:type="dxa"/>
              <w:start w:w="120" w:type="dxa"/>
              <w:bottom w:w="80" w:type="dxa"/>
              <w:end w:w="120" w:type="dxa"/>
            </w:tcMar>
          </w:tcPr>
          <w:p>
            <w:pPr>
              <w:spacing w:after="0"/>
            </w:pPr>
            <w:r>
              <w:rPr>
                <w:rFonts w:ascii="Calibri" w:hAnsi="Calibri"/>
                <w:b w:val="0"/>
                <w:i w:val="0"/>
                <w:color w:val="202733"/>
                <w:sz w:val="19"/>
              </w:rPr>
              <w:t>Review customer profiles and approve or reject KYC</w:t>
            </w:r>
          </w:p>
        </w:tc>
        <w:tc>
          <w:tcPr>
            <w:tcW w:type="dxa" w:w="3060"/>
            <w:vAlign w:val="center"/>
            <w:tcMar>
              <w:top w:w="80" w:type="dxa"/>
              <w:start w:w="120" w:type="dxa"/>
              <w:bottom w:w="80" w:type="dxa"/>
              <w:end w:w="120" w:type="dxa"/>
            </w:tcMar>
          </w:tcPr>
          <w:p>
            <w:pPr>
              <w:spacing w:after="0"/>
            </w:pPr>
            <w:r>
              <w:rPr>
                <w:rFonts w:ascii="Calibri" w:hAnsi="Calibri"/>
                <w:b w:val="0"/>
                <w:i w:val="0"/>
                <w:color w:val="202733"/>
                <w:sz w:val="19"/>
              </w:rPr>
              <w:t>Decision and notes are retained</w:t>
            </w:r>
          </w:p>
        </w:tc>
      </w:tr>
      <w:tr>
        <w:trPr>
          <w:cantSplit/>
        </w:trPr>
        <w:tc>
          <w:tcPr>
            <w:tcW w:type="dxa" w:w="1800"/>
            <w:vAlign w:val="center"/>
            <w:tcMar>
              <w:top w:w="80" w:type="dxa"/>
              <w:start w:w="120" w:type="dxa"/>
              <w:bottom w:w="80" w:type="dxa"/>
              <w:end w:w="120" w:type="dxa"/>
            </w:tcMar>
          </w:tcPr>
          <w:p>
            <w:pPr>
              <w:spacing w:after="0"/>
            </w:pPr>
            <w:r>
              <w:rPr>
                <w:rFonts w:ascii="Calibri" w:hAnsi="Calibri"/>
                <w:b w:val="0"/>
                <w:i w:val="0"/>
                <w:color w:val="202733"/>
                <w:sz w:val="19"/>
              </w:rPr>
              <w:t>Bank FLEXCUBE owner</w:t>
            </w:r>
          </w:p>
        </w:tc>
        <w:tc>
          <w:tcPr>
            <w:tcW w:type="dxa" w:w="4500"/>
            <w:vAlign w:val="center"/>
            <w:tcMar>
              <w:top w:w="80" w:type="dxa"/>
              <w:start w:w="120" w:type="dxa"/>
              <w:bottom w:w="80" w:type="dxa"/>
              <w:end w:w="120" w:type="dxa"/>
            </w:tcMar>
          </w:tcPr>
          <w:p>
            <w:pPr>
              <w:spacing w:after="0"/>
            </w:pPr>
            <w:r>
              <w:rPr>
                <w:rFonts w:ascii="Calibri" w:hAnsi="Calibri"/>
                <w:b w:val="0"/>
                <w:i w:val="0"/>
                <w:color w:val="202733"/>
                <w:sz w:val="19"/>
              </w:rPr>
              <w:t>Confirm system-of-record rules, services and product mappings</w:t>
            </w:r>
          </w:p>
        </w:tc>
        <w:tc>
          <w:tcPr>
            <w:tcW w:type="dxa" w:w="3060"/>
            <w:vAlign w:val="center"/>
            <w:tcMar>
              <w:top w:w="80" w:type="dxa"/>
              <w:start w:w="120" w:type="dxa"/>
              <w:bottom w:w="80" w:type="dxa"/>
              <w:end w:w="120" w:type="dxa"/>
            </w:tcMar>
          </w:tcPr>
          <w:p>
            <w:pPr>
              <w:spacing w:after="0"/>
            </w:pPr>
            <w:r>
              <w:rPr>
                <w:rFonts w:ascii="Calibri" w:hAnsi="Calibri"/>
                <w:b w:val="0"/>
                <w:i w:val="0"/>
                <w:color w:val="202733"/>
                <w:sz w:val="19"/>
              </w:rPr>
              <w:t>Approves the target integration design</w:t>
            </w:r>
          </w:p>
        </w:tc>
      </w:tr>
      <w:tr>
        <w:trPr>
          <w:cantSplit/>
        </w:trPr>
        <w:tc>
          <w:tcPr>
            <w:tcW w:type="dxa" w:w="1800"/>
            <w:vAlign w:val="center"/>
            <w:tcMar>
              <w:top w:w="80" w:type="dxa"/>
              <w:start w:w="120" w:type="dxa"/>
              <w:bottom w:w="80" w:type="dxa"/>
              <w:end w:w="120" w:type="dxa"/>
            </w:tcMar>
          </w:tcPr>
          <w:p>
            <w:pPr>
              <w:spacing w:after="0"/>
            </w:pPr>
            <w:r>
              <w:rPr>
                <w:rFonts w:ascii="Calibri" w:hAnsi="Calibri"/>
                <w:b w:val="0"/>
                <w:i w:val="0"/>
                <w:color w:val="202733"/>
                <w:sz w:val="19"/>
              </w:rPr>
              <w:t>Integration lead</w:t>
            </w:r>
          </w:p>
        </w:tc>
        <w:tc>
          <w:tcPr>
            <w:tcW w:type="dxa" w:w="4500"/>
            <w:vAlign w:val="center"/>
            <w:tcMar>
              <w:top w:w="80" w:type="dxa"/>
              <w:start w:w="120" w:type="dxa"/>
              <w:bottom w:w="80" w:type="dxa"/>
              <w:end w:w="120" w:type="dxa"/>
            </w:tcMar>
          </w:tcPr>
          <w:p>
            <w:pPr>
              <w:spacing w:after="0"/>
            </w:pPr>
            <w:r>
              <w:rPr>
                <w:rFonts w:ascii="Calibri" w:hAnsi="Calibri"/>
                <w:b w:val="0"/>
                <w:i w:val="0"/>
                <w:color w:val="202733"/>
                <w:sz w:val="19"/>
              </w:rPr>
              <w:t>Explain data flows, controls, error handling and reconciliation</w:t>
            </w:r>
          </w:p>
        </w:tc>
        <w:tc>
          <w:tcPr>
            <w:tcW w:type="dxa" w:w="3060"/>
            <w:vAlign w:val="center"/>
            <w:tcMar>
              <w:top w:w="80" w:type="dxa"/>
              <w:start w:w="120" w:type="dxa"/>
              <w:bottom w:w="80" w:type="dxa"/>
              <w:end w:w="120" w:type="dxa"/>
            </w:tcMar>
          </w:tcPr>
          <w:p>
            <w:pPr>
              <w:spacing w:after="0"/>
            </w:pPr>
            <w:r>
              <w:rPr>
                <w:rFonts w:ascii="Calibri" w:hAnsi="Calibri"/>
                <w:b w:val="0"/>
                <w:i w:val="0"/>
                <w:color w:val="202733"/>
                <w:sz w:val="19"/>
              </w:rPr>
              <w:t>No direct core-database access</w:t>
            </w:r>
          </w:p>
        </w:tc>
      </w:tr>
      <w:tr>
        <w:trPr>
          <w:cantSplit/>
        </w:trPr>
        <w:tc>
          <w:tcPr>
            <w:tcW w:type="dxa" w:w="1800"/>
            <w:vAlign w:val="center"/>
            <w:tcMar>
              <w:top w:w="80" w:type="dxa"/>
              <w:start w:w="120" w:type="dxa"/>
              <w:bottom w:w="80" w:type="dxa"/>
              <w:end w:w="120" w:type="dxa"/>
            </w:tcMar>
          </w:tcPr>
          <w:p>
            <w:pPr>
              <w:spacing w:after="0"/>
            </w:pPr>
            <w:r>
              <w:rPr>
                <w:rFonts w:ascii="Calibri" w:hAnsi="Calibri"/>
                <w:b w:val="0"/>
                <w:i w:val="0"/>
                <w:color w:val="202733"/>
                <w:sz w:val="19"/>
              </w:rPr>
              <w:t>Customer / presenter</w:t>
            </w:r>
          </w:p>
        </w:tc>
        <w:tc>
          <w:tcPr>
            <w:tcW w:type="dxa" w:w="4500"/>
            <w:vAlign w:val="center"/>
            <w:tcMar>
              <w:top w:w="80" w:type="dxa"/>
              <w:start w:w="120" w:type="dxa"/>
              <w:bottom w:w="80" w:type="dxa"/>
              <w:end w:w="120" w:type="dxa"/>
            </w:tcMar>
          </w:tcPr>
          <w:p>
            <w:pPr>
              <w:spacing w:after="0"/>
            </w:pPr>
            <w:r>
              <w:rPr>
                <w:rFonts w:ascii="Calibri" w:hAnsi="Calibri"/>
                <w:b w:val="0"/>
                <w:i w:val="0"/>
                <w:color w:val="202733"/>
                <w:sz w:val="19"/>
              </w:rPr>
              <w:t>Register, sign in and demonstrate banking functions</w:t>
            </w:r>
          </w:p>
        </w:tc>
        <w:tc>
          <w:tcPr>
            <w:tcW w:type="dxa" w:w="3060"/>
            <w:vAlign w:val="center"/>
            <w:tcMar>
              <w:top w:w="80" w:type="dxa"/>
              <w:start w:w="120" w:type="dxa"/>
              <w:bottom w:w="80" w:type="dxa"/>
              <w:end w:w="120" w:type="dxa"/>
            </w:tcMar>
          </w:tcPr>
          <w:p>
            <w:pPr>
              <w:spacing w:after="0"/>
            </w:pPr>
            <w:r>
              <w:rPr>
                <w:rFonts w:ascii="Calibri" w:hAnsi="Calibri"/>
                <w:b w:val="0"/>
                <w:i w:val="0"/>
                <w:color w:val="202733"/>
                <w:sz w:val="19"/>
              </w:rPr>
              <w:t>Use demo-only identity and transaction data</w:t>
            </w:r>
          </w:p>
        </w:tc>
      </w:tr>
    </w:tbl>
    <w:p>
      <w:pPr>
        <w:spacing w:after="0"/>
      </w:pPr>
    </w:p>
    <w:p>
      <w:pPr>
        <w:pStyle w:val="Heading1"/>
      </w:pPr>
      <w:r>
        <w:t>3. FLEXCUBE integration overview and prerequisites</w:t>
      </w:r>
    </w:p>
    <w:p>
      <w:r>
        <w:t>Duranki provides the customer and bank-operations experience while Oracle FLEXCUBE remains the bank's core banking system of record for the products and records agreed during discovery. Integration is performed through bank-approved FLEXCUBE REST services or Integration Gateway web services. Duranki will not connect directly to the FLEXCUBE database.</w:t>
      </w:r>
    </w:p>
    <w:tbl>
      <w:tblPr>
        <w:tblStyle w:val="TableGrid"/>
        <w:tblW w:type="dxa" w:w="9360"/>
        <w:tblLayout w:type="fixed"/>
        <w:tblLook w:firstColumn="1" w:firstRow="1" w:lastColumn="0" w:lastRow="0" w:noHBand="0" w:noVBand="1" w:val="04A0"/>
        <w:jc w:val="left"/>
        <w:tblInd w:w="120" w:type="dxa"/>
        <w:tblInd w:w="120" w:type="dxa"/>
      </w:tblPr>
      <w:tblGrid>
        <w:gridCol w:w="1800"/>
        <w:gridCol w:w="3000"/>
        <w:gridCol w:w="3000"/>
        <w:gridCol w:w="1560"/>
      </w:tblGrid>
      <w:tr>
        <w:trPr>
          <w:cantSplit/>
        </w:trPr>
        <w:tc>
          <w:tcPr>
            <w:tcW w:type="dxa" w:w="18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Flow</w:t>
            </w:r>
          </w:p>
        </w:tc>
        <w:tc>
          <w:tcPr>
            <w:tcW w:type="dxa" w:w="30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Duranki responsibility</w:t>
            </w:r>
          </w:p>
        </w:tc>
        <w:tc>
          <w:tcPr>
            <w:tcW w:type="dxa" w:w="30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FLEXCUBE responsibility</w:t>
            </w:r>
          </w:p>
        </w:tc>
        <w:tc>
          <w:tcPr>
            <w:tcW w:type="dxa" w:w="156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Control</w:t>
            </w:r>
          </w:p>
        </w:tc>
      </w:tr>
      <w:tr>
        <w:trPr>
          <w:cantSplit/>
        </w:trPr>
        <w:tc>
          <w:tcPr>
            <w:tcW w:type="dxa" w:w="1800"/>
            <w:vAlign w:val="center"/>
            <w:tcMar>
              <w:top w:w="80" w:type="dxa"/>
              <w:start w:w="120" w:type="dxa"/>
              <w:bottom w:w="80" w:type="dxa"/>
              <w:end w:w="120" w:type="dxa"/>
            </w:tcMar>
          </w:tcPr>
          <w:p>
            <w:pPr>
              <w:spacing w:after="0"/>
            </w:pPr>
            <w:r>
              <w:rPr>
                <w:rFonts w:ascii="Calibri" w:hAnsi="Calibri"/>
                <w:b w:val="0"/>
                <w:i w:val="0"/>
                <w:color w:val="202733"/>
                <w:sz w:val="19"/>
              </w:rPr>
              <w:t>Approved customer</w:t>
            </w:r>
          </w:p>
        </w:tc>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Capture onboarding and release only after KYC approval</w:t>
            </w:r>
          </w:p>
        </w:tc>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Create or update the agreed customer/party record</w:t>
            </w:r>
          </w:p>
        </w:tc>
        <w:tc>
          <w:tcPr>
            <w:tcW w:type="dxa" w:w="1560"/>
            <w:vAlign w:val="center"/>
            <w:tcMar>
              <w:top w:w="80" w:type="dxa"/>
              <w:start w:w="120" w:type="dxa"/>
              <w:bottom w:w="80" w:type="dxa"/>
              <w:end w:w="120" w:type="dxa"/>
            </w:tcMar>
          </w:tcPr>
          <w:p>
            <w:pPr>
              <w:spacing w:after="0"/>
            </w:pPr>
            <w:r>
              <w:rPr>
                <w:rFonts w:ascii="Calibri" w:hAnsi="Calibri"/>
                <w:b w:val="0"/>
                <w:i w:val="0"/>
                <w:color w:val="202733"/>
                <w:sz w:val="19"/>
              </w:rPr>
              <w:t>Idempotent request and bank reference</w:t>
            </w:r>
          </w:p>
        </w:tc>
      </w:tr>
      <w:tr>
        <w:trPr>
          <w:cantSplit/>
        </w:trPr>
        <w:tc>
          <w:tcPr>
            <w:tcW w:type="dxa" w:w="1800"/>
            <w:vAlign w:val="center"/>
            <w:tcMar>
              <w:top w:w="80" w:type="dxa"/>
              <w:start w:w="120" w:type="dxa"/>
              <w:bottom w:w="80" w:type="dxa"/>
              <w:end w:w="120" w:type="dxa"/>
            </w:tcMar>
          </w:tcPr>
          <w:p>
            <w:pPr>
              <w:spacing w:after="0"/>
            </w:pPr>
            <w:r>
              <w:rPr>
                <w:rFonts w:ascii="Calibri" w:hAnsi="Calibri"/>
                <w:b w:val="0"/>
                <w:i w:val="0"/>
                <w:color w:val="202733"/>
                <w:sz w:val="19"/>
              </w:rPr>
              <w:t>Accounts and balances</w:t>
            </w:r>
          </w:p>
        </w:tc>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Request and present authorized customer data</w:t>
            </w:r>
          </w:p>
        </w:tc>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Return eligible accounts and current balances</w:t>
            </w:r>
          </w:p>
        </w:tc>
        <w:tc>
          <w:tcPr>
            <w:tcW w:type="dxa" w:w="1560"/>
            <w:vAlign w:val="center"/>
            <w:tcMar>
              <w:top w:w="80" w:type="dxa"/>
              <w:start w:w="120" w:type="dxa"/>
              <w:bottom w:w="80" w:type="dxa"/>
              <w:end w:w="120" w:type="dxa"/>
            </w:tcMar>
          </w:tcPr>
          <w:p>
            <w:pPr>
              <w:spacing w:after="0"/>
            </w:pPr>
            <w:r>
              <w:rPr>
                <w:rFonts w:ascii="Calibri" w:hAnsi="Calibri"/>
                <w:b w:val="0"/>
                <w:i w:val="0"/>
                <w:color w:val="202733"/>
                <w:sz w:val="19"/>
              </w:rPr>
              <w:t>Read-only query with access checks</w:t>
            </w:r>
          </w:p>
        </w:tc>
      </w:tr>
      <w:tr>
        <w:trPr>
          <w:cantSplit/>
        </w:trPr>
        <w:tc>
          <w:tcPr>
            <w:tcW w:type="dxa" w:w="1800"/>
            <w:vAlign w:val="center"/>
            <w:tcMar>
              <w:top w:w="80" w:type="dxa"/>
              <w:start w:w="120" w:type="dxa"/>
              <w:bottom w:w="80" w:type="dxa"/>
              <w:end w:w="120" w:type="dxa"/>
            </w:tcMar>
          </w:tcPr>
          <w:p>
            <w:pPr>
              <w:spacing w:after="0"/>
            </w:pPr>
            <w:r>
              <w:rPr>
                <w:rFonts w:ascii="Calibri" w:hAnsi="Calibri"/>
                <w:b w:val="0"/>
                <w:i w:val="0"/>
                <w:color w:val="202733"/>
                <w:sz w:val="19"/>
              </w:rPr>
              <w:t>Payment instruction</w:t>
            </w:r>
          </w:p>
        </w:tc>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Validate journey and submit approved instruction</w:t>
            </w:r>
          </w:p>
        </w:tc>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Perform core validation, posting and status response</w:t>
            </w:r>
          </w:p>
        </w:tc>
        <w:tc>
          <w:tcPr>
            <w:tcW w:type="dxa" w:w="1560"/>
            <w:vAlign w:val="center"/>
            <w:tcMar>
              <w:top w:w="80" w:type="dxa"/>
              <w:start w:w="120" w:type="dxa"/>
              <w:bottom w:w="80" w:type="dxa"/>
              <w:end w:w="120" w:type="dxa"/>
            </w:tcMar>
          </w:tcPr>
          <w:p>
            <w:pPr>
              <w:spacing w:after="0"/>
            </w:pPr>
            <w:r>
              <w:rPr>
                <w:rFonts w:ascii="Calibri" w:hAnsi="Calibri"/>
                <w:b w:val="0"/>
                <w:i w:val="0"/>
                <w:color w:val="202733"/>
                <w:sz w:val="19"/>
              </w:rPr>
              <w:t>Unique reference; no silent retry</w:t>
            </w:r>
          </w:p>
        </w:tc>
      </w:tr>
      <w:tr>
        <w:trPr>
          <w:cantSplit/>
        </w:trPr>
        <w:tc>
          <w:tcPr>
            <w:tcW w:type="dxa" w:w="1800"/>
            <w:vAlign w:val="center"/>
            <w:tcMar>
              <w:top w:w="80" w:type="dxa"/>
              <w:start w:w="120" w:type="dxa"/>
              <w:bottom w:w="80" w:type="dxa"/>
              <w:end w:w="120" w:type="dxa"/>
            </w:tcMar>
          </w:tcPr>
          <w:p>
            <w:pPr>
              <w:spacing w:after="0"/>
            </w:pPr>
            <w:r>
              <w:rPr>
                <w:rFonts w:ascii="Calibri" w:hAnsi="Calibri"/>
                <w:b w:val="0"/>
                <w:i w:val="0"/>
                <w:color w:val="202733"/>
                <w:sz w:val="19"/>
              </w:rPr>
              <w:t>Transactions and status</w:t>
            </w:r>
          </w:p>
        </w:tc>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Present reconciled results and customer status</w:t>
            </w:r>
          </w:p>
        </w:tc>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Provide transaction, rejection and event status</w:t>
            </w:r>
          </w:p>
        </w:tc>
        <w:tc>
          <w:tcPr>
            <w:tcW w:type="dxa" w:w="1560"/>
            <w:vAlign w:val="center"/>
            <w:tcMar>
              <w:top w:w="80" w:type="dxa"/>
              <w:start w:w="120" w:type="dxa"/>
              <w:bottom w:w="80" w:type="dxa"/>
              <w:end w:w="120" w:type="dxa"/>
            </w:tcMar>
          </w:tcPr>
          <w:p>
            <w:pPr>
              <w:spacing w:after="0"/>
            </w:pPr>
            <w:r>
              <w:rPr>
                <w:rFonts w:ascii="Calibri" w:hAnsi="Calibri"/>
                <w:b w:val="0"/>
                <w:i w:val="0"/>
                <w:color w:val="202733"/>
                <w:sz w:val="19"/>
              </w:rPr>
              <w:t>Timestamped audit trail</w:t>
            </w:r>
          </w:p>
        </w:tc>
      </w:tr>
      <w:tr>
        <w:trPr>
          <w:cantSplit/>
        </w:trPr>
        <w:tc>
          <w:tcPr>
            <w:tcW w:type="dxa" w:w="1800"/>
            <w:vAlign w:val="center"/>
            <w:tcMar>
              <w:top w:w="80" w:type="dxa"/>
              <w:start w:w="120" w:type="dxa"/>
              <w:bottom w:w="80" w:type="dxa"/>
              <w:end w:w="120" w:type="dxa"/>
            </w:tcMar>
          </w:tcPr>
          <w:p>
            <w:pPr>
              <w:spacing w:after="0"/>
            </w:pPr>
            <w:r>
              <w:rPr>
                <w:rFonts w:ascii="Calibri" w:hAnsi="Calibri"/>
                <w:b w:val="0"/>
                <w:i w:val="0"/>
                <w:color w:val="202733"/>
                <w:sz w:val="19"/>
              </w:rPr>
              <w:t>Operational events</w:t>
            </w:r>
          </w:p>
        </w:tc>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Consume agreed notifications or poll safely</w:t>
            </w:r>
          </w:p>
        </w:tc>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Publish or expose agreed events</w:t>
            </w:r>
          </w:p>
        </w:tc>
        <w:tc>
          <w:tcPr>
            <w:tcW w:type="dxa" w:w="1560"/>
            <w:vAlign w:val="center"/>
            <w:tcMar>
              <w:top w:w="80" w:type="dxa"/>
              <w:start w:w="120" w:type="dxa"/>
              <w:bottom w:w="80" w:type="dxa"/>
              <w:end w:w="120" w:type="dxa"/>
            </w:tcMar>
          </w:tcPr>
          <w:p>
            <w:pPr>
              <w:spacing w:after="0"/>
            </w:pPr>
            <w:r>
              <w:rPr>
                <w:rFonts w:ascii="Calibri" w:hAnsi="Calibri"/>
                <w:b w:val="0"/>
                <w:i w:val="0"/>
                <w:color w:val="202733"/>
                <w:sz w:val="19"/>
              </w:rPr>
              <w:t>Monitoring and exception queue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F4F8"/>
          </w:tcPr>
          <w:p>
            <w:pPr>
              <w:pStyle w:val="SOPNote"/>
            </w:pPr>
            <w:r>
              <w:rPr>
                <w:rFonts w:ascii="Calibri" w:hAnsi="Calibri"/>
                <w:b/>
                <w:i w:val="0"/>
                <w:color w:val="173A5E"/>
                <w:sz w:val="21"/>
              </w:rPr>
              <w:t xml:space="preserve">INTEGRATION PRINCIPLE: </w:t>
            </w:r>
            <w:r>
              <w:rPr>
                <w:rFonts w:ascii="Calibri" w:hAnsi="Calibri"/>
                <w:b w:val="0"/>
                <w:i w:val="0"/>
                <w:color w:val="0B1D33"/>
                <w:sz w:val="21"/>
              </w:rPr>
              <w:t>FLEXCUBE remains authoritative for core customer, account, balance and posting outcomes where agreed with the bank. Duranki orchestrates the digital journey and retains only the data required for channel operation, consent, evidence and audit.</w:t>
            </w:r>
          </w:p>
        </w:tc>
      </w:tr>
    </w:tbl>
    <w:p>
      <w:pPr>
        <w:spacing w:after="0"/>
      </w:pPr>
    </w:p>
    <w:p>
      <w:pPr>
        <w:pStyle w:val="Heading2"/>
      </w:pPr>
      <w:r>
        <w:t>Prerequisites</w:t>
      </w:r>
    </w:p>
    <w:p>
      <w:pPr>
        <w:pStyle w:val="ListBullet"/>
      </w:pPr>
      <w:r>
        <w:t>The bank confirms its FLEXCUBE release and enabled integration services.</w:t>
      </w:r>
    </w:p>
    <w:p>
      <w:pPr>
        <w:pStyle w:val="ListBullet"/>
      </w:pPr>
      <w:r>
        <w:t>The approved demonstration or test environment and bank service accounts are available.</w:t>
      </w:r>
    </w:p>
    <w:p>
      <w:pPr>
        <w:pStyle w:val="ListBullet"/>
      </w:pPr>
      <w:r>
        <w:t>Customer, branch, currency, product and transaction-code mappings are agreed.</w:t>
      </w:r>
    </w:p>
    <w:p>
      <w:pPr>
        <w:pStyle w:val="ListBullet"/>
      </w:pPr>
      <w:r>
        <w:t>Authentication, encryption, network allow-listing, timeouts and audit requirements are documented.</w:t>
      </w:r>
    </w:p>
    <w:p>
      <w:pPr>
        <w:pStyle w:val="ListBullet"/>
      </w:pPr>
      <w:r>
        <w:t>Test cases cover success, rejection, duplicate, timeout and reconciliation outcomes.</w:t>
      </w:r>
    </w:p>
    <w:p>
      <w:pPr>
        <w:pStyle w:val="ListBullet"/>
      </w:pPr>
      <w:r>
        <w:t>Only demonstration data is used.</w:t>
      </w:r>
    </w:p>
    <w:p>
      <w:r>
        <w:br w:type="page"/>
      </w:r>
    </w:p>
    <w:p>
      <w:pPr>
        <w:pStyle w:val="Heading1"/>
      </w:pPr>
      <w:r>
        <w:t>4. Start-up procedure</w:t>
      </w:r>
    </w:p>
    <w:p>
      <w:pPr>
        <w:pStyle w:val="ListNumber"/>
      </w:pPr>
      <w:r>
        <w:rPr>
          <w:rFonts w:ascii="Calibri" w:hAnsi="Calibri"/>
          <w:b/>
          <w:i w:val="0"/>
          <w:color w:val="0B1D33"/>
          <w:sz w:val="22"/>
        </w:rPr>
        <w:t xml:space="preserve">Confirm application availability — </w:t>
      </w:r>
      <w:r>
        <w:rPr>
          <w:rFonts w:ascii="Calibri" w:hAnsi="Calibri"/>
          <w:b w:val="0"/>
          <w:i w:val="0"/>
          <w:color w:val="000000"/>
          <w:sz w:val="22"/>
        </w:rPr>
        <w:t>Open the approved Duranki application address.</w:t>
      </w:r>
    </w:p>
    <w:p>
      <w:pPr>
        <w:spacing w:after="80"/>
        <w:ind w:left="540"/>
      </w:pPr>
      <w:r>
        <w:rPr>
          <w:rFonts w:ascii="Calibri" w:hAnsi="Calibri"/>
          <w:b/>
          <w:i w:val="0"/>
          <w:color w:val="667085"/>
          <w:sz w:val="19"/>
        </w:rPr>
        <w:t>Owner: Demo administrator</w:t>
      </w:r>
      <w:r>
        <w:t xml:space="preserve">   |   </w:t>
      </w:r>
      <w:r>
        <w:rPr>
          <w:rFonts w:ascii="Calibri" w:hAnsi="Calibri"/>
          <w:b w:val="0"/>
          <w:i w:val="0"/>
          <w:color w:val="667085"/>
          <w:sz w:val="19"/>
        </w:rPr>
        <w:t>Evidence: The login page appears without an error</w:t>
      </w:r>
    </w:p>
    <w:p>
      <w:pPr>
        <w:pStyle w:val="ListNumber"/>
      </w:pPr>
      <w:r>
        <w:rPr>
          <w:rFonts w:ascii="Calibri" w:hAnsi="Calibri"/>
          <w:b/>
          <w:i w:val="0"/>
          <w:color w:val="0B1D33"/>
          <w:sz w:val="22"/>
        </w:rPr>
        <w:t xml:space="preserve">Confirm customer access — </w:t>
      </w:r>
      <w:r>
        <w:rPr>
          <w:rFonts w:ascii="Calibri" w:hAnsi="Calibri"/>
          <w:b w:val="0"/>
          <w:i w:val="0"/>
          <w:color w:val="000000"/>
          <w:sz w:val="22"/>
        </w:rPr>
        <w:t>Open the customer sign-in page and confirm that it responds.</w:t>
      </w:r>
    </w:p>
    <w:p>
      <w:pPr>
        <w:spacing w:after="80"/>
        <w:ind w:left="540"/>
      </w:pPr>
      <w:r>
        <w:rPr>
          <w:rFonts w:ascii="Calibri" w:hAnsi="Calibri"/>
          <w:b/>
          <w:i w:val="0"/>
          <w:color w:val="667085"/>
          <w:sz w:val="19"/>
        </w:rPr>
        <w:t>Owner: Demo administrator</w:t>
      </w:r>
      <w:r>
        <w:t xml:space="preserve">   |   </w:t>
      </w:r>
      <w:r>
        <w:rPr>
          <w:rFonts w:ascii="Calibri" w:hAnsi="Calibri"/>
          <w:b w:val="0"/>
          <w:i w:val="0"/>
          <w:color w:val="667085"/>
          <w:sz w:val="19"/>
        </w:rPr>
        <w:t>Evidence: Customer sign-in is available</w:t>
      </w:r>
    </w:p>
    <w:p>
      <w:pPr>
        <w:pStyle w:val="ListNumber"/>
      </w:pPr>
      <w:r>
        <w:rPr>
          <w:rFonts w:ascii="Calibri" w:hAnsi="Calibri"/>
          <w:b/>
          <w:i w:val="0"/>
          <w:color w:val="0B1D33"/>
          <w:sz w:val="22"/>
        </w:rPr>
        <w:t xml:space="preserve">Confirm staff access — </w:t>
      </w:r>
      <w:r>
        <w:rPr>
          <w:rFonts w:ascii="Calibri" w:hAnsi="Calibri"/>
          <w:b w:val="0"/>
          <w:i w:val="0"/>
          <w:color w:val="000000"/>
          <w:sz w:val="22"/>
        </w:rPr>
        <w:t>Open the Operations portal and confirm that authorized staff can sign in.</w:t>
      </w:r>
    </w:p>
    <w:p>
      <w:pPr>
        <w:spacing w:after="80"/>
        <w:ind w:left="540"/>
      </w:pPr>
      <w:r>
        <w:rPr>
          <w:rFonts w:ascii="Calibri" w:hAnsi="Calibri"/>
          <w:b/>
          <w:i w:val="0"/>
          <w:color w:val="667085"/>
          <w:sz w:val="19"/>
        </w:rPr>
        <w:t>Owner: Demo administrator</w:t>
      </w:r>
      <w:r>
        <w:t xml:space="preserve">   |   </w:t>
      </w:r>
      <w:r>
        <w:rPr>
          <w:rFonts w:ascii="Calibri" w:hAnsi="Calibri"/>
          <w:b w:val="0"/>
          <w:i w:val="0"/>
          <w:color w:val="667085"/>
          <w:sz w:val="19"/>
        </w:rPr>
        <w:t>Evidence: The KYC review queue is available</w:t>
      </w:r>
    </w:p>
    <w:p>
      <w:pPr>
        <w:pStyle w:val="ListNumber"/>
      </w:pPr>
      <w:r>
        <w:rPr>
          <w:rFonts w:ascii="Calibri" w:hAnsi="Calibri"/>
          <w:b/>
          <w:i w:val="0"/>
          <w:color w:val="0B1D33"/>
          <w:sz w:val="22"/>
        </w:rPr>
        <w:t xml:space="preserve">Confirm integration readiness — </w:t>
      </w:r>
      <w:r>
        <w:rPr>
          <w:rFonts w:ascii="Calibri" w:hAnsi="Calibri"/>
          <w:b w:val="0"/>
          <w:i w:val="0"/>
          <w:color w:val="000000"/>
          <w:sz w:val="22"/>
        </w:rPr>
        <w:t>Confirm that the agreed FLEXCUBE test services or demonstration simulator are available.</w:t>
      </w:r>
    </w:p>
    <w:p>
      <w:pPr>
        <w:spacing w:after="80"/>
        <w:ind w:left="540"/>
      </w:pPr>
      <w:r>
        <w:rPr>
          <w:rFonts w:ascii="Calibri" w:hAnsi="Calibri"/>
          <w:b/>
          <w:i w:val="0"/>
          <w:color w:val="667085"/>
          <w:sz w:val="19"/>
        </w:rPr>
        <w:t>Owner: Integration lead</w:t>
      </w:r>
      <w:r>
        <w:t xml:space="preserve">   |   </w:t>
      </w:r>
      <w:r>
        <w:rPr>
          <w:rFonts w:ascii="Calibri" w:hAnsi="Calibri"/>
          <w:b w:val="0"/>
          <w:i w:val="0"/>
          <w:color w:val="667085"/>
          <w:sz w:val="19"/>
        </w:rPr>
        <w:t>Evidence: The integration status check succeeds</w:t>
      </w:r>
    </w:p>
    <w:p>
      <w:pPr>
        <w:pStyle w:val="ListNumber"/>
      </w:pPr>
      <w:r>
        <w:rPr>
          <w:rFonts w:ascii="Calibri" w:hAnsi="Calibri"/>
          <w:b/>
          <w:i w:val="0"/>
          <w:color w:val="0B1D33"/>
          <w:sz w:val="22"/>
        </w:rPr>
        <w:t xml:space="preserve">Load demonstration data — </w:t>
      </w:r>
      <w:r>
        <w:rPr>
          <w:rFonts w:ascii="Calibri" w:hAnsi="Calibri"/>
          <w:b w:val="0"/>
          <w:i w:val="0"/>
          <w:color w:val="000000"/>
          <w:sz w:val="22"/>
        </w:rPr>
        <w:t>Confirm that the approved sample customer, accounts and transactions are present.</w:t>
      </w:r>
    </w:p>
    <w:p>
      <w:pPr>
        <w:spacing w:after="80"/>
        <w:ind w:left="540"/>
      </w:pPr>
      <w:r>
        <w:rPr>
          <w:rFonts w:ascii="Calibri" w:hAnsi="Calibri"/>
          <w:b/>
          <w:i w:val="0"/>
          <w:color w:val="667085"/>
          <w:sz w:val="19"/>
        </w:rPr>
        <w:t>Owner: Demo administrator</w:t>
      </w:r>
      <w:r>
        <w:t xml:space="preserve">   |   </w:t>
      </w:r>
      <w:r>
        <w:rPr>
          <w:rFonts w:ascii="Calibri" w:hAnsi="Calibri"/>
          <w:b w:val="0"/>
          <w:i w:val="0"/>
          <w:color w:val="667085"/>
          <w:sz w:val="19"/>
        </w:rPr>
        <w:t>Evidence: Sample records display correctly</w:t>
      </w:r>
    </w:p>
    <w:p>
      <w:pPr>
        <w:pStyle w:val="ListNumber"/>
      </w:pPr>
      <w:r>
        <w:rPr>
          <w:rFonts w:ascii="Calibri" w:hAnsi="Calibri"/>
          <w:b/>
          <w:i w:val="0"/>
          <w:color w:val="0B1D33"/>
          <w:sz w:val="22"/>
        </w:rPr>
        <w:t xml:space="preserve">Prepare presentation devices — </w:t>
      </w:r>
      <w:r>
        <w:rPr>
          <w:rFonts w:ascii="Calibri" w:hAnsi="Calibri"/>
          <w:b w:val="0"/>
          <w:i w:val="0"/>
          <w:color w:val="000000"/>
          <w:sz w:val="22"/>
        </w:rPr>
        <w:t>Confirm the browser, mobile layout and camera permission required for QR scanning.</w:t>
      </w:r>
    </w:p>
    <w:p>
      <w:pPr>
        <w:spacing w:after="80"/>
        <w:ind w:left="540"/>
      </w:pPr>
      <w:r>
        <w:rPr>
          <w:rFonts w:ascii="Calibri" w:hAnsi="Calibri"/>
          <w:b/>
          <w:i w:val="0"/>
          <w:color w:val="667085"/>
          <w:sz w:val="19"/>
        </w:rPr>
        <w:t>Owner: Demo administrator</w:t>
      </w:r>
      <w:r>
        <w:t xml:space="preserve">   |   </w:t>
      </w:r>
      <w:r>
        <w:rPr>
          <w:rFonts w:ascii="Calibri" w:hAnsi="Calibri"/>
          <w:b w:val="0"/>
          <w:i w:val="0"/>
          <w:color w:val="667085"/>
          <w:sz w:val="19"/>
        </w:rPr>
        <w:t>Evidence: Web, mobile and QR views are ready</w:t>
      </w:r>
    </w:p>
    <w:p>
      <w:pPr>
        <w:pStyle w:val="ListNumber"/>
      </w:pPr>
      <w:r>
        <w:rPr>
          <w:rFonts w:ascii="Calibri" w:hAnsi="Calibri"/>
          <w:b/>
          <w:i w:val="0"/>
          <w:color w:val="0B1D33"/>
          <w:sz w:val="22"/>
        </w:rPr>
        <w:t xml:space="preserve">Perform smoke checks — </w:t>
      </w:r>
      <w:r>
        <w:rPr>
          <w:rFonts w:ascii="Calibri" w:hAnsi="Calibri"/>
          <w:b w:val="0"/>
          <w:i w:val="0"/>
          <w:color w:val="000000"/>
          <w:sz w:val="22"/>
        </w:rPr>
        <w:t>Confirm customer login, staff login, account view and KYC list load without errors.</w:t>
      </w:r>
    </w:p>
    <w:p>
      <w:pPr>
        <w:spacing w:after="80"/>
        <w:ind w:left="540"/>
      </w:pPr>
      <w:r>
        <w:rPr>
          <w:rFonts w:ascii="Calibri" w:hAnsi="Calibri"/>
          <w:b/>
          <w:i w:val="0"/>
          <w:color w:val="667085"/>
          <w:sz w:val="19"/>
        </w:rPr>
        <w:t>Owner: Demo administrator</w:t>
      </w:r>
      <w:r>
        <w:t xml:space="preserve">   |   </w:t>
      </w:r>
      <w:r>
        <w:rPr>
          <w:rFonts w:ascii="Calibri" w:hAnsi="Calibri"/>
          <w:b w:val="0"/>
          <w:i w:val="0"/>
          <w:color w:val="667085"/>
          <w:sz w:val="19"/>
        </w:rPr>
        <w:t>Evidence: Pre-demo checklist signed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F4F8"/>
          </w:tcPr>
          <w:p>
            <w:pPr>
              <w:pStyle w:val="SOPNote"/>
            </w:pPr>
            <w:r>
              <w:rPr>
                <w:rFonts w:ascii="Calibri" w:hAnsi="Calibri"/>
                <w:b/>
                <w:i w:val="0"/>
                <w:color w:val="173A5E"/>
                <w:sz w:val="21"/>
              </w:rPr>
              <w:t xml:space="preserve">STOP CONDITION: </w:t>
            </w:r>
            <w:r>
              <w:rPr>
                <w:rFonts w:ascii="Calibri" w:hAnsi="Calibri"/>
                <w:b w:val="0"/>
                <w:i w:val="0"/>
                <w:color w:val="0B1D33"/>
                <w:sz w:val="21"/>
              </w:rPr>
              <w:t>Do not continue if customer or staff sign-in is unavailable, the KYC queue does not load, the FLEXCUBE test connection is unavailable, banking records appear inconsistent, or the application remains on a loading screen for more than 15 seconds.</w:t>
            </w:r>
          </w:p>
        </w:tc>
      </w:tr>
    </w:tbl>
    <w:p>
      <w:pPr>
        <w:spacing w:after="0"/>
      </w:pPr>
    </w:p>
    <w:p>
      <w:pPr>
        <w:pStyle w:val="Heading1"/>
      </w:pPr>
      <w:r>
        <w:t>5. Customer onboarding and KYC submission</w:t>
      </w:r>
    </w:p>
    <w:p>
      <w:pPr>
        <w:pStyle w:val="ListNumber"/>
      </w:pPr>
      <w:r>
        <w:rPr>
          <w:rFonts w:ascii="Calibri" w:hAnsi="Calibri"/>
          <w:b/>
          <w:i w:val="0"/>
          <w:color w:val="0B1D33"/>
          <w:sz w:val="22"/>
        </w:rPr>
        <w:t xml:space="preserve">Open registration — </w:t>
      </w:r>
      <w:r>
        <w:rPr>
          <w:rFonts w:ascii="Calibri" w:hAnsi="Calibri"/>
          <w:b w:val="0"/>
          <w:i w:val="0"/>
          <w:color w:val="000000"/>
          <w:sz w:val="22"/>
        </w:rPr>
        <w:t>Select Register as a new client from the login page.</w:t>
      </w:r>
    </w:p>
    <w:p>
      <w:pPr>
        <w:spacing w:after="80"/>
        <w:ind w:left="540"/>
      </w:pPr>
      <w:r>
        <w:rPr>
          <w:rFonts w:ascii="Calibri" w:hAnsi="Calibri"/>
          <w:b/>
          <w:i w:val="0"/>
          <w:color w:val="667085"/>
          <w:sz w:val="19"/>
        </w:rPr>
        <w:t>Owner: Customer</w:t>
      </w:r>
    </w:p>
    <w:p>
      <w:pPr>
        <w:pStyle w:val="ListNumber"/>
      </w:pPr>
      <w:r>
        <w:rPr>
          <w:rFonts w:ascii="Calibri" w:hAnsi="Calibri"/>
          <w:b/>
          <w:i w:val="0"/>
          <w:color w:val="0B1D33"/>
          <w:sz w:val="22"/>
        </w:rPr>
        <w:t xml:space="preserve">Capture secure sign-in details — </w:t>
      </w:r>
      <w:r>
        <w:rPr>
          <w:rFonts w:ascii="Calibri" w:hAnsi="Calibri"/>
          <w:b w:val="0"/>
          <w:i w:val="0"/>
          <w:color w:val="000000"/>
          <w:sz w:val="22"/>
        </w:rPr>
        <w:t>Enter full legal name, email, mobile number and a password of at least 10 characters.</w:t>
      </w:r>
    </w:p>
    <w:p>
      <w:pPr>
        <w:spacing w:after="80"/>
        <w:ind w:left="540"/>
      </w:pPr>
      <w:r>
        <w:rPr>
          <w:rFonts w:ascii="Calibri" w:hAnsi="Calibri"/>
          <w:b/>
          <w:i w:val="0"/>
          <w:color w:val="667085"/>
          <w:sz w:val="19"/>
        </w:rPr>
        <w:t>Owner: Customer</w:t>
      </w:r>
    </w:p>
    <w:p>
      <w:pPr>
        <w:pStyle w:val="ListNumber"/>
      </w:pPr>
      <w:r>
        <w:rPr>
          <w:rFonts w:ascii="Calibri" w:hAnsi="Calibri"/>
          <w:b/>
          <w:i w:val="0"/>
          <w:color w:val="0B1D33"/>
          <w:sz w:val="22"/>
        </w:rPr>
        <w:t xml:space="preserve">Capture identity details — </w:t>
      </w:r>
      <w:r>
        <w:rPr>
          <w:rFonts w:ascii="Calibri" w:hAnsi="Calibri"/>
          <w:b w:val="0"/>
          <w:i w:val="0"/>
          <w:color w:val="000000"/>
          <w:sz w:val="22"/>
        </w:rPr>
        <w:t>Enter a demo ID/passport number and date of birth. Never use a real identity document in the demonstration environment.</w:t>
      </w:r>
    </w:p>
    <w:p>
      <w:pPr>
        <w:spacing w:after="80"/>
        <w:ind w:left="540"/>
      </w:pPr>
      <w:r>
        <w:rPr>
          <w:rFonts w:ascii="Calibri" w:hAnsi="Calibri"/>
          <w:b/>
          <w:i w:val="0"/>
          <w:color w:val="667085"/>
          <w:sz w:val="19"/>
        </w:rPr>
        <w:t>Owner: Customer</w:t>
      </w:r>
    </w:p>
    <w:p>
      <w:pPr>
        <w:pStyle w:val="ListNumber"/>
      </w:pPr>
      <w:r>
        <w:rPr>
          <w:rFonts w:ascii="Calibri" w:hAnsi="Calibri"/>
          <w:b/>
          <w:i w:val="0"/>
          <w:color w:val="0B1D33"/>
          <w:sz w:val="22"/>
        </w:rPr>
        <w:t xml:space="preserve">Capture address and financial profile — </w:t>
      </w:r>
      <w:r>
        <w:rPr>
          <w:rFonts w:ascii="Calibri" w:hAnsi="Calibri"/>
          <w:b w:val="0"/>
          <w:i w:val="0"/>
          <w:color w:val="000000"/>
          <w:sz w:val="22"/>
        </w:rPr>
        <w:t>Complete address, occupation, source of funds, tax-residency and politically exposed person declarations.</w:t>
      </w:r>
    </w:p>
    <w:p>
      <w:pPr>
        <w:spacing w:after="80"/>
        <w:ind w:left="540"/>
      </w:pPr>
      <w:r>
        <w:rPr>
          <w:rFonts w:ascii="Calibri" w:hAnsi="Calibri"/>
          <w:b/>
          <w:i w:val="0"/>
          <w:color w:val="667085"/>
          <w:sz w:val="19"/>
        </w:rPr>
        <w:t>Owner: Customer</w:t>
      </w:r>
    </w:p>
    <w:p>
      <w:pPr>
        <w:pStyle w:val="ListNumber"/>
      </w:pPr>
      <w:r>
        <w:rPr>
          <w:rFonts w:ascii="Calibri" w:hAnsi="Calibri"/>
          <w:b/>
          <w:i w:val="0"/>
          <w:color w:val="0B1D33"/>
          <w:sz w:val="22"/>
        </w:rPr>
        <w:t xml:space="preserve">Review and consent — </w:t>
      </w:r>
      <w:r>
        <w:rPr>
          <w:rFonts w:ascii="Calibri" w:hAnsi="Calibri"/>
          <w:b w:val="0"/>
          <w:i w:val="0"/>
          <w:color w:val="000000"/>
          <w:sz w:val="22"/>
        </w:rPr>
        <w:t>Confirm that the details are accurate and submit the profile.</w:t>
      </w:r>
    </w:p>
    <w:p>
      <w:pPr>
        <w:spacing w:after="80"/>
        <w:ind w:left="540"/>
      </w:pPr>
      <w:r>
        <w:rPr>
          <w:rFonts w:ascii="Calibri" w:hAnsi="Calibri"/>
          <w:b/>
          <w:i w:val="0"/>
          <w:color w:val="667085"/>
          <w:sz w:val="19"/>
        </w:rPr>
        <w:t>Owner: Customer</w:t>
      </w:r>
    </w:p>
    <w:p>
      <w:pPr>
        <w:pStyle w:val="ListNumber"/>
      </w:pPr>
      <w:r>
        <w:rPr>
          <w:rFonts w:ascii="Calibri" w:hAnsi="Calibri"/>
          <w:b/>
          <w:i w:val="0"/>
          <w:color w:val="0B1D33"/>
          <w:sz w:val="22"/>
        </w:rPr>
        <w:t xml:space="preserve">Confirm pending status — </w:t>
      </w:r>
      <w:r>
        <w:rPr>
          <w:rFonts w:ascii="Calibri" w:hAnsi="Calibri"/>
          <w:b w:val="0"/>
          <w:i w:val="0"/>
          <w:color w:val="000000"/>
          <w:sz w:val="22"/>
        </w:rPr>
        <w:t>Verify that online banking remains locked and the KYC reference is displayed.</w:t>
      </w:r>
    </w:p>
    <w:p>
      <w:pPr>
        <w:spacing w:after="80"/>
        <w:ind w:left="540"/>
      </w:pPr>
      <w:r>
        <w:rPr>
          <w:rFonts w:ascii="Calibri" w:hAnsi="Calibri"/>
          <w:b/>
          <w:i w:val="0"/>
          <w:color w:val="667085"/>
          <w:sz w:val="19"/>
        </w:rPr>
        <w:t>Owner: Customer / operator</w:t>
      </w:r>
      <w:r>
        <w:t xml:space="preserve">   |   </w:t>
      </w:r>
      <w:r>
        <w:rPr>
          <w:rFonts w:ascii="Calibri" w:hAnsi="Calibri"/>
          <w:b w:val="0"/>
          <w:i w:val="0"/>
          <w:color w:val="667085"/>
          <w:sz w:val="19"/>
        </w:rPr>
        <w:t>Evidence: KYC record appears in Operations portal</w:t>
      </w:r>
    </w:p>
    <w:p>
      <w:pPr>
        <w:pStyle w:val="Heading1"/>
      </w:pPr>
      <w:r>
        <w:t>6. KYC review and approval</w:t>
      </w:r>
    </w:p>
    <w:p>
      <w:pPr>
        <w:pStyle w:val="ListNumber"/>
      </w:pPr>
      <w:r>
        <w:rPr>
          <w:rFonts w:ascii="Calibri" w:hAnsi="Calibri"/>
          <w:b/>
          <w:i w:val="0"/>
          <w:color w:val="0B1D33"/>
          <w:sz w:val="22"/>
        </w:rPr>
        <w:t xml:space="preserve">Open Bank Staff — </w:t>
      </w:r>
      <w:r>
        <w:rPr>
          <w:rFonts w:ascii="Calibri" w:hAnsi="Calibri"/>
          <w:b w:val="0"/>
          <w:i w:val="0"/>
          <w:color w:val="000000"/>
          <w:sz w:val="22"/>
        </w:rPr>
        <w:t>Select Bank Staff and sign in with authorized demo staff credentials.</w:t>
      </w:r>
    </w:p>
    <w:p>
      <w:pPr>
        <w:spacing w:after="80"/>
        <w:ind w:left="540"/>
      </w:pPr>
      <w:r>
        <w:rPr>
          <w:rFonts w:ascii="Calibri" w:hAnsi="Calibri"/>
          <w:b/>
          <w:i w:val="0"/>
          <w:color w:val="667085"/>
          <w:sz w:val="19"/>
        </w:rPr>
        <w:t>Owner: Compliance officer</w:t>
      </w:r>
    </w:p>
    <w:p>
      <w:pPr>
        <w:pStyle w:val="ListNumber"/>
      </w:pPr>
      <w:r>
        <w:rPr>
          <w:rFonts w:ascii="Calibri" w:hAnsi="Calibri"/>
          <w:b/>
          <w:i w:val="0"/>
          <w:color w:val="0B1D33"/>
          <w:sz w:val="22"/>
        </w:rPr>
        <w:t xml:space="preserve">Locate the applicant — </w:t>
      </w:r>
      <w:r>
        <w:rPr>
          <w:rFonts w:ascii="Calibri" w:hAnsi="Calibri"/>
          <w:b w:val="0"/>
          <w:i w:val="0"/>
          <w:color w:val="000000"/>
          <w:sz w:val="22"/>
        </w:rPr>
        <w:t>Use the Pending filter or search by name, email or ID.</w:t>
      </w:r>
    </w:p>
    <w:p>
      <w:pPr>
        <w:spacing w:after="80"/>
        <w:ind w:left="540"/>
      </w:pPr>
      <w:r>
        <w:rPr>
          <w:rFonts w:ascii="Calibri" w:hAnsi="Calibri"/>
          <w:b/>
          <w:i w:val="0"/>
          <w:color w:val="667085"/>
          <w:sz w:val="19"/>
        </w:rPr>
        <w:t>Owner: Compliance officer</w:t>
      </w:r>
    </w:p>
    <w:p>
      <w:pPr>
        <w:pStyle w:val="ListNumber"/>
      </w:pPr>
      <w:r>
        <w:rPr>
          <w:rFonts w:ascii="Calibri" w:hAnsi="Calibri"/>
          <w:b/>
          <w:i w:val="0"/>
          <w:color w:val="0B1D33"/>
          <w:sz w:val="22"/>
        </w:rPr>
        <w:t xml:space="preserve">Review the customer information file — </w:t>
      </w:r>
      <w:r>
        <w:rPr>
          <w:rFonts w:ascii="Calibri" w:hAnsi="Calibri"/>
          <w:b w:val="0"/>
          <w:i w:val="0"/>
          <w:color w:val="000000"/>
          <w:sz w:val="22"/>
        </w:rPr>
        <w:t>Check identity, contact, address, occupation, source of funds, tax residency and PEP status.</w:t>
      </w:r>
    </w:p>
    <w:p>
      <w:pPr>
        <w:spacing w:after="80"/>
        <w:ind w:left="540"/>
      </w:pPr>
      <w:r>
        <w:rPr>
          <w:rFonts w:ascii="Calibri" w:hAnsi="Calibri"/>
          <w:b/>
          <w:i w:val="0"/>
          <w:color w:val="667085"/>
          <w:sz w:val="19"/>
        </w:rPr>
        <w:t>Owner: Compliance officer</w:t>
      </w:r>
    </w:p>
    <w:p>
      <w:pPr>
        <w:pStyle w:val="ListNumber"/>
      </w:pPr>
      <w:r>
        <w:rPr>
          <w:rFonts w:ascii="Calibri" w:hAnsi="Calibri"/>
          <w:b/>
          <w:i w:val="0"/>
          <w:color w:val="0B1D33"/>
          <w:sz w:val="22"/>
        </w:rPr>
        <w:t xml:space="preserve">Make a decision — </w:t>
      </w:r>
      <w:r>
        <w:rPr>
          <w:rFonts w:ascii="Calibri" w:hAnsi="Calibri"/>
          <w:b w:val="0"/>
          <w:i w:val="0"/>
          <w:color w:val="000000"/>
          <w:sz w:val="22"/>
        </w:rPr>
        <w:t>Approve only when required demo checks are complete; otherwise reject/request changes and record a clear note.</w:t>
      </w:r>
    </w:p>
    <w:p>
      <w:pPr>
        <w:spacing w:after="80"/>
        <w:ind w:left="540"/>
      </w:pPr>
      <w:r>
        <w:rPr>
          <w:rFonts w:ascii="Calibri" w:hAnsi="Calibri"/>
          <w:b/>
          <w:i w:val="0"/>
          <w:color w:val="667085"/>
          <w:sz w:val="19"/>
        </w:rPr>
        <w:t>Owner: Compliance officer</w:t>
      </w:r>
    </w:p>
    <w:p>
      <w:pPr>
        <w:pStyle w:val="ListNumber"/>
      </w:pPr>
      <w:r>
        <w:rPr>
          <w:rFonts w:ascii="Calibri" w:hAnsi="Calibri"/>
          <w:b/>
          <w:i w:val="0"/>
          <w:color w:val="0B1D33"/>
          <w:sz w:val="22"/>
        </w:rPr>
        <w:t xml:space="preserve">Release the approved record — </w:t>
      </w:r>
      <w:r>
        <w:rPr>
          <w:rFonts w:ascii="Calibri" w:hAnsi="Calibri"/>
          <w:b w:val="0"/>
          <w:i w:val="0"/>
          <w:color w:val="000000"/>
          <w:sz w:val="22"/>
        </w:rPr>
        <w:t>After approval, submit the agreed customer creation or update request to FLEXCUBE and retain the returned bank reference.</w:t>
      </w:r>
    </w:p>
    <w:p>
      <w:pPr>
        <w:spacing w:after="80"/>
        <w:ind w:left="540"/>
      </w:pPr>
      <w:r>
        <w:rPr>
          <w:rFonts w:ascii="Calibri" w:hAnsi="Calibri"/>
          <w:b/>
          <w:i w:val="0"/>
          <w:color w:val="667085"/>
          <w:sz w:val="19"/>
        </w:rPr>
        <w:t>Owner: Bank compliance officer / integration service</w:t>
      </w:r>
      <w:r>
        <w:t xml:space="preserve">   |   </w:t>
      </w:r>
      <w:r>
        <w:rPr>
          <w:rFonts w:ascii="Calibri" w:hAnsi="Calibri"/>
          <w:b w:val="0"/>
          <w:i w:val="0"/>
          <w:color w:val="667085"/>
          <w:sz w:val="19"/>
        </w:rPr>
        <w:t>Evidence: Approved record is linked to the bank reference</w:t>
      </w:r>
    </w:p>
    <w:p>
      <w:pPr>
        <w:pStyle w:val="ListNumber"/>
      </w:pPr>
      <w:r>
        <w:rPr>
          <w:rFonts w:ascii="Calibri" w:hAnsi="Calibri"/>
          <w:b/>
          <w:i w:val="0"/>
          <w:color w:val="0B1D33"/>
          <w:sz w:val="22"/>
        </w:rPr>
        <w:t xml:space="preserve">Verify access outcome — </w:t>
      </w:r>
      <w:r>
        <w:rPr>
          <w:rFonts w:ascii="Calibri" w:hAnsi="Calibri"/>
          <w:b w:val="0"/>
          <w:i w:val="0"/>
          <w:color w:val="000000"/>
          <w:sz w:val="22"/>
        </w:rPr>
        <w:t>Sign out of staff access. The customer signs in again; approved customers reach the dashboard, rejected customers see remediation guidance.</w:t>
      </w:r>
    </w:p>
    <w:p>
      <w:pPr>
        <w:spacing w:after="80"/>
        <w:ind w:left="540"/>
      </w:pPr>
      <w:r>
        <w:rPr>
          <w:rFonts w:ascii="Calibri" w:hAnsi="Calibri"/>
          <w:b/>
          <w:i w:val="0"/>
          <w:color w:val="667085"/>
          <w:sz w:val="19"/>
        </w:rPr>
        <w:t>Owner: Compliance officer / customer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F4F8"/>
          </w:tcPr>
          <w:p>
            <w:pPr>
              <w:pStyle w:val="SOPNote"/>
            </w:pPr>
            <w:r>
              <w:rPr>
                <w:rFonts w:ascii="Calibri" w:hAnsi="Calibri"/>
                <w:b/>
                <w:i w:val="0"/>
                <w:color w:val="173A5E"/>
                <w:sz w:val="21"/>
              </w:rPr>
              <w:t xml:space="preserve">FOUR-EYES CONTROL: </w:t>
            </w:r>
            <w:r>
              <w:rPr>
                <w:rFonts w:ascii="Calibri" w:hAnsi="Calibri"/>
                <w:b w:val="0"/>
                <w:i w:val="0"/>
                <w:color w:val="0B1D33"/>
                <w:sz w:val="21"/>
              </w:rPr>
              <w:t>For formal stakeholder demonstrations, the presenter should not approve their own KYC record. Use a separate compliance-officer role.</w:t>
            </w:r>
          </w:p>
        </w:tc>
      </w:tr>
    </w:tbl>
    <w:p>
      <w:pPr>
        <w:spacing w:after="0"/>
      </w:pPr>
    </w:p>
    <w:p>
      <w:pPr>
        <w:pStyle w:val="Heading1"/>
      </w:pPr>
      <w:r>
        <w:t>7. Customer banking operations</w:t>
      </w:r>
    </w:p>
    <w:tbl>
      <w:tblPr>
        <w:tblStyle w:val="TableGrid"/>
        <w:tblW w:type="dxa" w:w="9360"/>
        <w:tblLayout w:type="fixed"/>
        <w:tblLook w:firstColumn="1" w:firstRow="1" w:lastColumn="0" w:lastRow="0" w:noHBand="0" w:noVBand="1" w:val="04A0"/>
        <w:jc w:val="left"/>
        <w:tblInd w:w="120" w:type="dxa"/>
        <w:tblInd w:w="120" w:type="dxa"/>
      </w:tblPr>
      <w:tblGrid>
        <w:gridCol w:w="1900"/>
        <w:gridCol w:w="4200"/>
        <w:gridCol w:w="3260"/>
      </w:tblGrid>
      <w:tr>
        <w:trPr>
          <w:cantSplit/>
        </w:trPr>
        <w:tc>
          <w:tcPr>
            <w:tcW w:type="dxa" w:w="19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Operation</w:t>
            </w:r>
          </w:p>
        </w:tc>
        <w:tc>
          <w:tcPr>
            <w:tcW w:type="dxa" w:w="42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Procedure</w:t>
            </w:r>
          </w:p>
        </w:tc>
        <w:tc>
          <w:tcPr>
            <w:tcW w:type="dxa" w:w="326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Expected result</w:t>
            </w:r>
          </w:p>
        </w:tc>
      </w:tr>
      <w:tr>
        <w:trPr>
          <w:cantSplit/>
        </w:trPr>
        <w:tc>
          <w:tcPr>
            <w:tcW w:type="dxa" w:w="1900"/>
            <w:vAlign w:val="center"/>
            <w:tcMar>
              <w:top w:w="80" w:type="dxa"/>
              <w:start w:w="120" w:type="dxa"/>
              <w:bottom w:w="80" w:type="dxa"/>
              <w:end w:w="120" w:type="dxa"/>
            </w:tcMar>
          </w:tcPr>
          <w:p>
            <w:pPr>
              <w:spacing w:after="0"/>
            </w:pPr>
            <w:r>
              <w:rPr>
                <w:rFonts w:ascii="Calibri" w:hAnsi="Calibri"/>
                <w:b w:val="0"/>
                <w:i w:val="0"/>
                <w:color w:val="202733"/>
                <w:sz w:val="19"/>
              </w:rPr>
              <w:t>View balances</w:t>
            </w:r>
          </w:p>
        </w:tc>
        <w:tc>
          <w:tcPr>
            <w:tcW w:type="dxa" w:w="4200"/>
            <w:vAlign w:val="center"/>
            <w:tcMar>
              <w:top w:w="80" w:type="dxa"/>
              <w:start w:w="120" w:type="dxa"/>
              <w:bottom w:w="80" w:type="dxa"/>
              <w:end w:w="120" w:type="dxa"/>
            </w:tcMar>
          </w:tcPr>
          <w:p>
            <w:pPr>
              <w:spacing w:after="0"/>
            </w:pPr>
            <w:r>
              <w:rPr>
                <w:rFonts w:ascii="Calibri" w:hAnsi="Calibri"/>
                <w:b w:val="0"/>
                <w:i w:val="0"/>
                <w:color w:val="202733"/>
                <w:sz w:val="19"/>
              </w:rPr>
              <w:t>Open Home or Accounts.</w:t>
            </w:r>
          </w:p>
        </w:tc>
        <w:tc>
          <w:tcPr>
            <w:tcW w:type="dxa" w:w="3260"/>
            <w:vAlign w:val="center"/>
            <w:tcMar>
              <w:top w:w="80" w:type="dxa"/>
              <w:start w:w="120" w:type="dxa"/>
              <w:bottom w:w="80" w:type="dxa"/>
              <w:end w:w="120" w:type="dxa"/>
            </w:tcMar>
          </w:tcPr>
          <w:p>
            <w:pPr>
              <w:spacing w:after="0"/>
            </w:pPr>
            <w:r>
              <w:rPr>
                <w:rFonts w:ascii="Calibri" w:hAnsi="Calibri"/>
                <w:b w:val="0"/>
                <w:i w:val="0"/>
                <w:color w:val="202733"/>
                <w:sz w:val="19"/>
              </w:rPr>
              <w:t>Everyday, savings and linked-account balances display.</w:t>
            </w:r>
          </w:p>
        </w:tc>
      </w:tr>
      <w:tr>
        <w:trPr>
          <w:cantSplit/>
        </w:trPr>
        <w:tc>
          <w:tcPr>
            <w:tcW w:type="dxa" w:w="1900"/>
            <w:vAlign w:val="center"/>
            <w:tcMar>
              <w:top w:w="80" w:type="dxa"/>
              <w:start w:w="120" w:type="dxa"/>
              <w:bottom w:w="80" w:type="dxa"/>
              <w:end w:w="120" w:type="dxa"/>
            </w:tcMar>
          </w:tcPr>
          <w:p>
            <w:pPr>
              <w:spacing w:after="0"/>
            </w:pPr>
            <w:r>
              <w:rPr>
                <w:rFonts w:ascii="Calibri" w:hAnsi="Calibri"/>
                <w:b w:val="0"/>
                <w:i w:val="0"/>
                <w:color w:val="202733"/>
                <w:sz w:val="19"/>
              </w:rPr>
              <w:t>Send money / pay bill</w:t>
            </w:r>
          </w:p>
        </w:tc>
        <w:tc>
          <w:tcPr>
            <w:tcW w:type="dxa" w:w="4200"/>
            <w:vAlign w:val="center"/>
            <w:tcMar>
              <w:top w:w="80" w:type="dxa"/>
              <w:start w:w="120" w:type="dxa"/>
              <w:bottom w:w="80" w:type="dxa"/>
              <w:end w:w="120" w:type="dxa"/>
            </w:tcMar>
          </w:tcPr>
          <w:p>
            <w:pPr>
              <w:spacing w:after="0"/>
            </w:pPr>
            <w:r>
              <w:rPr>
                <w:rFonts w:ascii="Calibri" w:hAnsi="Calibri"/>
                <w:b w:val="0"/>
                <w:i w:val="0"/>
                <w:color w:val="202733"/>
                <w:sz w:val="19"/>
              </w:rPr>
              <w:t>Enter recipient, amount and reference; submit.</w:t>
            </w:r>
          </w:p>
        </w:tc>
        <w:tc>
          <w:tcPr>
            <w:tcW w:type="dxa" w:w="3260"/>
            <w:vAlign w:val="center"/>
            <w:tcMar>
              <w:top w:w="80" w:type="dxa"/>
              <w:start w:w="120" w:type="dxa"/>
              <w:bottom w:w="80" w:type="dxa"/>
              <w:end w:w="120" w:type="dxa"/>
            </w:tcMar>
          </w:tcPr>
          <w:p>
            <w:pPr>
              <w:spacing w:after="0"/>
            </w:pPr>
            <w:r>
              <w:rPr>
                <w:rFonts w:ascii="Calibri" w:hAnsi="Calibri"/>
                <w:b w:val="0"/>
                <w:i w:val="0"/>
                <w:color w:val="202733"/>
                <w:sz w:val="19"/>
              </w:rPr>
              <w:t>Balance decreases and a transaction is recorded.</w:t>
            </w:r>
          </w:p>
        </w:tc>
      </w:tr>
      <w:tr>
        <w:trPr>
          <w:cantSplit/>
        </w:trPr>
        <w:tc>
          <w:tcPr>
            <w:tcW w:type="dxa" w:w="1900"/>
            <w:vAlign w:val="center"/>
            <w:tcMar>
              <w:top w:w="80" w:type="dxa"/>
              <w:start w:w="120" w:type="dxa"/>
              <w:bottom w:w="80" w:type="dxa"/>
              <w:end w:w="120" w:type="dxa"/>
            </w:tcMar>
          </w:tcPr>
          <w:p>
            <w:pPr>
              <w:spacing w:after="0"/>
            </w:pPr>
            <w:r>
              <w:rPr>
                <w:rFonts w:ascii="Calibri" w:hAnsi="Calibri"/>
                <w:b w:val="0"/>
                <w:i w:val="0"/>
                <w:color w:val="202733"/>
                <w:sz w:val="19"/>
              </w:rPr>
              <w:t>Link external account</w:t>
            </w:r>
          </w:p>
        </w:tc>
        <w:tc>
          <w:tcPr>
            <w:tcW w:type="dxa" w:w="4200"/>
            <w:vAlign w:val="center"/>
            <w:tcMar>
              <w:top w:w="80" w:type="dxa"/>
              <w:start w:w="120" w:type="dxa"/>
              <w:bottom w:w="80" w:type="dxa"/>
              <w:end w:w="120" w:type="dxa"/>
            </w:tcMar>
          </w:tcPr>
          <w:p>
            <w:pPr>
              <w:spacing w:after="0"/>
            </w:pPr>
            <w:r>
              <w:rPr>
                <w:rFonts w:ascii="Calibri" w:hAnsi="Calibri"/>
                <w:b w:val="0"/>
                <w:i w:val="0"/>
                <w:color w:val="202733"/>
                <w:sz w:val="19"/>
              </w:rPr>
              <w:t>Choose Add account; select mobile money, bank, wallet or investment; save.</w:t>
            </w:r>
          </w:p>
        </w:tc>
        <w:tc>
          <w:tcPr>
            <w:tcW w:type="dxa" w:w="3260"/>
            <w:vAlign w:val="center"/>
            <w:tcMar>
              <w:top w:w="80" w:type="dxa"/>
              <w:start w:w="120" w:type="dxa"/>
              <w:bottom w:w="80" w:type="dxa"/>
              <w:end w:w="120" w:type="dxa"/>
            </w:tcMar>
          </w:tcPr>
          <w:p>
            <w:pPr>
              <w:spacing w:after="0"/>
            </w:pPr>
            <w:r>
              <w:rPr>
                <w:rFonts w:ascii="Calibri" w:hAnsi="Calibri"/>
                <w:b w:val="0"/>
                <w:i w:val="0"/>
                <w:color w:val="202733"/>
                <w:sz w:val="19"/>
              </w:rPr>
              <w:t>Account appears in the combined portfolio.</w:t>
            </w:r>
          </w:p>
        </w:tc>
      </w:tr>
      <w:tr>
        <w:trPr>
          <w:cantSplit/>
        </w:trPr>
        <w:tc>
          <w:tcPr>
            <w:tcW w:type="dxa" w:w="1900"/>
            <w:vAlign w:val="center"/>
            <w:tcMar>
              <w:top w:w="80" w:type="dxa"/>
              <w:start w:w="120" w:type="dxa"/>
              <w:bottom w:w="80" w:type="dxa"/>
              <w:end w:w="120" w:type="dxa"/>
            </w:tcMar>
          </w:tcPr>
          <w:p>
            <w:pPr>
              <w:spacing w:after="0"/>
            </w:pPr>
            <w:r>
              <w:rPr>
                <w:rFonts w:ascii="Calibri" w:hAnsi="Calibri"/>
                <w:b w:val="0"/>
                <w:i w:val="0"/>
                <w:color w:val="202733"/>
                <w:sz w:val="19"/>
              </w:rPr>
              <w:t>Remove linked account</w:t>
            </w:r>
          </w:p>
        </w:tc>
        <w:tc>
          <w:tcPr>
            <w:tcW w:type="dxa" w:w="4200"/>
            <w:vAlign w:val="center"/>
            <w:tcMar>
              <w:top w:w="80" w:type="dxa"/>
              <w:start w:w="120" w:type="dxa"/>
              <w:bottom w:w="80" w:type="dxa"/>
              <w:end w:w="120" w:type="dxa"/>
            </w:tcMar>
          </w:tcPr>
          <w:p>
            <w:pPr>
              <w:spacing w:after="0"/>
            </w:pPr>
            <w:r>
              <w:rPr>
                <w:rFonts w:ascii="Calibri" w:hAnsi="Calibri"/>
                <w:b w:val="0"/>
                <w:i w:val="0"/>
                <w:color w:val="202733"/>
                <w:sz w:val="19"/>
              </w:rPr>
              <w:t>Select the remove control on an external account.</w:t>
            </w:r>
          </w:p>
        </w:tc>
        <w:tc>
          <w:tcPr>
            <w:tcW w:type="dxa" w:w="3260"/>
            <w:vAlign w:val="center"/>
            <w:tcMar>
              <w:top w:w="80" w:type="dxa"/>
              <w:start w:w="120" w:type="dxa"/>
              <w:bottom w:w="80" w:type="dxa"/>
              <w:end w:w="120" w:type="dxa"/>
            </w:tcMar>
          </w:tcPr>
          <w:p>
            <w:pPr>
              <w:spacing w:after="0"/>
            </w:pPr>
            <w:r>
              <w:rPr>
                <w:rFonts w:ascii="Calibri" w:hAnsi="Calibri"/>
                <w:b w:val="0"/>
                <w:i w:val="0"/>
                <w:color w:val="202733"/>
                <w:sz w:val="19"/>
              </w:rPr>
              <w:t>Only the selected linked account is deleted.</w:t>
            </w:r>
          </w:p>
        </w:tc>
      </w:tr>
      <w:tr>
        <w:trPr>
          <w:cantSplit/>
        </w:trPr>
        <w:tc>
          <w:tcPr>
            <w:tcW w:type="dxa" w:w="1900"/>
            <w:vAlign w:val="center"/>
            <w:tcMar>
              <w:top w:w="80" w:type="dxa"/>
              <w:start w:w="120" w:type="dxa"/>
              <w:bottom w:w="80" w:type="dxa"/>
              <w:end w:w="120" w:type="dxa"/>
            </w:tcMar>
          </w:tcPr>
          <w:p>
            <w:pPr>
              <w:spacing w:after="0"/>
            </w:pPr>
            <w:r>
              <w:rPr>
                <w:rFonts w:ascii="Calibri" w:hAnsi="Calibri"/>
                <w:b w:val="0"/>
                <w:i w:val="0"/>
                <w:color w:val="202733"/>
                <w:sz w:val="19"/>
              </w:rPr>
              <w:t>Freeze card</w:t>
            </w:r>
          </w:p>
        </w:tc>
        <w:tc>
          <w:tcPr>
            <w:tcW w:type="dxa" w:w="4200"/>
            <w:vAlign w:val="center"/>
            <w:tcMar>
              <w:top w:w="80" w:type="dxa"/>
              <w:start w:w="120" w:type="dxa"/>
              <w:bottom w:w="80" w:type="dxa"/>
              <w:end w:w="120" w:type="dxa"/>
            </w:tcMar>
          </w:tcPr>
          <w:p>
            <w:pPr>
              <w:spacing w:after="0"/>
            </w:pPr>
            <w:r>
              <w:rPr>
                <w:rFonts w:ascii="Calibri" w:hAnsi="Calibri"/>
                <w:b w:val="0"/>
                <w:i w:val="0"/>
                <w:color w:val="202733"/>
                <w:sz w:val="19"/>
              </w:rPr>
              <w:t>Open Cards and toggle card status.</w:t>
            </w:r>
          </w:p>
        </w:tc>
        <w:tc>
          <w:tcPr>
            <w:tcW w:type="dxa" w:w="3260"/>
            <w:vAlign w:val="center"/>
            <w:tcMar>
              <w:top w:w="80" w:type="dxa"/>
              <w:start w:w="120" w:type="dxa"/>
              <w:bottom w:w="80" w:type="dxa"/>
              <w:end w:w="120" w:type="dxa"/>
            </w:tcMar>
          </w:tcPr>
          <w:p>
            <w:pPr>
              <w:spacing w:after="0"/>
            </w:pPr>
            <w:r>
              <w:rPr>
                <w:rFonts w:ascii="Calibri" w:hAnsi="Calibri"/>
                <w:b w:val="0"/>
                <w:i w:val="0"/>
                <w:color w:val="202733"/>
                <w:sz w:val="19"/>
              </w:rPr>
              <w:t>Everyday account status changes to frozen/active.</w:t>
            </w:r>
          </w:p>
        </w:tc>
      </w:tr>
      <w:tr>
        <w:trPr>
          <w:cantSplit/>
        </w:trPr>
        <w:tc>
          <w:tcPr>
            <w:tcW w:type="dxa" w:w="1900"/>
            <w:vAlign w:val="center"/>
            <w:tcMar>
              <w:top w:w="80" w:type="dxa"/>
              <w:start w:w="120" w:type="dxa"/>
              <w:bottom w:w="80" w:type="dxa"/>
              <w:end w:w="120" w:type="dxa"/>
            </w:tcMar>
          </w:tcPr>
          <w:p>
            <w:pPr>
              <w:spacing w:after="0"/>
            </w:pPr>
            <w:r>
              <w:rPr>
                <w:rFonts w:ascii="Calibri" w:hAnsi="Calibri"/>
                <w:b w:val="0"/>
                <w:i w:val="0"/>
                <w:color w:val="202733"/>
                <w:sz w:val="19"/>
              </w:rPr>
              <w:t>Edit profile</w:t>
            </w:r>
          </w:p>
        </w:tc>
        <w:tc>
          <w:tcPr>
            <w:tcW w:type="dxa" w:w="4200"/>
            <w:vAlign w:val="center"/>
            <w:tcMar>
              <w:top w:w="80" w:type="dxa"/>
              <w:start w:w="120" w:type="dxa"/>
              <w:bottom w:w="80" w:type="dxa"/>
              <w:end w:w="120" w:type="dxa"/>
            </w:tcMar>
          </w:tcPr>
          <w:p>
            <w:pPr>
              <w:spacing w:after="0"/>
            </w:pPr>
            <w:r>
              <w:rPr>
                <w:rFonts w:ascii="Calibri" w:hAnsi="Calibri"/>
                <w:b w:val="0"/>
                <w:i w:val="0"/>
                <w:color w:val="202733"/>
                <w:sz w:val="19"/>
              </w:rPr>
              <w:t>Open Profile, update details and save.</w:t>
            </w:r>
          </w:p>
        </w:tc>
        <w:tc>
          <w:tcPr>
            <w:tcW w:type="dxa" w:w="3260"/>
            <w:vAlign w:val="center"/>
            <w:tcMar>
              <w:top w:w="80" w:type="dxa"/>
              <w:start w:w="120" w:type="dxa"/>
              <w:bottom w:w="80" w:type="dxa"/>
              <w:end w:w="120" w:type="dxa"/>
            </w:tcMar>
          </w:tcPr>
          <w:p>
            <w:pPr>
              <w:spacing w:after="0"/>
            </w:pPr>
            <w:r>
              <w:rPr>
                <w:rFonts w:ascii="Calibri" w:hAnsi="Calibri"/>
                <w:b w:val="0"/>
                <w:i w:val="0"/>
                <w:color w:val="202733"/>
                <w:sz w:val="19"/>
              </w:rPr>
              <w:t>Customer profile changes are retained.</w:t>
            </w:r>
          </w:p>
        </w:tc>
      </w:tr>
      <w:tr>
        <w:trPr>
          <w:cantSplit/>
        </w:trPr>
        <w:tc>
          <w:tcPr>
            <w:tcW w:type="dxa" w:w="1900"/>
            <w:vAlign w:val="center"/>
            <w:tcMar>
              <w:top w:w="80" w:type="dxa"/>
              <w:start w:w="120" w:type="dxa"/>
              <w:bottom w:w="80" w:type="dxa"/>
              <w:end w:w="120" w:type="dxa"/>
            </w:tcMar>
          </w:tcPr>
          <w:p>
            <w:pPr>
              <w:spacing w:after="0"/>
            </w:pPr>
            <w:r>
              <w:rPr>
                <w:rFonts w:ascii="Calibri" w:hAnsi="Calibri"/>
                <w:b w:val="0"/>
                <w:i w:val="0"/>
                <w:color w:val="202733"/>
                <w:sz w:val="19"/>
              </w:rPr>
              <w:t>Sign out</w:t>
            </w:r>
          </w:p>
        </w:tc>
        <w:tc>
          <w:tcPr>
            <w:tcW w:type="dxa" w:w="4200"/>
            <w:vAlign w:val="center"/>
            <w:tcMar>
              <w:top w:w="80" w:type="dxa"/>
              <w:start w:w="120" w:type="dxa"/>
              <w:bottom w:w="80" w:type="dxa"/>
              <w:end w:w="120" w:type="dxa"/>
            </w:tcMar>
          </w:tcPr>
          <w:p>
            <w:pPr>
              <w:spacing w:after="0"/>
            </w:pPr>
            <w:r>
              <w:rPr>
                <w:rFonts w:ascii="Calibri" w:hAnsi="Calibri"/>
                <w:b w:val="0"/>
                <w:i w:val="0"/>
                <w:color w:val="202733"/>
                <w:sz w:val="19"/>
              </w:rPr>
              <w:t>Select Sign out.</w:t>
            </w:r>
          </w:p>
        </w:tc>
        <w:tc>
          <w:tcPr>
            <w:tcW w:type="dxa" w:w="3260"/>
            <w:vAlign w:val="center"/>
            <w:tcMar>
              <w:top w:w="80" w:type="dxa"/>
              <w:start w:w="120" w:type="dxa"/>
              <w:bottom w:w="80" w:type="dxa"/>
              <w:end w:w="120" w:type="dxa"/>
            </w:tcMar>
          </w:tcPr>
          <w:p>
            <w:pPr>
              <w:spacing w:after="0"/>
            </w:pPr>
            <w:r>
              <w:rPr>
                <w:rFonts w:ascii="Calibri" w:hAnsi="Calibri"/>
                <w:b w:val="0"/>
                <w:i w:val="0"/>
                <w:color w:val="202733"/>
                <w:sz w:val="19"/>
              </w:rPr>
              <w:t>The session ends and the login page appears.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F4F8"/>
          </w:tcPr>
          <w:p>
            <w:pPr>
              <w:pStyle w:val="SOPNote"/>
            </w:pPr>
            <w:r>
              <w:rPr>
                <w:rFonts w:ascii="Calibri" w:hAnsi="Calibri"/>
                <w:b/>
                <w:i w:val="0"/>
                <w:color w:val="173A5E"/>
                <w:sz w:val="21"/>
              </w:rPr>
              <w:t xml:space="preserve">TRANSACTION SAFETY: </w:t>
            </w:r>
            <w:r>
              <w:rPr>
                <w:rFonts w:ascii="Calibri" w:hAnsi="Calibri"/>
                <w:b w:val="0"/>
                <w:i w:val="0"/>
                <w:color w:val="0B1D33"/>
                <w:sz w:val="21"/>
              </w:rPr>
              <w:t>The demonstration rejects payments with an invalid account, non-positive amount or insufficient balance. Never attempt to bypass these controls during a demonstration.</w:t>
            </w:r>
          </w:p>
        </w:tc>
      </w:tr>
    </w:tbl>
    <w:p>
      <w:pPr>
        <w:spacing w:after="0"/>
      </w:pPr>
    </w:p>
    <w:p>
      <w:pPr>
        <w:pStyle w:val="Heading1"/>
      </w:pPr>
      <w:r>
        <w:t>8. QR merchant payments</w:t>
      </w:r>
    </w:p>
    <w:p>
      <w:pPr>
        <w:pStyle w:val="ListNumber"/>
      </w:pPr>
      <w:r>
        <w:rPr>
          <w:rFonts w:ascii="Calibri" w:hAnsi="Calibri"/>
          <w:b/>
          <w:i w:val="0"/>
          <w:color w:val="0B1D33"/>
          <w:sz w:val="22"/>
        </w:rPr>
        <w:t xml:space="preserve">Create merchant request — </w:t>
      </w:r>
      <w:r>
        <w:rPr>
          <w:rFonts w:ascii="Calibri" w:hAnsi="Calibri"/>
          <w:b w:val="0"/>
          <w:i w:val="0"/>
          <w:color w:val="000000"/>
          <w:sz w:val="22"/>
        </w:rPr>
        <w:t>Open Payments, select Create merchant QR, enter merchant, amount and reference, then generate the request.</w:t>
      </w:r>
    </w:p>
    <w:p>
      <w:pPr>
        <w:spacing w:after="80"/>
        <w:ind w:left="540"/>
      </w:pPr>
      <w:r>
        <w:rPr>
          <w:rFonts w:ascii="Calibri" w:hAnsi="Calibri"/>
          <w:b/>
          <w:i w:val="0"/>
          <w:color w:val="667085"/>
          <w:sz w:val="19"/>
        </w:rPr>
        <w:t>Owner: Merchant / presenter</w:t>
      </w:r>
    </w:p>
    <w:p>
      <w:pPr>
        <w:pStyle w:val="ListNumber"/>
      </w:pPr>
      <w:r>
        <w:rPr>
          <w:rFonts w:ascii="Calibri" w:hAnsi="Calibri"/>
          <w:b/>
          <w:i w:val="0"/>
          <w:color w:val="0B1D33"/>
          <w:sz w:val="22"/>
        </w:rPr>
        <w:t xml:space="preserve">Present the code — </w:t>
      </w:r>
      <w:r>
        <w:rPr>
          <w:rFonts w:ascii="Calibri" w:hAnsi="Calibri"/>
          <w:b w:val="0"/>
          <w:i w:val="0"/>
          <w:color w:val="000000"/>
          <w:sz w:val="22"/>
        </w:rPr>
        <w:t>Display the generated QR/payment code. It expires after 15 minutes.</w:t>
      </w:r>
    </w:p>
    <w:p>
      <w:pPr>
        <w:spacing w:after="80"/>
        <w:ind w:left="540"/>
      </w:pPr>
      <w:r>
        <w:rPr>
          <w:rFonts w:ascii="Calibri" w:hAnsi="Calibri"/>
          <w:b/>
          <w:i w:val="0"/>
          <w:color w:val="667085"/>
          <w:sz w:val="19"/>
        </w:rPr>
        <w:t>Owner: Merchant / presenter</w:t>
      </w:r>
    </w:p>
    <w:p>
      <w:pPr>
        <w:pStyle w:val="ListNumber"/>
      </w:pPr>
      <w:r>
        <w:rPr>
          <w:rFonts w:ascii="Calibri" w:hAnsi="Calibri"/>
          <w:b/>
          <w:i w:val="0"/>
          <w:color w:val="0B1D33"/>
          <w:sz w:val="22"/>
        </w:rPr>
        <w:t xml:space="preserve">Scan or enter code — </w:t>
      </w:r>
      <w:r>
        <w:rPr>
          <w:rFonts w:ascii="Calibri" w:hAnsi="Calibri"/>
          <w:b w:val="0"/>
          <w:i w:val="0"/>
          <w:color w:val="000000"/>
          <w:sz w:val="22"/>
        </w:rPr>
        <w:t>Open Scan to pay, use the camera or enter the payment code manually.</w:t>
      </w:r>
    </w:p>
    <w:p>
      <w:pPr>
        <w:spacing w:after="80"/>
        <w:ind w:left="540"/>
      </w:pPr>
      <w:r>
        <w:rPr>
          <w:rFonts w:ascii="Calibri" w:hAnsi="Calibri"/>
          <w:b/>
          <w:i w:val="0"/>
          <w:color w:val="667085"/>
          <w:sz w:val="19"/>
        </w:rPr>
        <w:t>Owner: Customer</w:t>
      </w:r>
    </w:p>
    <w:p>
      <w:pPr>
        <w:pStyle w:val="ListNumber"/>
      </w:pPr>
      <w:r>
        <w:rPr>
          <w:rFonts w:ascii="Calibri" w:hAnsi="Calibri"/>
          <w:b/>
          <w:i w:val="0"/>
          <w:color w:val="0B1D33"/>
          <w:sz w:val="22"/>
        </w:rPr>
        <w:t xml:space="preserve">Review before approval — </w:t>
      </w:r>
      <w:r>
        <w:rPr>
          <w:rFonts w:ascii="Calibri" w:hAnsi="Calibri"/>
          <w:b w:val="0"/>
          <w:i w:val="0"/>
          <w:color w:val="000000"/>
          <w:sz w:val="22"/>
        </w:rPr>
        <w:t>Verify merchant, amount and reference. Cancel if any detail is incorrect.</w:t>
      </w:r>
    </w:p>
    <w:p>
      <w:pPr>
        <w:spacing w:after="80"/>
        <w:ind w:left="540"/>
      </w:pPr>
      <w:r>
        <w:rPr>
          <w:rFonts w:ascii="Calibri" w:hAnsi="Calibri"/>
          <w:b/>
          <w:i w:val="0"/>
          <w:color w:val="667085"/>
          <w:sz w:val="19"/>
        </w:rPr>
        <w:t>Owner: Customer</w:t>
      </w:r>
    </w:p>
    <w:p>
      <w:pPr>
        <w:pStyle w:val="ListNumber"/>
      </w:pPr>
      <w:r>
        <w:rPr>
          <w:rFonts w:ascii="Calibri" w:hAnsi="Calibri"/>
          <w:b/>
          <w:i w:val="0"/>
          <w:color w:val="0B1D33"/>
          <w:sz w:val="22"/>
        </w:rPr>
        <w:t xml:space="preserve">Confirm payment — </w:t>
      </w:r>
      <w:r>
        <w:rPr>
          <w:rFonts w:ascii="Calibri" w:hAnsi="Calibri"/>
          <w:b w:val="0"/>
          <w:i w:val="0"/>
          <w:color w:val="000000"/>
          <w:sz w:val="22"/>
        </w:rPr>
        <w:t>Approve the payment.</w:t>
      </w:r>
    </w:p>
    <w:p>
      <w:pPr>
        <w:spacing w:after="80"/>
        <w:ind w:left="540"/>
      </w:pPr>
      <w:r>
        <w:rPr>
          <w:rFonts w:ascii="Calibri" w:hAnsi="Calibri"/>
          <w:b/>
          <w:i w:val="0"/>
          <w:color w:val="667085"/>
          <w:sz w:val="19"/>
        </w:rPr>
        <w:t>Owner: Customer</w:t>
      </w:r>
      <w:r>
        <w:t xml:space="preserve">   |   </w:t>
      </w:r>
      <w:r>
        <w:rPr>
          <w:rFonts w:ascii="Calibri" w:hAnsi="Calibri"/>
          <w:b w:val="0"/>
          <w:i w:val="0"/>
          <w:color w:val="667085"/>
          <w:sz w:val="19"/>
        </w:rPr>
        <w:t>Evidence: QR status becomes paid; balance and transaction history update</w:t>
      </w:r>
    </w:p>
    <w:p>
      <w:pPr>
        <w:pStyle w:val="Heading1"/>
      </w:pPr>
      <w:r>
        <w:t>9. Daily controls and monitoring</w:t>
      </w:r>
    </w:p>
    <w:tbl>
      <w:tblPr>
        <w:tblStyle w:val="TableGrid"/>
        <w:tblW w:type="dxa" w:w="9560"/>
        <w:tblLayout w:type="fixed"/>
        <w:tblLook w:firstColumn="1" w:firstRow="1" w:lastColumn="0" w:lastRow="0" w:noHBand="0" w:noVBand="1" w:val="04A0"/>
        <w:jc w:val="left"/>
        <w:tblInd w:w="120" w:type="dxa"/>
        <w:tblInd w:w="120" w:type="dxa"/>
      </w:tblPr>
      <w:tblGrid>
        <w:gridCol w:w="3100"/>
        <w:gridCol w:w="1700"/>
        <w:gridCol w:w="1900"/>
        <w:gridCol w:w="2860"/>
      </w:tblGrid>
      <w:tr>
        <w:trPr>
          <w:cantSplit/>
        </w:trPr>
        <w:tc>
          <w:tcPr>
            <w:tcW w:type="dxa" w:w="31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Control</w:t>
            </w:r>
          </w:p>
        </w:tc>
        <w:tc>
          <w:tcPr>
            <w:tcW w:type="dxa" w:w="17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Frequency</w:t>
            </w:r>
          </w:p>
        </w:tc>
        <w:tc>
          <w:tcPr>
            <w:tcW w:type="dxa" w:w="19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Owner</w:t>
            </w:r>
          </w:p>
        </w:tc>
        <w:tc>
          <w:tcPr>
            <w:tcW w:type="dxa" w:w="286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Evidence</w:t>
            </w:r>
          </w:p>
        </w:tc>
      </w:tr>
      <w:tr>
        <w:trPr>
          <w:cantSplit/>
        </w:trPr>
        <w:tc>
          <w:tcPr>
            <w:tcW w:type="dxa" w:w="3100"/>
            <w:vAlign w:val="center"/>
            <w:tcMar>
              <w:top w:w="80" w:type="dxa"/>
              <w:start w:w="120" w:type="dxa"/>
              <w:bottom w:w="80" w:type="dxa"/>
              <w:end w:w="120" w:type="dxa"/>
            </w:tcMar>
          </w:tcPr>
          <w:p>
            <w:pPr>
              <w:spacing w:after="0"/>
            </w:pPr>
            <w:r>
              <w:rPr>
                <w:rFonts w:ascii="Calibri" w:hAnsi="Calibri"/>
                <w:b w:val="0"/>
                <w:i w:val="0"/>
                <w:color w:val="202733"/>
                <w:sz w:val="19"/>
              </w:rPr>
              <w:t>Application availability check</w:t>
            </w:r>
          </w:p>
        </w:tc>
        <w:tc>
          <w:tcPr>
            <w:tcW w:type="dxa" w:w="1700"/>
            <w:vAlign w:val="center"/>
            <w:tcMar>
              <w:top w:w="80" w:type="dxa"/>
              <w:start w:w="120" w:type="dxa"/>
              <w:bottom w:w="80" w:type="dxa"/>
              <w:end w:w="120" w:type="dxa"/>
            </w:tcMar>
          </w:tcPr>
          <w:p>
            <w:pPr>
              <w:spacing w:after="0"/>
            </w:pPr>
            <w:r>
              <w:rPr>
                <w:rFonts w:ascii="Calibri" w:hAnsi="Calibri"/>
                <w:b w:val="0"/>
                <w:i w:val="0"/>
                <w:color w:val="202733"/>
                <w:sz w:val="19"/>
              </w:rPr>
              <w:t>Before each session</w:t>
            </w:r>
          </w:p>
        </w:tc>
        <w:tc>
          <w:tcPr>
            <w:tcW w:type="dxa" w:w="1900"/>
            <w:vAlign w:val="center"/>
            <w:tcMar>
              <w:top w:w="80" w:type="dxa"/>
              <w:start w:w="120" w:type="dxa"/>
              <w:bottom w:w="80" w:type="dxa"/>
              <w:end w:w="120" w:type="dxa"/>
            </w:tcMar>
          </w:tcPr>
          <w:p>
            <w:pPr>
              <w:spacing w:after="0"/>
            </w:pPr>
            <w:r>
              <w:rPr>
                <w:rFonts w:ascii="Calibri" w:hAnsi="Calibri"/>
                <w:b w:val="0"/>
                <w:i w:val="0"/>
                <w:color w:val="202733"/>
                <w:sz w:val="19"/>
              </w:rPr>
              <w:t>Demo administrator</w:t>
            </w:r>
          </w:p>
        </w:tc>
        <w:tc>
          <w:tcPr>
            <w:tcW w:type="dxa" w:w="2860"/>
            <w:vAlign w:val="center"/>
            <w:tcMar>
              <w:top w:w="80" w:type="dxa"/>
              <w:start w:w="120" w:type="dxa"/>
              <w:bottom w:w="80" w:type="dxa"/>
              <w:end w:w="120" w:type="dxa"/>
            </w:tcMar>
          </w:tcPr>
          <w:p>
            <w:pPr>
              <w:spacing w:after="0"/>
            </w:pPr>
            <w:r>
              <w:rPr>
                <w:rFonts w:ascii="Calibri" w:hAnsi="Calibri"/>
                <w:b w:val="0"/>
                <w:i w:val="0"/>
                <w:color w:val="202733"/>
                <w:sz w:val="19"/>
              </w:rPr>
              <w:t>Customer and staff pages observed</w:t>
            </w:r>
          </w:p>
        </w:tc>
      </w:tr>
      <w:tr>
        <w:trPr>
          <w:cantSplit/>
        </w:trPr>
        <w:tc>
          <w:tcPr>
            <w:tcW w:type="dxa" w:w="3100"/>
            <w:vAlign w:val="center"/>
            <w:tcMar>
              <w:top w:w="80" w:type="dxa"/>
              <w:start w:w="120" w:type="dxa"/>
              <w:bottom w:w="80" w:type="dxa"/>
              <w:end w:w="120" w:type="dxa"/>
            </w:tcMar>
          </w:tcPr>
          <w:p>
            <w:pPr>
              <w:spacing w:after="0"/>
            </w:pPr>
            <w:r>
              <w:rPr>
                <w:rFonts w:ascii="Calibri" w:hAnsi="Calibri"/>
                <w:b w:val="0"/>
                <w:i w:val="0"/>
                <w:color w:val="202733"/>
                <w:sz w:val="19"/>
              </w:rPr>
              <w:t>FLEXCUBE connection check</w:t>
            </w:r>
          </w:p>
        </w:tc>
        <w:tc>
          <w:tcPr>
            <w:tcW w:type="dxa" w:w="1700"/>
            <w:vAlign w:val="center"/>
            <w:tcMar>
              <w:top w:w="80" w:type="dxa"/>
              <w:start w:w="120" w:type="dxa"/>
              <w:bottom w:w="80" w:type="dxa"/>
              <w:end w:w="120" w:type="dxa"/>
            </w:tcMar>
          </w:tcPr>
          <w:p>
            <w:pPr>
              <w:spacing w:after="0"/>
            </w:pPr>
            <w:r>
              <w:rPr>
                <w:rFonts w:ascii="Calibri" w:hAnsi="Calibri"/>
                <w:b w:val="0"/>
                <w:i w:val="0"/>
                <w:color w:val="202733"/>
                <w:sz w:val="19"/>
              </w:rPr>
              <w:t>Before each session</w:t>
            </w:r>
          </w:p>
        </w:tc>
        <w:tc>
          <w:tcPr>
            <w:tcW w:type="dxa" w:w="1900"/>
            <w:vAlign w:val="center"/>
            <w:tcMar>
              <w:top w:w="80" w:type="dxa"/>
              <w:start w:w="120" w:type="dxa"/>
              <w:bottom w:w="80" w:type="dxa"/>
              <w:end w:w="120" w:type="dxa"/>
            </w:tcMar>
          </w:tcPr>
          <w:p>
            <w:pPr>
              <w:spacing w:after="0"/>
            </w:pPr>
            <w:r>
              <w:rPr>
                <w:rFonts w:ascii="Calibri" w:hAnsi="Calibri"/>
                <w:b w:val="0"/>
                <w:i w:val="0"/>
                <w:color w:val="202733"/>
                <w:sz w:val="19"/>
              </w:rPr>
              <w:t>Integration lead</w:t>
            </w:r>
          </w:p>
        </w:tc>
        <w:tc>
          <w:tcPr>
            <w:tcW w:type="dxa" w:w="2860"/>
            <w:vAlign w:val="center"/>
            <w:tcMar>
              <w:top w:w="80" w:type="dxa"/>
              <w:start w:w="120" w:type="dxa"/>
              <w:bottom w:w="80" w:type="dxa"/>
              <w:end w:w="120" w:type="dxa"/>
            </w:tcMar>
          </w:tcPr>
          <w:p>
            <w:pPr>
              <w:spacing w:after="0"/>
            </w:pPr>
            <w:r>
              <w:rPr>
                <w:rFonts w:ascii="Calibri" w:hAnsi="Calibri"/>
                <w:b w:val="0"/>
                <w:i w:val="0"/>
                <w:color w:val="202733"/>
                <w:sz w:val="19"/>
              </w:rPr>
              <w:t>Approved test service responds</w:t>
            </w:r>
          </w:p>
        </w:tc>
      </w:tr>
      <w:tr>
        <w:trPr>
          <w:cantSplit/>
        </w:trPr>
        <w:tc>
          <w:tcPr>
            <w:tcW w:type="dxa" w:w="3100"/>
            <w:vAlign w:val="center"/>
            <w:tcMar>
              <w:top w:w="80" w:type="dxa"/>
              <w:start w:w="120" w:type="dxa"/>
              <w:bottom w:w="80" w:type="dxa"/>
              <w:end w:w="120" w:type="dxa"/>
            </w:tcMar>
          </w:tcPr>
          <w:p>
            <w:pPr>
              <w:spacing w:after="0"/>
            </w:pPr>
            <w:r>
              <w:rPr>
                <w:rFonts w:ascii="Calibri" w:hAnsi="Calibri"/>
                <w:b w:val="0"/>
                <w:i w:val="0"/>
                <w:color w:val="202733"/>
                <w:sz w:val="19"/>
              </w:rPr>
              <w:t>Pending KYC queue review</w:t>
            </w:r>
          </w:p>
        </w:tc>
        <w:tc>
          <w:tcPr>
            <w:tcW w:type="dxa" w:w="1700"/>
            <w:vAlign w:val="center"/>
            <w:tcMar>
              <w:top w:w="80" w:type="dxa"/>
              <w:start w:w="120" w:type="dxa"/>
              <w:bottom w:w="80" w:type="dxa"/>
              <w:end w:w="120" w:type="dxa"/>
            </w:tcMar>
          </w:tcPr>
          <w:p>
            <w:pPr>
              <w:spacing w:after="0"/>
            </w:pPr>
            <w:r>
              <w:rPr>
                <w:rFonts w:ascii="Calibri" w:hAnsi="Calibri"/>
                <w:b w:val="0"/>
                <w:i w:val="0"/>
                <w:color w:val="202733"/>
                <w:sz w:val="19"/>
              </w:rPr>
              <w:t>Daily during active testing</w:t>
            </w:r>
          </w:p>
        </w:tc>
        <w:tc>
          <w:tcPr>
            <w:tcW w:type="dxa" w:w="1900"/>
            <w:vAlign w:val="center"/>
            <w:tcMar>
              <w:top w:w="80" w:type="dxa"/>
              <w:start w:w="120" w:type="dxa"/>
              <w:bottom w:w="80" w:type="dxa"/>
              <w:end w:w="120" w:type="dxa"/>
            </w:tcMar>
          </w:tcPr>
          <w:p>
            <w:pPr>
              <w:spacing w:after="0"/>
            </w:pPr>
            <w:r>
              <w:rPr>
                <w:rFonts w:ascii="Calibri" w:hAnsi="Calibri"/>
                <w:b w:val="0"/>
                <w:i w:val="0"/>
                <w:color w:val="202733"/>
                <w:sz w:val="19"/>
              </w:rPr>
              <w:t>Compliance officer</w:t>
            </w:r>
          </w:p>
        </w:tc>
        <w:tc>
          <w:tcPr>
            <w:tcW w:type="dxa" w:w="2860"/>
            <w:vAlign w:val="center"/>
            <w:tcMar>
              <w:top w:w="80" w:type="dxa"/>
              <w:start w:w="120" w:type="dxa"/>
              <w:bottom w:w="80" w:type="dxa"/>
              <w:end w:w="120" w:type="dxa"/>
            </w:tcMar>
          </w:tcPr>
          <w:p>
            <w:pPr>
              <w:spacing w:after="0"/>
            </w:pPr>
            <w:r>
              <w:rPr>
                <w:rFonts w:ascii="Calibri" w:hAnsi="Calibri"/>
                <w:b w:val="0"/>
                <w:i w:val="0"/>
                <w:color w:val="202733"/>
                <w:sz w:val="19"/>
              </w:rPr>
              <w:t>Queue contains no unexplained records</w:t>
            </w:r>
          </w:p>
        </w:tc>
      </w:tr>
      <w:tr>
        <w:trPr>
          <w:cantSplit/>
        </w:trPr>
        <w:tc>
          <w:tcPr>
            <w:tcW w:type="dxa" w:w="3100"/>
            <w:vAlign w:val="center"/>
            <w:tcMar>
              <w:top w:w="80" w:type="dxa"/>
              <w:start w:w="120" w:type="dxa"/>
              <w:bottom w:w="80" w:type="dxa"/>
              <w:end w:w="120" w:type="dxa"/>
            </w:tcMar>
          </w:tcPr>
          <w:p>
            <w:pPr>
              <w:spacing w:after="0"/>
            </w:pPr>
            <w:r>
              <w:rPr>
                <w:rFonts w:ascii="Calibri" w:hAnsi="Calibri"/>
                <w:b w:val="0"/>
                <w:i w:val="0"/>
                <w:color w:val="202733"/>
                <w:sz w:val="19"/>
              </w:rPr>
              <w:t>Interface exception review</w:t>
            </w:r>
          </w:p>
        </w:tc>
        <w:tc>
          <w:tcPr>
            <w:tcW w:type="dxa" w:w="1700"/>
            <w:vAlign w:val="center"/>
            <w:tcMar>
              <w:top w:w="80" w:type="dxa"/>
              <w:start w:w="120" w:type="dxa"/>
              <w:bottom w:w="80" w:type="dxa"/>
              <w:end w:w="120" w:type="dxa"/>
            </w:tcMar>
          </w:tcPr>
          <w:p>
            <w:pPr>
              <w:spacing w:after="0"/>
            </w:pPr>
            <w:r>
              <w:rPr>
                <w:rFonts w:ascii="Calibri" w:hAnsi="Calibri"/>
                <w:b w:val="0"/>
                <w:i w:val="0"/>
                <w:color w:val="202733"/>
                <w:sz w:val="19"/>
              </w:rPr>
              <w:t>After demonstrations</w:t>
            </w:r>
          </w:p>
        </w:tc>
        <w:tc>
          <w:tcPr>
            <w:tcW w:type="dxa" w:w="1900"/>
            <w:vAlign w:val="center"/>
            <w:tcMar>
              <w:top w:w="80" w:type="dxa"/>
              <w:start w:w="120" w:type="dxa"/>
              <w:bottom w:w="80" w:type="dxa"/>
              <w:end w:w="120" w:type="dxa"/>
            </w:tcMar>
          </w:tcPr>
          <w:p>
            <w:pPr>
              <w:spacing w:after="0"/>
            </w:pPr>
            <w:r>
              <w:rPr>
                <w:rFonts w:ascii="Calibri" w:hAnsi="Calibri"/>
                <w:b w:val="0"/>
                <w:i w:val="0"/>
                <w:color w:val="202733"/>
                <w:sz w:val="19"/>
              </w:rPr>
              <w:t>Integration lead</w:t>
            </w:r>
          </w:p>
        </w:tc>
        <w:tc>
          <w:tcPr>
            <w:tcW w:type="dxa" w:w="2860"/>
            <w:vAlign w:val="center"/>
            <w:tcMar>
              <w:top w:w="80" w:type="dxa"/>
              <w:start w:w="120" w:type="dxa"/>
              <w:bottom w:w="80" w:type="dxa"/>
              <w:end w:w="120" w:type="dxa"/>
            </w:tcMar>
          </w:tcPr>
          <w:p>
            <w:pPr>
              <w:spacing w:after="0"/>
            </w:pPr>
            <w:r>
              <w:rPr>
                <w:rFonts w:ascii="Calibri" w:hAnsi="Calibri"/>
                <w:b w:val="0"/>
                <w:i w:val="0"/>
                <w:color w:val="202733"/>
                <w:sz w:val="19"/>
              </w:rPr>
              <w:t>Rejected and timed-out messages reviewed</w:t>
            </w:r>
          </w:p>
        </w:tc>
      </w:tr>
      <w:tr>
        <w:trPr>
          <w:cantSplit/>
        </w:trPr>
        <w:tc>
          <w:tcPr>
            <w:tcW w:type="dxa" w:w="3100"/>
            <w:vAlign w:val="center"/>
            <w:tcMar>
              <w:top w:w="80" w:type="dxa"/>
              <w:start w:w="120" w:type="dxa"/>
              <w:bottom w:w="80" w:type="dxa"/>
              <w:end w:w="120" w:type="dxa"/>
            </w:tcMar>
          </w:tcPr>
          <w:p>
            <w:pPr>
              <w:spacing w:after="0"/>
            </w:pPr>
            <w:r>
              <w:rPr>
                <w:rFonts w:ascii="Calibri" w:hAnsi="Calibri"/>
                <w:b w:val="0"/>
                <w:i w:val="0"/>
                <w:color w:val="202733"/>
                <w:sz w:val="19"/>
              </w:rPr>
              <w:t>Demo-data validation</w:t>
            </w:r>
          </w:p>
        </w:tc>
        <w:tc>
          <w:tcPr>
            <w:tcW w:type="dxa" w:w="1700"/>
            <w:vAlign w:val="center"/>
            <w:tcMar>
              <w:top w:w="80" w:type="dxa"/>
              <w:start w:w="120" w:type="dxa"/>
              <w:bottom w:w="80" w:type="dxa"/>
              <w:end w:w="120" w:type="dxa"/>
            </w:tcMar>
          </w:tcPr>
          <w:p>
            <w:pPr>
              <w:spacing w:after="0"/>
            </w:pPr>
            <w:r>
              <w:rPr>
                <w:rFonts w:ascii="Calibri" w:hAnsi="Calibri"/>
                <w:b w:val="0"/>
                <w:i w:val="0"/>
                <w:color w:val="202733"/>
                <w:sz w:val="19"/>
              </w:rPr>
              <w:t>Before external demos</w:t>
            </w:r>
          </w:p>
        </w:tc>
        <w:tc>
          <w:tcPr>
            <w:tcW w:type="dxa" w:w="1900"/>
            <w:vAlign w:val="center"/>
            <w:tcMar>
              <w:top w:w="80" w:type="dxa"/>
              <w:start w:w="120" w:type="dxa"/>
              <w:bottom w:w="80" w:type="dxa"/>
              <w:end w:w="120" w:type="dxa"/>
            </w:tcMar>
          </w:tcPr>
          <w:p>
            <w:pPr>
              <w:spacing w:after="0"/>
            </w:pPr>
            <w:r>
              <w:rPr>
                <w:rFonts w:ascii="Calibri" w:hAnsi="Calibri"/>
                <w:b w:val="0"/>
                <w:i w:val="0"/>
                <w:color w:val="202733"/>
                <w:sz w:val="19"/>
              </w:rPr>
              <w:t>Product owner</w:t>
            </w:r>
          </w:p>
        </w:tc>
        <w:tc>
          <w:tcPr>
            <w:tcW w:type="dxa" w:w="2860"/>
            <w:vAlign w:val="center"/>
            <w:tcMar>
              <w:top w:w="80" w:type="dxa"/>
              <w:start w:w="120" w:type="dxa"/>
              <w:bottom w:w="80" w:type="dxa"/>
              <w:end w:w="120" w:type="dxa"/>
            </w:tcMar>
          </w:tcPr>
          <w:p>
            <w:pPr>
              <w:spacing w:after="0"/>
            </w:pPr>
            <w:r>
              <w:rPr>
                <w:rFonts w:ascii="Calibri" w:hAnsi="Calibri"/>
                <w:b w:val="0"/>
                <w:i w:val="0"/>
                <w:color w:val="202733"/>
                <w:sz w:val="19"/>
              </w:rPr>
              <w:t>No real PII or payment data present</w:t>
            </w:r>
          </w:p>
        </w:tc>
      </w:tr>
      <w:tr>
        <w:trPr>
          <w:cantSplit/>
        </w:trPr>
        <w:tc>
          <w:tcPr>
            <w:tcW w:type="dxa" w:w="3100"/>
            <w:vAlign w:val="center"/>
            <w:tcMar>
              <w:top w:w="80" w:type="dxa"/>
              <w:start w:w="120" w:type="dxa"/>
              <w:bottom w:w="80" w:type="dxa"/>
              <w:end w:w="120" w:type="dxa"/>
            </w:tcMar>
          </w:tcPr>
          <w:p>
            <w:pPr>
              <w:spacing w:after="0"/>
            </w:pPr>
            <w:r>
              <w:rPr>
                <w:rFonts w:ascii="Calibri" w:hAnsi="Calibri"/>
                <w:b w:val="0"/>
                <w:i w:val="0"/>
                <w:color w:val="202733"/>
                <w:sz w:val="19"/>
              </w:rPr>
              <w:t>Reconciliation check</w:t>
            </w:r>
          </w:p>
        </w:tc>
        <w:tc>
          <w:tcPr>
            <w:tcW w:type="dxa" w:w="1700"/>
            <w:vAlign w:val="center"/>
            <w:tcMar>
              <w:top w:w="80" w:type="dxa"/>
              <w:start w:w="120" w:type="dxa"/>
              <w:bottom w:w="80" w:type="dxa"/>
              <w:end w:w="120" w:type="dxa"/>
            </w:tcMar>
          </w:tcPr>
          <w:p>
            <w:pPr>
              <w:spacing w:after="0"/>
            </w:pPr>
            <w:r>
              <w:rPr>
                <w:rFonts w:ascii="Calibri" w:hAnsi="Calibri"/>
                <w:b w:val="0"/>
                <w:i w:val="0"/>
                <w:color w:val="202733"/>
                <w:sz w:val="19"/>
              </w:rPr>
              <w:t>After transactional demos</w:t>
            </w:r>
          </w:p>
        </w:tc>
        <w:tc>
          <w:tcPr>
            <w:tcW w:type="dxa" w:w="1900"/>
            <w:vAlign w:val="center"/>
            <w:tcMar>
              <w:top w:w="80" w:type="dxa"/>
              <w:start w:w="120" w:type="dxa"/>
              <w:bottom w:w="80" w:type="dxa"/>
              <w:end w:w="120" w:type="dxa"/>
            </w:tcMar>
          </w:tcPr>
          <w:p>
            <w:pPr>
              <w:spacing w:after="0"/>
            </w:pPr>
            <w:r>
              <w:rPr>
                <w:rFonts w:ascii="Calibri" w:hAnsi="Calibri"/>
                <w:b w:val="0"/>
                <w:i w:val="0"/>
                <w:color w:val="202733"/>
                <w:sz w:val="19"/>
              </w:rPr>
              <w:t>Bank operations</w:t>
            </w:r>
          </w:p>
        </w:tc>
        <w:tc>
          <w:tcPr>
            <w:tcW w:type="dxa" w:w="2860"/>
            <w:vAlign w:val="center"/>
            <w:tcMar>
              <w:top w:w="80" w:type="dxa"/>
              <w:start w:w="120" w:type="dxa"/>
              <w:bottom w:w="80" w:type="dxa"/>
              <w:end w:w="120" w:type="dxa"/>
            </w:tcMar>
          </w:tcPr>
          <w:p>
            <w:pPr>
              <w:spacing w:after="0"/>
            </w:pPr>
            <w:r>
              <w:rPr>
                <w:rFonts w:ascii="Calibri" w:hAnsi="Calibri"/>
                <w:b w:val="0"/>
                <w:i w:val="0"/>
                <w:color w:val="202733"/>
                <w:sz w:val="19"/>
              </w:rPr>
              <w:t>Duranki and FLEXCUBE references agree</w:t>
            </w:r>
          </w:p>
        </w:tc>
      </w:tr>
    </w:tbl>
    <w:p>
      <w:pPr>
        <w:spacing w:after="0"/>
      </w:pPr>
    </w:p>
    <w:p>
      <w:pPr>
        <w:pStyle w:val="Heading1"/>
      </w:pPr>
      <w:r>
        <w:t>10. Backup and recovery</w:t>
      </w:r>
    </w:p>
    <w:p>
      <w:r>
        <w:t>Preserve demonstration data using the approved application backup process and an authorized encrypted location. Backups must not contain real customer data.</w:t>
      </w:r>
    </w:p>
    <w:p>
      <w:pPr>
        <w:pStyle w:val="ListNumber"/>
      </w:pPr>
      <w:r>
        <w:rPr>
          <w:rFonts w:ascii="Calibri" w:hAnsi="Calibri"/>
          <w:b/>
          <w:i w:val="0"/>
          <w:color w:val="0B1D33"/>
          <w:sz w:val="22"/>
        </w:rPr>
        <w:t xml:space="preserve">Create backup — </w:t>
      </w:r>
      <w:r>
        <w:rPr>
          <w:rFonts w:ascii="Calibri" w:hAnsi="Calibri"/>
          <w:b w:val="0"/>
          <w:i w:val="0"/>
          <w:color w:val="000000"/>
          <w:sz w:val="22"/>
        </w:rPr>
        <w:t>Run the approved application-data backup procedure to an authorized encrypted location.</w:t>
      </w:r>
    </w:p>
    <w:p>
      <w:pPr>
        <w:spacing w:after="80"/>
        <w:ind w:left="540"/>
      </w:pPr>
      <w:r>
        <w:rPr>
          <w:rFonts w:ascii="Calibri" w:hAnsi="Calibri"/>
          <w:b/>
          <w:i w:val="0"/>
          <w:color w:val="667085"/>
          <w:sz w:val="19"/>
        </w:rPr>
        <w:t>Owner: Demo administrator</w:t>
      </w:r>
      <w:r>
        <w:t xml:space="preserve">   |   </w:t>
      </w:r>
      <w:r>
        <w:rPr>
          <w:rFonts w:ascii="Calibri" w:hAnsi="Calibri"/>
          <w:b w:val="0"/>
          <w:i w:val="0"/>
          <w:color w:val="667085"/>
          <w:sz w:val="19"/>
        </w:rPr>
        <w:t>Evidence: Backup completes successfully</w:t>
      </w:r>
    </w:p>
    <w:p>
      <w:pPr>
        <w:pStyle w:val="ListNumber"/>
      </w:pPr>
      <w:r>
        <w:rPr>
          <w:rFonts w:ascii="Calibri" w:hAnsi="Calibri"/>
          <w:b/>
          <w:i w:val="0"/>
          <w:color w:val="0B1D33"/>
          <w:sz w:val="22"/>
        </w:rPr>
        <w:t xml:space="preserve">Record metadata — </w:t>
      </w:r>
      <w:r>
        <w:rPr>
          <w:rFonts w:ascii="Calibri" w:hAnsi="Calibri"/>
          <w:b w:val="0"/>
          <w:i w:val="0"/>
          <w:color w:val="000000"/>
          <w:sz w:val="22"/>
        </w:rPr>
        <w:t>Record date, environment, schema version and operator.</w:t>
      </w:r>
    </w:p>
    <w:p>
      <w:pPr>
        <w:spacing w:after="80"/>
        <w:ind w:left="540"/>
      </w:pPr>
      <w:r>
        <w:rPr>
          <w:rFonts w:ascii="Calibri" w:hAnsi="Calibri"/>
          <w:b/>
          <w:i w:val="0"/>
          <w:color w:val="667085"/>
          <w:sz w:val="19"/>
        </w:rPr>
        <w:t>Owner: Demo administrator</w:t>
      </w:r>
    </w:p>
    <w:p>
      <w:pPr>
        <w:pStyle w:val="ListNumber"/>
      </w:pPr>
      <w:r>
        <w:rPr>
          <w:rFonts w:ascii="Calibri" w:hAnsi="Calibri"/>
          <w:b/>
          <w:i w:val="0"/>
          <w:color w:val="0B1D33"/>
          <w:sz w:val="22"/>
        </w:rPr>
        <w:t xml:space="preserve">Test restore — </w:t>
      </w:r>
      <w:r>
        <w:rPr>
          <w:rFonts w:ascii="Calibri" w:hAnsi="Calibri"/>
          <w:b w:val="0"/>
          <w:i w:val="0"/>
          <w:color w:val="000000"/>
          <w:sz w:val="22"/>
        </w:rPr>
        <w:t>Restore into an isolated test environment and complete the application checks.</w:t>
      </w:r>
    </w:p>
    <w:p>
      <w:pPr>
        <w:spacing w:after="80"/>
        <w:ind w:left="540"/>
      </w:pPr>
      <w:r>
        <w:rPr>
          <w:rFonts w:ascii="Calibri" w:hAnsi="Calibri"/>
          <w:b/>
          <w:i w:val="0"/>
          <w:color w:val="667085"/>
          <w:sz w:val="19"/>
        </w:rPr>
        <w:t>Owner: Application support / administrator</w:t>
      </w:r>
      <w:r>
        <w:t xml:space="preserve">   |   </w:t>
      </w:r>
      <w:r>
        <w:rPr>
          <w:rFonts w:ascii="Calibri" w:hAnsi="Calibri"/>
          <w:b w:val="0"/>
          <w:i w:val="0"/>
          <w:color w:val="667085"/>
          <w:sz w:val="19"/>
        </w:rPr>
        <w:t>Evidence: Login and KYC records are accessible</w:t>
      </w:r>
    </w:p>
    <w:p>
      <w:pPr>
        <w:pStyle w:val="ListNumber"/>
      </w:pPr>
      <w:r>
        <w:rPr>
          <w:rFonts w:ascii="Calibri" w:hAnsi="Calibri"/>
          <w:b/>
          <w:i w:val="0"/>
          <w:color w:val="0B1D33"/>
          <w:sz w:val="22"/>
        </w:rPr>
        <w:t xml:space="preserve">Retain and dispose — </w:t>
      </w:r>
      <w:r>
        <w:rPr>
          <w:rFonts w:ascii="Calibri" w:hAnsi="Calibri"/>
          <w:b w:val="0"/>
          <w:i w:val="0"/>
          <w:color w:val="000000"/>
          <w:sz w:val="22"/>
        </w:rPr>
        <w:t>Follow the agreed demo retention period; securely remove expired backups.</w:t>
      </w:r>
    </w:p>
    <w:p>
      <w:pPr>
        <w:spacing w:after="80"/>
        <w:ind w:left="540"/>
      </w:pPr>
      <w:r>
        <w:rPr>
          <w:rFonts w:ascii="Calibri" w:hAnsi="Calibri"/>
          <w:b/>
          <w:i w:val="0"/>
          <w:color w:val="667085"/>
          <w:sz w:val="19"/>
        </w:rPr>
        <w:t>Owner: Process owner</w:t>
      </w:r>
    </w:p>
    <w:p>
      <w:pPr>
        <w:pStyle w:val="Heading1"/>
      </w:pPr>
      <w:r>
        <w:t>11. Shutdown procedure</w:t>
      </w:r>
    </w:p>
    <w:p>
      <w:pPr>
        <w:pStyle w:val="ListNumber"/>
      </w:pPr>
      <w:r>
        <w:rPr>
          <w:rFonts w:ascii="Calibri" w:hAnsi="Calibri"/>
          <w:b/>
          <w:i w:val="0"/>
          <w:color w:val="0B1D33"/>
          <w:sz w:val="22"/>
        </w:rPr>
        <w:t xml:space="preserve">Finish active workflows — </w:t>
      </w:r>
      <w:r>
        <w:rPr>
          <w:rFonts w:ascii="Calibri" w:hAnsi="Calibri"/>
          <w:b w:val="0"/>
          <w:i w:val="0"/>
          <w:color w:val="000000"/>
          <w:sz w:val="22"/>
        </w:rPr>
        <w:t>Complete or cancel payments and KYC decisions. Sign out customer and staff sessions.</w:t>
      </w:r>
    </w:p>
    <w:p>
      <w:pPr>
        <w:spacing w:after="80"/>
        <w:ind w:left="540"/>
      </w:pPr>
      <w:r>
        <w:rPr>
          <w:rFonts w:ascii="Calibri" w:hAnsi="Calibri"/>
          <w:b/>
          <w:i w:val="0"/>
          <w:color w:val="667085"/>
          <w:sz w:val="19"/>
        </w:rPr>
        <w:t>Owner: Presenter</w:t>
      </w:r>
    </w:p>
    <w:p>
      <w:pPr>
        <w:pStyle w:val="ListNumber"/>
      </w:pPr>
      <w:r>
        <w:rPr>
          <w:rFonts w:ascii="Calibri" w:hAnsi="Calibri"/>
          <w:b/>
          <w:i w:val="0"/>
          <w:color w:val="0B1D33"/>
          <w:sz w:val="22"/>
        </w:rPr>
        <w:t xml:space="preserve">End active presentation — </w:t>
      </w:r>
      <w:r>
        <w:rPr>
          <w:rFonts w:ascii="Calibri" w:hAnsi="Calibri"/>
          <w:b w:val="0"/>
          <w:i w:val="0"/>
          <w:color w:val="000000"/>
          <w:sz w:val="22"/>
        </w:rPr>
        <w:t>Confirm that no demonstration activity is still in progress and close the presentation view.</w:t>
      </w:r>
    </w:p>
    <w:p>
      <w:pPr>
        <w:spacing w:after="80"/>
        <w:ind w:left="540"/>
      </w:pPr>
      <w:r>
        <w:rPr>
          <w:rFonts w:ascii="Calibri" w:hAnsi="Calibri"/>
          <w:b/>
          <w:i w:val="0"/>
          <w:color w:val="667085"/>
          <w:sz w:val="19"/>
        </w:rPr>
        <w:t>Owner: Demo administrator</w:t>
      </w:r>
    </w:p>
    <w:p>
      <w:pPr>
        <w:pStyle w:val="ListNumber"/>
      </w:pPr>
      <w:r>
        <w:rPr>
          <w:rFonts w:ascii="Calibri" w:hAnsi="Calibri"/>
          <w:b/>
          <w:i w:val="0"/>
          <w:color w:val="0B1D33"/>
          <w:sz w:val="22"/>
        </w:rPr>
        <w:t xml:space="preserve">Close the application — </w:t>
      </w:r>
      <w:r>
        <w:rPr>
          <w:rFonts w:ascii="Calibri" w:hAnsi="Calibri"/>
          <w:b w:val="0"/>
          <w:i w:val="0"/>
          <w:color w:val="000000"/>
          <w:sz w:val="22"/>
        </w:rPr>
        <w:t>Close the customer and staff application sessions after all users have signed out.</w:t>
      </w:r>
    </w:p>
    <w:p>
      <w:pPr>
        <w:spacing w:after="80"/>
        <w:ind w:left="540"/>
      </w:pPr>
      <w:r>
        <w:rPr>
          <w:rFonts w:ascii="Calibri" w:hAnsi="Calibri"/>
          <w:b/>
          <w:i w:val="0"/>
          <w:color w:val="667085"/>
          <w:sz w:val="19"/>
        </w:rPr>
        <w:t>Owner: Demo administrator</w:t>
      </w:r>
      <w:r>
        <w:t xml:space="preserve">   |   </w:t>
      </w:r>
      <w:r>
        <w:rPr>
          <w:rFonts w:ascii="Calibri" w:hAnsi="Calibri"/>
          <w:b w:val="0"/>
          <w:i w:val="0"/>
          <w:color w:val="667085"/>
          <w:sz w:val="19"/>
        </w:rPr>
        <w:t>Evidence: No demonstration sessions remain active</w:t>
      </w:r>
    </w:p>
    <w:p>
      <w:pPr>
        <w:pStyle w:val="ListNumber"/>
      </w:pPr>
      <w:r>
        <w:rPr>
          <w:rFonts w:ascii="Calibri" w:hAnsi="Calibri"/>
          <w:b/>
          <w:i w:val="0"/>
          <w:color w:val="0B1D33"/>
          <w:sz w:val="22"/>
        </w:rPr>
        <w:t xml:space="preserve">Preserve records when required — </w:t>
      </w:r>
      <w:r>
        <w:rPr>
          <w:rFonts w:ascii="Calibri" w:hAnsi="Calibri"/>
          <w:b w:val="0"/>
          <w:i w:val="0"/>
          <w:color w:val="000000"/>
          <w:sz w:val="22"/>
        </w:rPr>
        <w:t>Retain required demonstration records and backups according to the approved retention period.</w:t>
      </w:r>
    </w:p>
    <w:p>
      <w:pPr>
        <w:spacing w:after="80"/>
        <w:ind w:left="540"/>
      </w:pPr>
      <w:r>
        <w:rPr>
          <w:rFonts w:ascii="Calibri" w:hAnsi="Calibri"/>
          <w:b/>
          <w:i w:val="0"/>
          <w:color w:val="667085"/>
          <w:sz w:val="19"/>
        </w:rPr>
        <w:t>Owner: Demo administrator</w:t>
      </w:r>
    </w:p>
    <w:p>
      <w:pPr>
        <w:pStyle w:val="ListNumber"/>
      </w:pPr>
      <w:r>
        <w:rPr>
          <w:rFonts w:ascii="Calibri" w:hAnsi="Calibri"/>
          <w:b/>
          <w:i w:val="0"/>
          <w:color w:val="0B1D33"/>
          <w:sz w:val="22"/>
        </w:rPr>
        <w:t xml:space="preserve">Confirm completion — </w:t>
      </w:r>
      <w:r>
        <w:rPr>
          <w:rFonts w:ascii="Calibri" w:hAnsi="Calibri"/>
          <w:b w:val="0"/>
          <w:i w:val="0"/>
          <w:color w:val="000000"/>
          <w:sz w:val="22"/>
        </w:rPr>
        <w:t>Complete the post-demonstration checklist and record any incident or stakeholder feedback.</w:t>
      </w:r>
    </w:p>
    <w:p>
      <w:pPr>
        <w:spacing w:after="80"/>
        <w:ind w:left="540"/>
      </w:pPr>
      <w:r>
        <w:rPr>
          <w:rFonts w:ascii="Calibri" w:hAnsi="Calibri"/>
          <w:b/>
          <w:i w:val="0"/>
          <w:color w:val="667085"/>
          <w:sz w:val="19"/>
        </w:rPr>
        <w:t>Owner: Demo administrator</w:t>
      </w:r>
    </w:p>
    <w:p>
      <w:pPr>
        <w:pStyle w:val="Heading1"/>
      </w:pPr>
      <w:r>
        <w:t>12. Incident handling and troubleshooting</w:t>
      </w:r>
    </w:p>
    <w:tbl>
      <w:tblPr>
        <w:tblStyle w:val="TableGrid"/>
        <w:tblW w:type="dxa" w:w="9360"/>
        <w:tblLayout w:type="fixed"/>
        <w:tblLook w:firstColumn="1" w:firstRow="1" w:lastColumn="0" w:lastRow="0" w:noHBand="0" w:noVBand="1" w:val="04A0"/>
        <w:jc w:val="left"/>
        <w:tblInd w:w="120" w:type="dxa"/>
        <w:tblInd w:w="120" w:type="dxa"/>
      </w:tblPr>
      <w:tblGrid>
        <w:gridCol w:w="2300"/>
        <w:gridCol w:w="2800"/>
        <w:gridCol w:w="4260"/>
      </w:tblGrid>
      <w:tr>
        <w:trPr>
          <w:cantSplit/>
        </w:trPr>
        <w:tc>
          <w:tcPr>
            <w:tcW w:type="dxa" w:w="23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Symptom</w:t>
            </w:r>
          </w:p>
        </w:tc>
        <w:tc>
          <w:tcPr>
            <w:tcW w:type="dxa" w:w="28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Likely cause</w:t>
            </w:r>
          </w:p>
        </w:tc>
        <w:tc>
          <w:tcPr>
            <w:tcW w:type="dxa" w:w="426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Action</w:t>
            </w:r>
          </w:p>
        </w:tc>
      </w:tr>
      <w:tr>
        <w:trPr>
          <w:cantSplit/>
        </w:trPr>
        <w:tc>
          <w:tcPr>
            <w:tcW w:type="dxa" w:w="2300"/>
            <w:vAlign w:val="center"/>
            <w:tcMar>
              <w:top w:w="80" w:type="dxa"/>
              <w:start w:w="120" w:type="dxa"/>
              <w:bottom w:w="80" w:type="dxa"/>
              <w:end w:w="120" w:type="dxa"/>
            </w:tcMar>
          </w:tcPr>
          <w:p>
            <w:pPr>
              <w:spacing w:after="0"/>
            </w:pPr>
            <w:r>
              <w:rPr>
                <w:rFonts w:ascii="Calibri" w:hAnsi="Calibri"/>
                <w:b w:val="0"/>
                <w:i w:val="0"/>
                <w:color w:val="202733"/>
                <w:sz w:val="19"/>
              </w:rPr>
              <w:t>Application cannot be reached</w:t>
            </w:r>
          </w:p>
        </w:tc>
        <w:tc>
          <w:tcPr>
            <w:tcW w:type="dxa" w:w="2800"/>
            <w:vAlign w:val="center"/>
            <w:tcMar>
              <w:top w:w="80" w:type="dxa"/>
              <w:start w:w="120" w:type="dxa"/>
              <w:bottom w:w="80" w:type="dxa"/>
              <w:end w:w="120" w:type="dxa"/>
            </w:tcMar>
          </w:tcPr>
          <w:p>
            <w:pPr>
              <w:spacing w:after="0"/>
            </w:pPr>
            <w:r>
              <w:rPr>
                <w:rFonts w:ascii="Calibri" w:hAnsi="Calibri"/>
                <w:b w:val="0"/>
                <w:i w:val="0"/>
                <w:color w:val="202733"/>
                <w:sz w:val="19"/>
              </w:rPr>
              <w:t>Application or network unavailable</w:t>
            </w:r>
          </w:p>
        </w:tc>
        <w:tc>
          <w:tcPr>
            <w:tcW w:type="dxa" w:w="4260"/>
            <w:vAlign w:val="center"/>
            <w:tcMar>
              <w:top w:w="80" w:type="dxa"/>
              <w:start w:w="120" w:type="dxa"/>
              <w:bottom w:w="80" w:type="dxa"/>
              <w:end w:w="120" w:type="dxa"/>
            </w:tcMar>
          </w:tcPr>
          <w:p>
            <w:pPr>
              <w:spacing w:after="0"/>
            </w:pPr>
            <w:r>
              <w:rPr>
                <w:rFonts w:ascii="Calibri" w:hAnsi="Calibri"/>
                <w:b w:val="0"/>
                <w:i w:val="0"/>
                <w:color w:val="202733"/>
                <w:sz w:val="19"/>
              </w:rPr>
              <w:t>Confirm the approved address and network connection; contact application support.</w:t>
            </w:r>
          </w:p>
        </w:tc>
      </w:tr>
      <w:tr>
        <w:trPr>
          <w:cantSplit/>
        </w:trPr>
        <w:tc>
          <w:tcPr>
            <w:tcW w:type="dxa" w:w="2300"/>
            <w:vAlign w:val="center"/>
            <w:tcMar>
              <w:top w:w="80" w:type="dxa"/>
              <w:start w:w="120" w:type="dxa"/>
              <w:bottom w:w="80" w:type="dxa"/>
              <w:end w:w="120" w:type="dxa"/>
            </w:tcMar>
          </w:tcPr>
          <w:p>
            <w:pPr>
              <w:spacing w:after="0"/>
            </w:pPr>
            <w:r>
              <w:rPr>
                <w:rFonts w:ascii="Calibri" w:hAnsi="Calibri"/>
                <w:b w:val="0"/>
                <w:i w:val="0"/>
                <w:color w:val="202733"/>
                <w:sz w:val="19"/>
              </w:rPr>
              <w:t>FLEXCUBE request rejected</w:t>
            </w:r>
          </w:p>
        </w:tc>
        <w:tc>
          <w:tcPr>
            <w:tcW w:type="dxa" w:w="2800"/>
            <w:vAlign w:val="center"/>
            <w:tcMar>
              <w:top w:w="80" w:type="dxa"/>
              <w:start w:w="120" w:type="dxa"/>
              <w:bottom w:w="80" w:type="dxa"/>
              <w:end w:w="120" w:type="dxa"/>
            </w:tcMar>
          </w:tcPr>
          <w:p>
            <w:pPr>
              <w:spacing w:after="0"/>
            </w:pPr>
            <w:r>
              <w:rPr>
                <w:rFonts w:ascii="Calibri" w:hAnsi="Calibri"/>
                <w:b w:val="0"/>
                <w:i w:val="0"/>
                <w:color w:val="202733"/>
                <w:sz w:val="19"/>
              </w:rPr>
              <w:t>Mapping, authorization or core validation</w:t>
            </w:r>
          </w:p>
        </w:tc>
        <w:tc>
          <w:tcPr>
            <w:tcW w:type="dxa" w:w="4260"/>
            <w:vAlign w:val="center"/>
            <w:tcMar>
              <w:top w:w="80" w:type="dxa"/>
              <w:start w:w="120" w:type="dxa"/>
              <w:bottom w:w="80" w:type="dxa"/>
              <w:end w:w="120" w:type="dxa"/>
            </w:tcMar>
          </w:tcPr>
          <w:p>
            <w:pPr>
              <w:spacing w:after="0"/>
            </w:pPr>
            <w:r>
              <w:rPr>
                <w:rFonts w:ascii="Calibri" w:hAnsi="Calibri"/>
                <w:b w:val="0"/>
                <w:i w:val="0"/>
                <w:color w:val="202733"/>
                <w:sz w:val="19"/>
              </w:rPr>
              <w:t>Display the controlled message; retain references and review with the bank owner.</w:t>
            </w:r>
          </w:p>
        </w:tc>
      </w:tr>
      <w:tr>
        <w:trPr>
          <w:cantSplit/>
        </w:trPr>
        <w:tc>
          <w:tcPr>
            <w:tcW w:type="dxa" w:w="2300"/>
            <w:vAlign w:val="center"/>
            <w:tcMar>
              <w:top w:w="80" w:type="dxa"/>
              <w:start w:w="120" w:type="dxa"/>
              <w:bottom w:w="80" w:type="dxa"/>
              <w:end w:w="120" w:type="dxa"/>
            </w:tcMar>
          </w:tcPr>
          <w:p>
            <w:pPr>
              <w:spacing w:after="0"/>
            </w:pPr>
            <w:r>
              <w:rPr>
                <w:rFonts w:ascii="Calibri" w:hAnsi="Calibri"/>
                <w:b w:val="0"/>
                <w:i w:val="0"/>
                <w:color w:val="202733"/>
                <w:sz w:val="19"/>
              </w:rPr>
              <w:t>FLEXCUBE request times out</w:t>
            </w:r>
          </w:p>
        </w:tc>
        <w:tc>
          <w:tcPr>
            <w:tcW w:type="dxa" w:w="2800"/>
            <w:vAlign w:val="center"/>
            <w:tcMar>
              <w:top w:w="80" w:type="dxa"/>
              <w:start w:w="120" w:type="dxa"/>
              <w:bottom w:w="80" w:type="dxa"/>
              <w:end w:w="120" w:type="dxa"/>
            </w:tcMar>
          </w:tcPr>
          <w:p>
            <w:pPr>
              <w:spacing w:after="0"/>
            </w:pPr>
            <w:r>
              <w:rPr>
                <w:rFonts w:ascii="Calibri" w:hAnsi="Calibri"/>
                <w:b w:val="0"/>
                <w:i w:val="0"/>
                <w:color w:val="202733"/>
                <w:sz w:val="19"/>
              </w:rPr>
              <w:t>Network or service latency</w:t>
            </w:r>
          </w:p>
        </w:tc>
        <w:tc>
          <w:tcPr>
            <w:tcW w:type="dxa" w:w="4260"/>
            <w:vAlign w:val="center"/>
            <w:tcMar>
              <w:top w:w="80" w:type="dxa"/>
              <w:start w:w="120" w:type="dxa"/>
              <w:bottom w:w="80" w:type="dxa"/>
              <w:end w:w="120" w:type="dxa"/>
            </w:tcMar>
          </w:tcPr>
          <w:p>
            <w:pPr>
              <w:spacing w:after="0"/>
            </w:pPr>
            <w:r>
              <w:rPr>
                <w:rFonts w:ascii="Calibri" w:hAnsi="Calibri"/>
                <w:b w:val="0"/>
                <w:i w:val="0"/>
                <w:color w:val="202733"/>
                <w:sz w:val="19"/>
              </w:rPr>
              <w:t>Do not submit blindly; query status using the original reference and reconcile.</w:t>
            </w:r>
          </w:p>
        </w:tc>
      </w:tr>
      <w:tr>
        <w:trPr>
          <w:cantSplit/>
        </w:trPr>
        <w:tc>
          <w:tcPr>
            <w:tcW w:type="dxa" w:w="2300"/>
            <w:vAlign w:val="center"/>
            <w:tcMar>
              <w:top w:w="80" w:type="dxa"/>
              <w:start w:w="120" w:type="dxa"/>
              <w:bottom w:w="80" w:type="dxa"/>
              <w:end w:w="120" w:type="dxa"/>
            </w:tcMar>
          </w:tcPr>
          <w:p>
            <w:pPr>
              <w:spacing w:after="0"/>
            </w:pPr>
            <w:r>
              <w:rPr>
                <w:rFonts w:ascii="Calibri" w:hAnsi="Calibri"/>
                <w:b w:val="0"/>
                <w:i w:val="0"/>
                <w:color w:val="202733"/>
                <w:sz w:val="19"/>
              </w:rPr>
              <w:t>Banking information does not load</w:t>
            </w:r>
          </w:p>
        </w:tc>
        <w:tc>
          <w:tcPr>
            <w:tcW w:type="dxa" w:w="2800"/>
            <w:vAlign w:val="center"/>
            <w:tcMar>
              <w:top w:w="80" w:type="dxa"/>
              <w:start w:w="120" w:type="dxa"/>
              <w:bottom w:w="80" w:type="dxa"/>
              <w:end w:w="120" w:type="dxa"/>
            </w:tcMar>
          </w:tcPr>
          <w:p>
            <w:pPr>
              <w:spacing w:after="0"/>
            </w:pPr>
            <w:r>
              <w:rPr>
                <w:rFonts w:ascii="Calibri" w:hAnsi="Calibri"/>
                <w:b w:val="0"/>
                <w:i w:val="0"/>
                <w:color w:val="202733"/>
                <w:sz w:val="19"/>
              </w:rPr>
              <w:t>Integration service unavailable or access expired</w:t>
            </w:r>
          </w:p>
        </w:tc>
        <w:tc>
          <w:tcPr>
            <w:tcW w:type="dxa" w:w="4260"/>
            <w:vAlign w:val="center"/>
            <w:tcMar>
              <w:top w:w="80" w:type="dxa"/>
              <w:start w:w="120" w:type="dxa"/>
              <w:bottom w:w="80" w:type="dxa"/>
              <w:end w:w="120" w:type="dxa"/>
            </w:tcMar>
          </w:tcPr>
          <w:p>
            <w:pPr>
              <w:spacing w:after="0"/>
            </w:pPr>
            <w:r>
              <w:rPr>
                <w:rFonts w:ascii="Calibri" w:hAnsi="Calibri"/>
                <w:b w:val="0"/>
                <w:i w:val="0"/>
                <w:color w:val="202733"/>
                <w:sz w:val="19"/>
              </w:rPr>
              <w:t>Sign in again; if unresolved, preserve the error details and escalate.</w:t>
            </w:r>
          </w:p>
        </w:tc>
      </w:tr>
      <w:tr>
        <w:trPr>
          <w:cantSplit/>
        </w:trPr>
        <w:tc>
          <w:tcPr>
            <w:tcW w:type="dxa" w:w="2300"/>
            <w:vAlign w:val="center"/>
            <w:tcMar>
              <w:top w:w="80" w:type="dxa"/>
              <w:start w:w="120" w:type="dxa"/>
              <w:bottom w:w="80" w:type="dxa"/>
              <w:end w:w="120" w:type="dxa"/>
            </w:tcMar>
          </w:tcPr>
          <w:p>
            <w:pPr>
              <w:spacing w:after="0"/>
            </w:pPr>
            <w:r>
              <w:rPr>
                <w:rFonts w:ascii="Calibri" w:hAnsi="Calibri"/>
                <w:b w:val="0"/>
                <w:i w:val="0"/>
                <w:color w:val="202733"/>
                <w:sz w:val="19"/>
              </w:rPr>
              <w:t>Login rejected</w:t>
            </w:r>
          </w:p>
        </w:tc>
        <w:tc>
          <w:tcPr>
            <w:tcW w:type="dxa" w:w="2800"/>
            <w:vAlign w:val="center"/>
            <w:tcMar>
              <w:top w:w="80" w:type="dxa"/>
              <w:start w:w="120" w:type="dxa"/>
              <w:bottom w:w="80" w:type="dxa"/>
              <w:end w:w="120" w:type="dxa"/>
            </w:tcMar>
          </w:tcPr>
          <w:p>
            <w:pPr>
              <w:spacing w:after="0"/>
            </w:pPr>
            <w:r>
              <w:rPr>
                <w:rFonts w:ascii="Calibri" w:hAnsi="Calibri"/>
                <w:b w:val="0"/>
                <w:i w:val="0"/>
                <w:color w:val="202733"/>
                <w:sz w:val="19"/>
              </w:rPr>
              <w:t>Incorrect credentials or account status</w:t>
            </w:r>
          </w:p>
        </w:tc>
        <w:tc>
          <w:tcPr>
            <w:tcW w:type="dxa" w:w="4260"/>
            <w:vAlign w:val="center"/>
            <w:tcMar>
              <w:top w:w="80" w:type="dxa"/>
              <w:start w:w="120" w:type="dxa"/>
              <w:bottom w:w="80" w:type="dxa"/>
              <w:end w:w="120" w:type="dxa"/>
            </w:tcMar>
          </w:tcPr>
          <w:p>
            <w:pPr>
              <w:spacing w:after="0"/>
            </w:pPr>
            <w:r>
              <w:rPr>
                <w:rFonts w:ascii="Calibri" w:hAnsi="Calibri"/>
                <w:b w:val="0"/>
                <w:i w:val="0"/>
                <w:color w:val="202733"/>
                <w:sz w:val="19"/>
              </w:rPr>
              <w:t>Confirm demo credentials; ask authorized staff to review the user and KYC status.</w:t>
            </w:r>
          </w:p>
        </w:tc>
      </w:tr>
      <w:tr>
        <w:trPr>
          <w:cantSplit/>
        </w:trPr>
        <w:tc>
          <w:tcPr>
            <w:tcW w:type="dxa" w:w="2300"/>
            <w:vAlign w:val="center"/>
            <w:tcMar>
              <w:top w:w="80" w:type="dxa"/>
              <w:start w:w="120" w:type="dxa"/>
              <w:bottom w:w="80" w:type="dxa"/>
              <w:end w:w="120" w:type="dxa"/>
            </w:tcMar>
          </w:tcPr>
          <w:p>
            <w:pPr>
              <w:spacing w:after="0"/>
            </w:pPr>
            <w:r>
              <w:rPr>
                <w:rFonts w:ascii="Calibri" w:hAnsi="Calibri"/>
                <w:b w:val="0"/>
                <w:i w:val="0"/>
                <w:color w:val="202733"/>
                <w:sz w:val="19"/>
              </w:rPr>
              <w:t>KYC list empty</w:t>
            </w:r>
          </w:p>
        </w:tc>
        <w:tc>
          <w:tcPr>
            <w:tcW w:type="dxa" w:w="2800"/>
            <w:vAlign w:val="center"/>
            <w:tcMar>
              <w:top w:w="80" w:type="dxa"/>
              <w:start w:w="120" w:type="dxa"/>
              <w:bottom w:w="80" w:type="dxa"/>
              <w:end w:w="120" w:type="dxa"/>
            </w:tcMar>
          </w:tcPr>
          <w:p>
            <w:pPr>
              <w:spacing w:after="0"/>
            </w:pPr>
            <w:r>
              <w:rPr>
                <w:rFonts w:ascii="Calibri" w:hAnsi="Calibri"/>
                <w:b w:val="0"/>
                <w:i w:val="0"/>
                <w:color w:val="202733"/>
                <w:sz w:val="19"/>
              </w:rPr>
              <w:t>Staff session, filter or application issue</w:t>
            </w:r>
          </w:p>
        </w:tc>
        <w:tc>
          <w:tcPr>
            <w:tcW w:type="dxa" w:w="4260"/>
            <w:vAlign w:val="center"/>
            <w:tcMar>
              <w:top w:w="80" w:type="dxa"/>
              <w:start w:w="120" w:type="dxa"/>
              <w:bottom w:w="80" w:type="dxa"/>
              <w:end w:w="120" w:type="dxa"/>
            </w:tcMar>
          </w:tcPr>
          <w:p>
            <w:pPr>
              <w:spacing w:after="0"/>
            </w:pPr>
            <w:r>
              <w:rPr>
                <w:rFonts w:ascii="Calibri" w:hAnsi="Calibri"/>
                <w:b w:val="0"/>
                <w:i w:val="0"/>
                <w:color w:val="202733"/>
                <w:sz w:val="19"/>
              </w:rPr>
              <w:t>Sign in again, clear filters and confirm the correct staff role; escalate if unresolved.</w:t>
            </w:r>
          </w:p>
        </w:tc>
      </w:tr>
      <w:tr>
        <w:trPr>
          <w:cantSplit/>
        </w:trPr>
        <w:tc>
          <w:tcPr>
            <w:tcW w:type="dxa" w:w="2300"/>
            <w:vAlign w:val="center"/>
            <w:tcMar>
              <w:top w:w="80" w:type="dxa"/>
              <w:start w:w="120" w:type="dxa"/>
              <w:bottom w:w="80" w:type="dxa"/>
              <w:end w:w="120" w:type="dxa"/>
            </w:tcMar>
          </w:tcPr>
          <w:p>
            <w:pPr>
              <w:spacing w:after="0"/>
            </w:pPr>
            <w:r>
              <w:rPr>
                <w:rFonts w:ascii="Calibri" w:hAnsi="Calibri"/>
                <w:b w:val="0"/>
                <w:i w:val="0"/>
                <w:color w:val="202733"/>
                <w:sz w:val="19"/>
              </w:rPr>
              <w:t>Unexpected transaction result</w:t>
            </w:r>
          </w:p>
        </w:tc>
        <w:tc>
          <w:tcPr>
            <w:tcW w:type="dxa" w:w="2800"/>
            <w:vAlign w:val="center"/>
            <w:tcMar>
              <w:top w:w="80" w:type="dxa"/>
              <w:start w:w="120" w:type="dxa"/>
              <w:bottom w:w="80" w:type="dxa"/>
              <w:end w:w="120" w:type="dxa"/>
            </w:tcMar>
          </w:tcPr>
          <w:p>
            <w:pPr>
              <w:spacing w:after="0"/>
            </w:pPr>
            <w:r>
              <w:rPr>
                <w:rFonts w:ascii="Calibri" w:hAnsi="Calibri"/>
                <w:b w:val="0"/>
                <w:i w:val="0"/>
                <w:color w:val="202733"/>
                <w:sz w:val="19"/>
              </w:rPr>
              <w:t>Validation or integration error</w:t>
            </w:r>
          </w:p>
        </w:tc>
        <w:tc>
          <w:tcPr>
            <w:tcW w:type="dxa" w:w="4260"/>
            <w:vAlign w:val="center"/>
            <w:tcMar>
              <w:top w:w="80" w:type="dxa"/>
              <w:start w:w="120" w:type="dxa"/>
              <w:bottom w:w="80" w:type="dxa"/>
              <w:end w:w="120" w:type="dxa"/>
            </w:tcMar>
          </w:tcPr>
          <w:p>
            <w:pPr>
              <w:spacing w:after="0"/>
            </w:pPr>
            <w:r>
              <w:rPr>
                <w:rFonts w:ascii="Calibri" w:hAnsi="Calibri"/>
                <w:b w:val="0"/>
                <w:i w:val="0"/>
                <w:color w:val="202733"/>
                <w:sz w:val="19"/>
              </w:rPr>
              <w:t>Stop further transactions, preserve both system references and notify the owners.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E8F4F8"/>
          </w:tcPr>
          <w:p>
            <w:pPr>
              <w:pStyle w:val="SOPNote"/>
            </w:pPr>
            <w:r>
              <w:rPr>
                <w:rFonts w:ascii="Calibri" w:hAnsi="Calibri"/>
                <w:b/>
                <w:i w:val="0"/>
                <w:color w:val="173A5E"/>
                <w:sz w:val="21"/>
              </w:rPr>
              <w:t xml:space="preserve">ESCALATION: </w:t>
            </w:r>
            <w:r>
              <w:rPr>
                <w:rFonts w:ascii="Calibri" w:hAnsi="Calibri"/>
                <w:b w:val="0"/>
                <w:i w:val="0"/>
                <w:color w:val="0B1D33"/>
                <w:sz w:val="21"/>
              </w:rPr>
              <w:t>Stop the demonstration and notify the product owner if data appears inconsistent, an unauthorized user gains access, or any transaction behaves unexpectedly. Preserve logs and do not delete evidence.</w:t>
            </w:r>
          </w:p>
        </w:tc>
      </w:tr>
    </w:tbl>
    <w:p>
      <w:pPr>
        <w:spacing w:after="0"/>
      </w:pPr>
    </w:p>
    <w:p>
      <w:pPr>
        <w:pStyle w:val="Heading1"/>
      </w:pPr>
      <w:r>
        <w:t>13. Security and compliance controls</w:t>
      </w:r>
    </w:p>
    <w:p>
      <w:pPr>
        <w:pStyle w:val="ListBullet"/>
      </w:pPr>
      <w:r>
        <w:t>Use encrypted connections, secure sessions, strong secrets and approved access restrictions.</w:t>
      </w:r>
    </w:p>
    <w:p>
      <w:pPr>
        <w:pStyle w:val="ListBullet"/>
      </w:pPr>
      <w:r>
        <w:t>Replace all demonstration credentials before deployment; never share production secrets.</w:t>
      </w:r>
    </w:p>
    <w:p>
      <w:pPr>
        <w:pStyle w:val="ListBullet"/>
      </w:pPr>
      <w:r>
        <w:t>Apply least privilege and maintain separate customer, staff and administrative roles.</w:t>
      </w:r>
    </w:p>
    <w:p>
      <w:pPr>
        <w:pStyle w:val="ListBullet"/>
      </w:pPr>
      <w:r>
        <w:t>Record KYC decisions and banking changes in immutable audit logs.</w:t>
      </w:r>
    </w:p>
    <w:p>
      <w:pPr>
        <w:pStyle w:val="ListBullet"/>
      </w:pPr>
      <w:r>
        <w:t>Encrypt backups and data in transit; establish retention and deletion schedules.</w:t>
      </w:r>
    </w:p>
    <w:p>
      <w:pPr>
        <w:pStyle w:val="ListBullet"/>
      </w:pPr>
      <w:r>
        <w:t>Use an approved identity-verification provider for production KYC.</w:t>
      </w:r>
    </w:p>
    <w:p>
      <w:pPr>
        <w:pStyle w:val="ListBullet"/>
      </w:pPr>
      <w:r>
        <w:t>Conduct vulnerability scanning, penetration testing and security review before launch.</w:t>
      </w:r>
    </w:p>
    <w:p>
      <w:pPr>
        <w:pStyle w:val="ListBullet"/>
      </w:pPr>
      <w:r>
        <w:t>Treat this application as a prototype until legal, compliance, security and banking-product approvals are complete.</w:t>
      </w:r>
    </w:p>
    <w:p>
      <w:pPr>
        <w:pStyle w:val="Heading1"/>
      </w:pPr>
      <w:r>
        <w:t>14. Bank demonstration runbook</w:t>
      </w:r>
    </w:p>
    <w:tbl>
      <w:tblPr>
        <w:tblStyle w:val="TableGrid"/>
        <w:tblW w:type="dxa" w:w="9360"/>
        <w:tblLayout w:type="fixed"/>
        <w:tblLook w:firstColumn="1" w:firstRow="1" w:lastColumn="0" w:lastRow="0" w:noHBand="0" w:noVBand="1" w:val="04A0"/>
        <w:jc w:val="left"/>
        <w:tblInd w:w="120" w:type="dxa"/>
        <w:tblInd w:w="120" w:type="dxa"/>
      </w:tblPr>
      <w:tblGrid>
        <w:gridCol w:w="1300"/>
        <w:gridCol w:w="4300"/>
        <w:gridCol w:w="3760"/>
      </w:tblGrid>
      <w:tr>
        <w:trPr>
          <w:cantSplit/>
        </w:trPr>
        <w:tc>
          <w:tcPr>
            <w:tcW w:type="dxa" w:w="13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Time</w:t>
            </w:r>
          </w:p>
        </w:tc>
        <w:tc>
          <w:tcPr>
            <w:tcW w:type="dxa" w:w="43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Presenter action</w:t>
            </w:r>
          </w:p>
        </w:tc>
        <w:tc>
          <w:tcPr>
            <w:tcW w:type="dxa" w:w="376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Audience outcome</w:t>
            </w:r>
          </w:p>
        </w:tc>
      </w:tr>
      <w:tr>
        <w:trPr>
          <w:cantSplit/>
        </w:trPr>
        <w:tc>
          <w:tcPr>
            <w:tcW w:type="dxa" w:w="1300"/>
            <w:vAlign w:val="center"/>
            <w:tcMar>
              <w:top w:w="80" w:type="dxa"/>
              <w:start w:w="120" w:type="dxa"/>
              <w:bottom w:w="80" w:type="dxa"/>
              <w:end w:w="120" w:type="dxa"/>
            </w:tcMar>
          </w:tcPr>
          <w:p>
            <w:pPr>
              <w:spacing w:after="0"/>
            </w:pPr>
            <w:r>
              <w:rPr>
                <w:rFonts w:ascii="Calibri" w:hAnsi="Calibri"/>
                <w:b w:val="0"/>
                <w:i w:val="0"/>
                <w:color w:val="202733"/>
                <w:sz w:val="19"/>
              </w:rPr>
              <w:t>0-4 min</w:t>
            </w:r>
          </w:p>
        </w:tc>
        <w:tc>
          <w:tcPr>
            <w:tcW w:type="dxa" w:w="4300"/>
            <w:vAlign w:val="center"/>
            <w:tcMar>
              <w:top w:w="80" w:type="dxa"/>
              <w:start w:w="120" w:type="dxa"/>
              <w:bottom w:w="80" w:type="dxa"/>
              <w:end w:w="120" w:type="dxa"/>
            </w:tcMar>
          </w:tcPr>
          <w:p>
            <w:pPr>
              <w:spacing w:after="0"/>
            </w:pPr>
            <w:r>
              <w:rPr>
                <w:rFonts w:ascii="Calibri" w:hAnsi="Calibri"/>
                <w:b w:val="0"/>
                <w:i w:val="0"/>
                <w:color w:val="202733"/>
                <w:sz w:val="19"/>
              </w:rPr>
              <w:t>Confirm bank objectives, FLEXCUBE context and demo disclaimer.</w:t>
            </w:r>
          </w:p>
        </w:tc>
        <w:tc>
          <w:tcPr>
            <w:tcW w:type="dxa" w:w="3760"/>
            <w:vAlign w:val="center"/>
            <w:tcMar>
              <w:top w:w="80" w:type="dxa"/>
              <w:start w:w="120" w:type="dxa"/>
              <w:bottom w:w="80" w:type="dxa"/>
              <w:end w:w="120" w:type="dxa"/>
            </w:tcMar>
          </w:tcPr>
          <w:p>
            <w:pPr>
              <w:spacing w:after="0"/>
            </w:pPr>
            <w:r>
              <w:rPr>
                <w:rFonts w:ascii="Calibri" w:hAnsi="Calibri"/>
                <w:b w:val="0"/>
                <w:i w:val="0"/>
                <w:color w:val="202733"/>
                <w:sz w:val="19"/>
              </w:rPr>
              <w:t>Agrees scope and system-of-record principles.</w:t>
            </w:r>
          </w:p>
        </w:tc>
      </w:tr>
      <w:tr>
        <w:trPr>
          <w:cantSplit/>
        </w:trPr>
        <w:tc>
          <w:tcPr>
            <w:tcW w:type="dxa" w:w="1300"/>
            <w:vAlign w:val="center"/>
            <w:tcMar>
              <w:top w:w="80" w:type="dxa"/>
              <w:start w:w="120" w:type="dxa"/>
              <w:bottom w:w="80" w:type="dxa"/>
              <w:end w:w="120" w:type="dxa"/>
            </w:tcMar>
          </w:tcPr>
          <w:p>
            <w:pPr>
              <w:spacing w:after="0"/>
            </w:pPr>
            <w:r>
              <w:rPr>
                <w:rFonts w:ascii="Calibri" w:hAnsi="Calibri"/>
                <w:b w:val="0"/>
                <w:i w:val="0"/>
                <w:color w:val="202733"/>
                <w:sz w:val="19"/>
              </w:rPr>
              <w:t>4-9 min</w:t>
            </w:r>
          </w:p>
        </w:tc>
        <w:tc>
          <w:tcPr>
            <w:tcW w:type="dxa" w:w="4300"/>
            <w:vAlign w:val="center"/>
            <w:tcMar>
              <w:top w:w="80" w:type="dxa"/>
              <w:start w:w="120" w:type="dxa"/>
              <w:bottom w:w="80" w:type="dxa"/>
              <w:end w:w="120" w:type="dxa"/>
            </w:tcMar>
          </w:tcPr>
          <w:p>
            <w:pPr>
              <w:spacing w:after="0"/>
            </w:pPr>
            <w:r>
              <w:rPr>
                <w:rFonts w:ascii="Calibri" w:hAnsi="Calibri"/>
                <w:b w:val="0"/>
                <w:i w:val="0"/>
                <w:color w:val="202733"/>
                <w:sz w:val="19"/>
              </w:rPr>
              <w:t>Register a new customer and submit KYC.</w:t>
            </w:r>
          </w:p>
        </w:tc>
        <w:tc>
          <w:tcPr>
            <w:tcW w:type="dxa" w:w="3760"/>
            <w:vAlign w:val="center"/>
            <w:tcMar>
              <w:top w:w="80" w:type="dxa"/>
              <w:start w:w="120" w:type="dxa"/>
              <w:bottom w:w="80" w:type="dxa"/>
              <w:end w:w="120" w:type="dxa"/>
            </w:tcMar>
          </w:tcPr>
          <w:p>
            <w:pPr>
              <w:spacing w:after="0"/>
            </w:pPr>
            <w:r>
              <w:rPr>
                <w:rFonts w:ascii="Calibri" w:hAnsi="Calibri"/>
                <w:b w:val="0"/>
                <w:i w:val="0"/>
                <w:color w:val="202733"/>
                <w:sz w:val="19"/>
              </w:rPr>
              <w:t>Sees seamless digital onboarding.</w:t>
            </w:r>
          </w:p>
        </w:tc>
      </w:tr>
      <w:tr>
        <w:trPr>
          <w:cantSplit/>
        </w:trPr>
        <w:tc>
          <w:tcPr>
            <w:tcW w:type="dxa" w:w="1300"/>
            <w:vAlign w:val="center"/>
            <w:tcMar>
              <w:top w:w="80" w:type="dxa"/>
              <w:start w:w="120" w:type="dxa"/>
              <w:bottom w:w="80" w:type="dxa"/>
              <w:end w:w="120" w:type="dxa"/>
            </w:tcMar>
          </w:tcPr>
          <w:p>
            <w:pPr>
              <w:spacing w:after="0"/>
            </w:pPr>
            <w:r>
              <w:rPr>
                <w:rFonts w:ascii="Calibri" w:hAnsi="Calibri"/>
                <w:b w:val="0"/>
                <w:i w:val="0"/>
                <w:color w:val="202733"/>
                <w:sz w:val="19"/>
              </w:rPr>
              <w:t>9-14 min</w:t>
            </w:r>
          </w:p>
        </w:tc>
        <w:tc>
          <w:tcPr>
            <w:tcW w:type="dxa" w:w="4300"/>
            <w:vAlign w:val="center"/>
            <w:tcMar>
              <w:top w:w="80" w:type="dxa"/>
              <w:start w:w="120" w:type="dxa"/>
              <w:bottom w:w="80" w:type="dxa"/>
              <w:end w:w="120" w:type="dxa"/>
            </w:tcMar>
          </w:tcPr>
          <w:p>
            <w:pPr>
              <w:spacing w:after="0"/>
            </w:pPr>
            <w:r>
              <w:rPr>
                <w:rFonts w:ascii="Calibri" w:hAnsi="Calibri"/>
                <w:b w:val="0"/>
                <w:i w:val="0"/>
                <w:color w:val="202733"/>
                <w:sz w:val="19"/>
              </w:rPr>
              <w:t>Review/approve KYC and show the proposed FLEXCUBE handoff.</w:t>
            </w:r>
          </w:p>
        </w:tc>
        <w:tc>
          <w:tcPr>
            <w:tcW w:type="dxa" w:w="3760"/>
            <w:vAlign w:val="center"/>
            <w:tcMar>
              <w:top w:w="80" w:type="dxa"/>
              <w:start w:w="120" w:type="dxa"/>
              <w:bottom w:w="80" w:type="dxa"/>
              <w:end w:w="120" w:type="dxa"/>
            </w:tcMar>
          </w:tcPr>
          <w:p>
            <w:pPr>
              <w:spacing w:after="0"/>
            </w:pPr>
            <w:r>
              <w:rPr>
                <w:rFonts w:ascii="Calibri" w:hAnsi="Calibri"/>
                <w:b w:val="0"/>
                <w:i w:val="0"/>
                <w:color w:val="202733"/>
                <w:sz w:val="19"/>
              </w:rPr>
              <w:t>Sees bank-controlled authorization and reference linkage.</w:t>
            </w:r>
          </w:p>
        </w:tc>
      </w:tr>
      <w:tr>
        <w:trPr>
          <w:cantSplit/>
        </w:trPr>
        <w:tc>
          <w:tcPr>
            <w:tcW w:type="dxa" w:w="1300"/>
            <w:vAlign w:val="center"/>
            <w:tcMar>
              <w:top w:w="80" w:type="dxa"/>
              <w:start w:w="120" w:type="dxa"/>
              <w:bottom w:w="80" w:type="dxa"/>
              <w:end w:w="120" w:type="dxa"/>
            </w:tcMar>
          </w:tcPr>
          <w:p>
            <w:pPr>
              <w:spacing w:after="0"/>
            </w:pPr>
            <w:r>
              <w:rPr>
                <w:rFonts w:ascii="Calibri" w:hAnsi="Calibri"/>
                <w:b w:val="0"/>
                <w:i w:val="0"/>
                <w:color w:val="202733"/>
                <w:sz w:val="19"/>
              </w:rPr>
              <w:t>14-21 min</w:t>
            </w:r>
          </w:p>
        </w:tc>
        <w:tc>
          <w:tcPr>
            <w:tcW w:type="dxa" w:w="4300"/>
            <w:vAlign w:val="center"/>
            <w:tcMar>
              <w:top w:w="80" w:type="dxa"/>
              <w:start w:w="120" w:type="dxa"/>
              <w:bottom w:w="80" w:type="dxa"/>
              <w:end w:w="120" w:type="dxa"/>
            </w:tcMar>
          </w:tcPr>
          <w:p>
            <w:pPr>
              <w:spacing w:after="0"/>
            </w:pPr>
            <w:r>
              <w:rPr>
                <w:rFonts w:ascii="Calibri" w:hAnsi="Calibri"/>
                <w:b w:val="0"/>
                <w:i w:val="0"/>
                <w:color w:val="202733"/>
                <w:sz w:val="19"/>
              </w:rPr>
              <w:t>Sign in as approved customer; show FLEXCUBE-sourced account and balance views.</w:t>
            </w:r>
          </w:p>
        </w:tc>
        <w:tc>
          <w:tcPr>
            <w:tcW w:type="dxa" w:w="3760"/>
            <w:vAlign w:val="center"/>
            <w:tcMar>
              <w:top w:w="80" w:type="dxa"/>
              <w:start w:w="120" w:type="dxa"/>
              <w:bottom w:w="80" w:type="dxa"/>
              <w:end w:w="120" w:type="dxa"/>
            </w:tcMar>
          </w:tcPr>
          <w:p>
            <w:pPr>
              <w:spacing w:after="0"/>
            </w:pPr>
            <w:r>
              <w:rPr>
                <w:rFonts w:ascii="Calibri" w:hAnsi="Calibri"/>
                <w:b w:val="0"/>
                <w:i w:val="0"/>
                <w:color w:val="202733"/>
                <w:sz w:val="19"/>
              </w:rPr>
              <w:t>Sees the target online banking experience.</w:t>
            </w:r>
          </w:p>
        </w:tc>
      </w:tr>
      <w:tr>
        <w:trPr>
          <w:cantSplit/>
        </w:trPr>
        <w:tc>
          <w:tcPr>
            <w:tcW w:type="dxa" w:w="1300"/>
            <w:vAlign w:val="center"/>
            <w:tcMar>
              <w:top w:w="80" w:type="dxa"/>
              <w:start w:w="120" w:type="dxa"/>
              <w:bottom w:w="80" w:type="dxa"/>
              <w:end w:w="120" w:type="dxa"/>
            </w:tcMar>
          </w:tcPr>
          <w:p>
            <w:pPr>
              <w:spacing w:after="0"/>
            </w:pPr>
            <w:r>
              <w:rPr>
                <w:rFonts w:ascii="Calibri" w:hAnsi="Calibri"/>
                <w:b w:val="0"/>
                <w:i w:val="0"/>
                <w:color w:val="202733"/>
                <w:sz w:val="19"/>
              </w:rPr>
              <w:t>21-26 min</w:t>
            </w:r>
          </w:p>
        </w:tc>
        <w:tc>
          <w:tcPr>
            <w:tcW w:type="dxa" w:w="4300"/>
            <w:vAlign w:val="center"/>
            <w:tcMar>
              <w:top w:w="80" w:type="dxa"/>
              <w:start w:w="120" w:type="dxa"/>
              <w:bottom w:w="80" w:type="dxa"/>
              <w:end w:w="120" w:type="dxa"/>
            </w:tcMar>
          </w:tcPr>
          <w:p>
            <w:pPr>
              <w:spacing w:after="0"/>
            </w:pPr>
            <w:r>
              <w:rPr>
                <w:rFonts w:ascii="Calibri" w:hAnsi="Calibri"/>
                <w:b w:val="0"/>
                <w:i w:val="0"/>
                <w:color w:val="202733"/>
                <w:sz w:val="19"/>
              </w:rPr>
              <w:t>Demonstrate a payment, status response, reconciliation and exception path.</w:t>
            </w:r>
          </w:p>
        </w:tc>
        <w:tc>
          <w:tcPr>
            <w:tcW w:type="dxa" w:w="3760"/>
            <w:vAlign w:val="center"/>
            <w:tcMar>
              <w:top w:w="80" w:type="dxa"/>
              <w:start w:w="120" w:type="dxa"/>
              <w:bottom w:w="80" w:type="dxa"/>
              <w:end w:w="120" w:type="dxa"/>
            </w:tcMar>
          </w:tcPr>
          <w:p>
            <w:pPr>
              <w:spacing w:after="0"/>
            </w:pPr>
            <w:r>
              <w:rPr>
                <w:rFonts w:ascii="Calibri" w:hAnsi="Calibri"/>
                <w:b w:val="0"/>
                <w:i w:val="0"/>
                <w:color w:val="202733"/>
                <w:sz w:val="19"/>
              </w:rPr>
              <w:t>Sees controlled core-banking integration.</w:t>
            </w:r>
          </w:p>
        </w:tc>
      </w:tr>
      <w:tr>
        <w:trPr>
          <w:cantSplit/>
        </w:trPr>
        <w:tc>
          <w:tcPr>
            <w:tcW w:type="dxa" w:w="1300"/>
            <w:vAlign w:val="center"/>
            <w:tcMar>
              <w:top w:w="80" w:type="dxa"/>
              <w:start w:w="120" w:type="dxa"/>
              <w:bottom w:w="80" w:type="dxa"/>
              <w:end w:w="120" w:type="dxa"/>
            </w:tcMar>
          </w:tcPr>
          <w:p>
            <w:pPr>
              <w:spacing w:after="0"/>
            </w:pPr>
            <w:r>
              <w:rPr>
                <w:rFonts w:ascii="Calibri" w:hAnsi="Calibri"/>
                <w:b w:val="0"/>
                <w:i w:val="0"/>
                <w:color w:val="202733"/>
                <w:sz w:val="19"/>
              </w:rPr>
              <w:t>26-30 min</w:t>
            </w:r>
          </w:p>
        </w:tc>
        <w:tc>
          <w:tcPr>
            <w:tcW w:type="dxa" w:w="4300"/>
            <w:vAlign w:val="center"/>
            <w:tcMar>
              <w:top w:w="80" w:type="dxa"/>
              <w:start w:w="120" w:type="dxa"/>
              <w:bottom w:w="80" w:type="dxa"/>
              <w:end w:w="120" w:type="dxa"/>
            </w:tcMar>
          </w:tcPr>
          <w:p>
            <w:pPr>
              <w:spacing w:after="0"/>
            </w:pPr>
            <w:r>
              <w:rPr>
                <w:rFonts w:ascii="Calibri" w:hAnsi="Calibri"/>
                <w:b w:val="0"/>
                <w:i w:val="0"/>
                <w:color w:val="202733"/>
                <w:sz w:val="19"/>
              </w:rPr>
              <w:t>Discuss security, data residency, delivery phases and bank decisions.</w:t>
            </w:r>
          </w:p>
        </w:tc>
        <w:tc>
          <w:tcPr>
            <w:tcW w:type="dxa" w:w="3760"/>
            <w:vAlign w:val="center"/>
            <w:tcMar>
              <w:top w:w="80" w:type="dxa"/>
              <w:start w:w="120" w:type="dxa"/>
              <w:bottom w:w="80" w:type="dxa"/>
              <w:end w:w="120" w:type="dxa"/>
            </w:tcMar>
          </w:tcPr>
          <w:p>
            <w:pPr>
              <w:spacing w:after="0"/>
            </w:pPr>
            <w:r>
              <w:rPr>
                <w:rFonts w:ascii="Calibri" w:hAnsi="Calibri"/>
                <w:b w:val="0"/>
                <w:i w:val="0"/>
                <w:color w:val="202733"/>
                <w:sz w:val="19"/>
              </w:rPr>
              <w:t>Understands next steps and responsibilities.</w:t>
            </w:r>
          </w:p>
        </w:tc>
      </w:tr>
    </w:tbl>
    <w:p>
      <w:pPr>
        <w:spacing w:after="0"/>
      </w:pPr>
    </w:p>
    <w:p>
      <w:pPr>
        <w:pStyle w:val="Heading1"/>
      </w:pPr>
      <w:r>
        <w:t>Appendix A: Integration discovery record</w:t>
      </w:r>
    </w:p>
    <w:tbl>
      <w:tblPr>
        <w:tblStyle w:val="TableGrid"/>
        <w:tblW w:type="dxa" w:w="9360"/>
        <w:tblLayout w:type="fixed"/>
        <w:tblLook w:firstColumn="1" w:firstRow="1" w:lastColumn="0" w:lastRow="0" w:noHBand="0" w:noVBand="1" w:val="04A0"/>
        <w:jc w:val="left"/>
        <w:tblInd w:w="120" w:type="dxa"/>
        <w:tblInd w:w="120" w:type="dxa"/>
      </w:tblPr>
      <w:tblGrid>
        <w:gridCol w:w="3000"/>
        <w:gridCol w:w="6360"/>
      </w:tblGrid>
      <w:tr>
        <w:trPr>
          <w:cantSplit/>
        </w:trPr>
        <w:tc>
          <w:tcPr>
            <w:tcW w:type="dxa" w:w="30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Decision area</w:t>
            </w:r>
          </w:p>
        </w:tc>
        <w:tc>
          <w:tcPr>
            <w:tcW w:type="dxa" w:w="636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To be confirmed with the bank</w:t>
            </w:r>
          </w:p>
        </w:tc>
      </w:tr>
      <w:tr>
        <w:trPr>
          <w:cantSplit/>
        </w:trPr>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FLEXCUBE baseline</w:t>
            </w:r>
          </w:p>
        </w:tc>
        <w:tc>
          <w:tcPr>
            <w:tcW w:type="dxa" w:w="6360"/>
            <w:vAlign w:val="center"/>
            <w:tcMar>
              <w:top w:w="80" w:type="dxa"/>
              <w:start w:w="120" w:type="dxa"/>
              <w:bottom w:w="80" w:type="dxa"/>
              <w:end w:w="120" w:type="dxa"/>
            </w:tcMar>
          </w:tcPr>
          <w:p>
            <w:pPr>
              <w:spacing w:after="0"/>
            </w:pPr>
            <w:r>
              <w:rPr>
                <w:rFonts w:ascii="Calibri" w:hAnsi="Calibri"/>
                <w:b w:val="0"/>
                <w:i w:val="0"/>
                <w:color w:val="202733"/>
                <w:sz w:val="19"/>
              </w:rPr>
              <w:t>Release, modules, deployment model and enabled service catalogue</w:t>
            </w:r>
          </w:p>
        </w:tc>
      </w:tr>
      <w:tr>
        <w:trPr>
          <w:cantSplit/>
        </w:trPr>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Interface pattern</w:t>
            </w:r>
          </w:p>
        </w:tc>
        <w:tc>
          <w:tcPr>
            <w:tcW w:type="dxa" w:w="6360"/>
            <w:vAlign w:val="center"/>
            <w:tcMar>
              <w:top w:w="80" w:type="dxa"/>
              <w:start w:w="120" w:type="dxa"/>
              <w:bottom w:w="80" w:type="dxa"/>
              <w:end w:w="120" w:type="dxa"/>
            </w:tcMar>
          </w:tcPr>
          <w:p>
            <w:pPr>
              <w:spacing w:after="0"/>
            </w:pPr>
            <w:r>
              <w:rPr>
                <w:rFonts w:ascii="Calibri" w:hAnsi="Calibri"/>
                <w:b w:val="0"/>
                <w:i w:val="0"/>
                <w:color w:val="202733"/>
                <w:sz w:val="19"/>
              </w:rPr>
              <w:t>REST services, Integration Gateway web services, outbound notifications or approved combination</w:t>
            </w:r>
          </w:p>
        </w:tc>
      </w:tr>
      <w:tr>
        <w:trPr>
          <w:cantSplit/>
        </w:trPr>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System of record</w:t>
            </w:r>
          </w:p>
        </w:tc>
        <w:tc>
          <w:tcPr>
            <w:tcW w:type="dxa" w:w="6360"/>
            <w:vAlign w:val="center"/>
            <w:tcMar>
              <w:top w:w="80" w:type="dxa"/>
              <w:start w:w="120" w:type="dxa"/>
              <w:bottom w:w="80" w:type="dxa"/>
              <w:end w:w="120" w:type="dxa"/>
            </w:tcMar>
          </w:tcPr>
          <w:p>
            <w:pPr>
              <w:spacing w:after="0"/>
            </w:pPr>
            <w:r>
              <w:rPr>
                <w:rFonts w:ascii="Calibri" w:hAnsi="Calibri"/>
                <w:b w:val="0"/>
                <w:i w:val="0"/>
                <w:color w:val="202733"/>
                <w:sz w:val="19"/>
              </w:rPr>
              <w:t>Ownership for party/customer, KYC, accounts, balances, payments and transaction status</w:t>
            </w:r>
          </w:p>
        </w:tc>
      </w:tr>
      <w:tr>
        <w:trPr>
          <w:cantSplit/>
        </w:trPr>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Mappings</w:t>
            </w:r>
          </w:p>
        </w:tc>
        <w:tc>
          <w:tcPr>
            <w:tcW w:type="dxa" w:w="6360"/>
            <w:vAlign w:val="center"/>
            <w:tcMar>
              <w:top w:w="80" w:type="dxa"/>
              <w:start w:w="120" w:type="dxa"/>
              <w:bottom w:w="80" w:type="dxa"/>
              <w:end w:w="120" w:type="dxa"/>
            </w:tcMar>
          </w:tcPr>
          <w:p>
            <w:pPr>
              <w:spacing w:after="0"/>
            </w:pPr>
            <w:r>
              <w:rPr>
                <w:rFonts w:ascii="Calibri" w:hAnsi="Calibri"/>
                <w:b w:val="0"/>
                <w:i w:val="0"/>
                <w:color w:val="202733"/>
                <w:sz w:val="19"/>
              </w:rPr>
              <w:t>Branches, currencies, products, account classes, transaction codes and status codes</w:t>
            </w:r>
          </w:p>
        </w:tc>
      </w:tr>
      <w:tr>
        <w:trPr>
          <w:cantSplit/>
        </w:trPr>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Security</w:t>
            </w:r>
          </w:p>
        </w:tc>
        <w:tc>
          <w:tcPr>
            <w:tcW w:type="dxa" w:w="6360"/>
            <w:vAlign w:val="center"/>
            <w:tcMar>
              <w:top w:w="80" w:type="dxa"/>
              <w:start w:w="120" w:type="dxa"/>
              <w:bottom w:w="80" w:type="dxa"/>
              <w:end w:w="120" w:type="dxa"/>
            </w:tcMar>
          </w:tcPr>
          <w:p>
            <w:pPr>
              <w:spacing w:after="0"/>
            </w:pPr>
            <w:r>
              <w:rPr>
                <w:rFonts w:ascii="Calibri" w:hAnsi="Calibri"/>
                <w:b w:val="0"/>
                <w:i w:val="0"/>
                <w:color w:val="202733"/>
                <w:sz w:val="19"/>
              </w:rPr>
              <w:t>Identity, service accounts, certificates, encryption, network zones and access approvals</w:t>
            </w:r>
          </w:p>
        </w:tc>
      </w:tr>
      <w:tr>
        <w:trPr>
          <w:cantSplit/>
        </w:trPr>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Operational controls</w:t>
            </w:r>
          </w:p>
        </w:tc>
        <w:tc>
          <w:tcPr>
            <w:tcW w:type="dxa" w:w="6360"/>
            <w:vAlign w:val="center"/>
            <w:tcMar>
              <w:top w:w="80" w:type="dxa"/>
              <w:start w:w="120" w:type="dxa"/>
              <w:bottom w:w="80" w:type="dxa"/>
              <w:end w:w="120" w:type="dxa"/>
            </w:tcMar>
          </w:tcPr>
          <w:p>
            <w:pPr>
              <w:spacing w:after="0"/>
            </w:pPr>
            <w:r>
              <w:rPr>
                <w:rFonts w:ascii="Calibri" w:hAnsi="Calibri"/>
                <w:b w:val="0"/>
                <w:i w:val="0"/>
                <w:color w:val="202733"/>
                <w:sz w:val="19"/>
              </w:rPr>
              <w:t>Timeouts, retry rules, idempotency, reconciliation, monitoring and support ownership</w:t>
            </w:r>
          </w:p>
        </w:tc>
      </w:tr>
      <w:tr>
        <w:trPr>
          <w:cantSplit/>
        </w:trPr>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Non-functional targets</w:t>
            </w:r>
          </w:p>
        </w:tc>
        <w:tc>
          <w:tcPr>
            <w:tcW w:type="dxa" w:w="6360"/>
            <w:vAlign w:val="center"/>
            <w:tcMar>
              <w:top w:w="80" w:type="dxa"/>
              <w:start w:w="120" w:type="dxa"/>
              <w:bottom w:w="80" w:type="dxa"/>
              <w:end w:w="120" w:type="dxa"/>
            </w:tcMar>
          </w:tcPr>
          <w:p>
            <w:pPr>
              <w:spacing w:after="0"/>
            </w:pPr>
            <w:r>
              <w:rPr>
                <w:rFonts w:ascii="Calibri" w:hAnsi="Calibri"/>
                <w:b w:val="0"/>
                <w:i w:val="0"/>
                <w:color w:val="202733"/>
                <w:sz w:val="19"/>
              </w:rPr>
              <w:t>Availability, response times, throughput, recovery objectives, retention and data residency</w:t>
            </w:r>
          </w:p>
        </w:tc>
      </w:tr>
      <w:tr>
        <w:trPr>
          <w:cantSplit/>
        </w:trPr>
        <w:tc>
          <w:tcPr>
            <w:tcW w:type="dxa" w:w="3000"/>
            <w:vAlign w:val="center"/>
            <w:tcMar>
              <w:top w:w="80" w:type="dxa"/>
              <w:start w:w="120" w:type="dxa"/>
              <w:bottom w:w="80" w:type="dxa"/>
              <w:end w:w="120" w:type="dxa"/>
            </w:tcMar>
          </w:tcPr>
          <w:p>
            <w:pPr>
              <w:spacing w:after="0"/>
            </w:pPr>
            <w:r>
              <w:rPr>
                <w:rFonts w:ascii="Calibri" w:hAnsi="Calibri"/>
                <w:b w:val="0"/>
                <w:i w:val="0"/>
                <w:color w:val="202733"/>
                <w:sz w:val="19"/>
              </w:rPr>
              <w:t>Delivery path</w:t>
            </w:r>
          </w:p>
        </w:tc>
        <w:tc>
          <w:tcPr>
            <w:tcW w:type="dxa" w:w="6360"/>
            <w:vAlign w:val="center"/>
            <w:tcMar>
              <w:top w:w="80" w:type="dxa"/>
              <w:start w:w="120" w:type="dxa"/>
              <w:bottom w:w="80" w:type="dxa"/>
              <w:end w:w="120" w:type="dxa"/>
            </w:tcMar>
          </w:tcPr>
          <w:p>
            <w:pPr>
              <w:spacing w:after="0"/>
            </w:pPr>
            <w:r>
              <w:rPr>
                <w:rFonts w:ascii="Calibri" w:hAnsi="Calibri"/>
                <w:b w:val="0"/>
                <w:i w:val="0"/>
                <w:color w:val="202733"/>
                <w:sz w:val="19"/>
              </w:rPr>
              <w:t>Discovery, sandbox integration, system testing, user acceptance, pilot and production rollout</w:t>
            </w:r>
          </w:p>
        </w:tc>
      </w:tr>
    </w:tbl>
    <w:p>
      <w:pPr>
        <w:spacing w:after="0"/>
      </w:pPr>
    </w:p>
    <w:p>
      <w:pPr>
        <w:pStyle w:val="Heading2"/>
      </w:pPr>
      <w:r>
        <w:t>Demonstration access and controls</w:t>
      </w:r>
    </w:p>
    <w:p>
      <w:pPr>
        <w:pStyle w:val="ListBullet"/>
      </w:pPr>
      <w:r>
        <w:t>Use the approved Duranki demonstration address and authorized bank-staff account.</w:t>
      </w:r>
    </w:p>
    <w:p>
      <w:pPr>
        <w:pStyle w:val="ListBullet"/>
      </w:pPr>
      <w:r>
        <w:t>Use a FLEXCUBE non-production environment or approved simulator; never use live customer data.</w:t>
      </w:r>
    </w:p>
    <w:p>
      <w:pPr>
        <w:pStyle w:val="ListBullet"/>
      </w:pPr>
      <w:r>
        <w:t>Do not place passwords or service credentials in this SOP; share them through an approved secure channel.</w:t>
      </w:r>
    </w:p>
    <w:p>
      <w:pPr>
        <w:pStyle w:val="ListBullet"/>
      </w:pPr>
      <w:r>
        <w:t>Label simulated integration responses clearly when a bank test connection is not available.</w:t>
      </w:r>
    </w:p>
    <w:p>
      <w:pPr>
        <w:pStyle w:val="ListBullet"/>
      </w:pPr>
      <w:r>
        <w:t>Retain a Duranki reference and a FLEXCUBE or simulator reference for every demonstrated handoff.</w:t>
      </w:r>
    </w:p>
    <w:p>
      <w:pPr>
        <w:pStyle w:val="ListBullet"/>
      </w:pPr>
      <w:r>
        <w:t>Record bank questions, required mappings and decisions in the integration discovery record.</w:t>
      </w:r>
    </w:p>
    <w:p>
      <w:r>
        <w:br w:type="page"/>
      </w:r>
    </w:p>
    <w:p>
      <w:pPr>
        <w:spacing w:after="240"/>
      </w:pPr>
    </w:p>
    <w:p>
      <w:pPr>
        <w:pStyle w:val="Heading1"/>
      </w:pPr>
      <w:r>
        <w:t>Appendix B: Operator checklists</w:t>
      </w:r>
    </w:p>
    <w:p>
      <w:pPr>
        <w:pStyle w:val="Heading2"/>
      </w:pPr>
      <w:r>
        <w:t>Pre-demonstration checklist</w:t>
      </w:r>
    </w:p>
    <w:p>
      <w:r>
        <w:t>☐ Approved Duranki application address opens</w:t>
      </w:r>
    </w:p>
    <w:p>
      <w:r>
        <w:t>☐ Customer and staff sign-in pages are available</w:t>
      </w:r>
    </w:p>
    <w:p>
      <w:r>
        <w:t>☐ FLEXCUBE test service or clearly labelled simulator is available</w:t>
      </w:r>
    </w:p>
    <w:p>
      <w:r>
        <w:t>☐ Bank mappings and demonstration scenarios are agreed</w:t>
      </w:r>
    </w:p>
    <w:p>
      <w:r>
        <w:t>☐ KYC review queue and customer dashboard load</w:t>
      </w:r>
    </w:p>
    <w:p>
      <w:r>
        <w:t>☐ Staff and approved demo customer login succeed</w:t>
      </w:r>
    </w:p>
    <w:p>
      <w:r>
        <w:t>☐ No real customer data is present</w:t>
      </w:r>
    </w:p>
    <w:p>
      <w:r>
        <w:t>☐ QR/camera permissions are ready or manual-code fallback is planned</w:t>
      </w:r>
    </w:p>
    <w:p>
      <w:pPr>
        <w:pStyle w:val="Heading2"/>
      </w:pPr>
      <w:r>
        <w:t>Post-demonstration checklist</w:t>
      </w:r>
    </w:p>
    <w:p>
      <w:r>
        <w:t>☐ Customer and staff sessions signed out</w:t>
      </w:r>
    </w:p>
    <w:p>
      <w:r>
        <w:t>☐ Duranki and FLEXCUBE/simulator references reconciled</w:t>
      </w:r>
    </w:p>
    <w:p>
      <w:r>
        <w:t>☐ Interface exceptions and rejected messages reviewed</w:t>
      </w:r>
    </w:p>
    <w:p>
      <w:r>
        <w:t>☐ Demo-only records reviewed and required backup completed</w:t>
      </w:r>
    </w:p>
    <w:p>
      <w:r>
        <w:t>☐ Browser and mobile sessions closed</w:t>
      </w:r>
    </w:p>
    <w:p>
      <w:r>
        <w:t>☐ Bank decisions and integration questions recorded</w:t>
      </w:r>
    </w:p>
    <w:p>
      <w:r>
        <w:t>☐ Incidents or stakeholder feedback recorded</w:t>
      </w:r>
    </w:p>
    <w:p>
      <w:pPr>
        <w:pStyle w:val="Heading2"/>
      </w:pPr>
      <w:r>
        <w:t>Operator acknowledgement</w:t>
      </w:r>
    </w:p>
    <w:tbl>
      <w:tblPr>
        <w:tblStyle w:val="TableGrid"/>
        <w:tblW w:type="dxa" w:w="9360"/>
        <w:tblLayout w:type="fixed"/>
        <w:tblLook w:firstColumn="1" w:firstRow="1" w:lastColumn="0" w:lastRow="0" w:noHBand="0" w:noVBand="1" w:val="04A0"/>
        <w:jc w:val="left"/>
        <w:tblInd w:w="120" w:type="dxa"/>
        <w:tblInd w:w="120" w:type="dxa"/>
      </w:tblPr>
      <w:tblGrid>
        <w:gridCol w:w="2500"/>
        <w:gridCol w:w="2200"/>
        <w:gridCol w:w="1800"/>
        <w:gridCol w:w="2860"/>
      </w:tblGrid>
      <w:tr>
        <w:trPr>
          <w:cantSplit/>
        </w:trPr>
        <w:tc>
          <w:tcPr>
            <w:tcW w:type="dxa" w:w="25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Name</w:t>
            </w:r>
          </w:p>
        </w:tc>
        <w:tc>
          <w:tcPr>
            <w:tcW w:type="dxa" w:w="22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Role</w:t>
            </w:r>
          </w:p>
        </w:tc>
        <w:tc>
          <w:tcPr>
            <w:tcW w:type="dxa" w:w="180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Date</w:t>
            </w:r>
          </w:p>
        </w:tc>
        <w:tc>
          <w:tcPr>
            <w:tcW w:type="dxa" w:w="2860"/>
            <w:vAlign w:val="center"/>
            <w:tcMar>
              <w:top w:w="80" w:type="dxa"/>
              <w:start w:w="120" w:type="dxa"/>
              <w:bottom w:w="80" w:type="dxa"/>
              <w:end w:w="120" w:type="dxa"/>
              <w:top w:w="80" w:type="dxa"/>
              <w:start w:w="120" w:type="dxa"/>
              <w:bottom w:w="80" w:type="dxa"/>
              <w:end w:w="120" w:type="dxa"/>
            </w:tcMar>
            <w:shd w:fill="E8F4F8"/>
          </w:tcPr>
          <w:p>
            <w:pPr>
              <w:spacing w:after="0"/>
            </w:pPr>
            <w:r>
              <w:rPr>
                <w:rFonts w:ascii="Calibri" w:hAnsi="Calibri"/>
                <w:b/>
                <w:i w:val="0"/>
                <w:color w:val="0B1D33"/>
                <w:sz w:val="20"/>
              </w:rPr>
              <w:t>Signature</w:t>
            </w:r>
          </w:p>
        </w:tc>
      </w:tr>
      <w:tr>
        <w:trPr>
          <w:cantSplit/>
        </w:trPr>
        <w:tc>
          <w:tcPr>
            <w:tcW w:type="dxa" w:w="2500"/>
            <w:vAlign w:val="center"/>
            <w:tcMar>
              <w:top w:w="80" w:type="dxa"/>
              <w:start w:w="120" w:type="dxa"/>
              <w:bottom w:w="80" w:type="dxa"/>
              <w:end w:w="120" w:type="dxa"/>
            </w:tcMar>
          </w:tcPr>
          <w:p>
            <w:pPr>
              <w:spacing w:after="0"/>
            </w:pPr>
            <w:r>
              <w:rPr>
                <w:rFonts w:ascii="Calibri" w:hAnsi="Calibri"/>
                <w:b w:val="0"/>
                <w:i w:val="0"/>
                <w:color w:val="202733"/>
                <w:sz w:val="19"/>
              </w:rPr>
            </w:r>
          </w:p>
        </w:tc>
        <w:tc>
          <w:tcPr>
            <w:tcW w:type="dxa" w:w="2200"/>
            <w:vAlign w:val="center"/>
            <w:tcMar>
              <w:top w:w="80" w:type="dxa"/>
              <w:start w:w="120" w:type="dxa"/>
              <w:bottom w:w="80" w:type="dxa"/>
              <w:end w:w="120" w:type="dxa"/>
            </w:tcMar>
          </w:tcPr>
          <w:p>
            <w:pPr>
              <w:spacing w:after="0"/>
            </w:pPr>
            <w:r>
              <w:rPr>
                <w:rFonts w:ascii="Calibri" w:hAnsi="Calibri"/>
                <w:b w:val="0"/>
                <w:i w:val="0"/>
                <w:color w:val="202733"/>
                <w:sz w:val="19"/>
              </w:rPr>
            </w:r>
          </w:p>
        </w:tc>
        <w:tc>
          <w:tcPr>
            <w:tcW w:type="dxa" w:w="1800"/>
            <w:vAlign w:val="center"/>
            <w:tcMar>
              <w:top w:w="80" w:type="dxa"/>
              <w:start w:w="120" w:type="dxa"/>
              <w:bottom w:w="80" w:type="dxa"/>
              <w:end w:w="120" w:type="dxa"/>
            </w:tcMar>
          </w:tcPr>
          <w:p>
            <w:pPr>
              <w:spacing w:after="0"/>
            </w:pPr>
            <w:r>
              <w:rPr>
                <w:rFonts w:ascii="Calibri" w:hAnsi="Calibri"/>
                <w:b w:val="0"/>
                <w:i w:val="0"/>
                <w:color w:val="202733"/>
                <w:sz w:val="19"/>
              </w:rPr>
            </w:r>
          </w:p>
        </w:tc>
        <w:tc>
          <w:tcPr>
            <w:tcW w:type="dxa" w:w="2860"/>
            <w:vAlign w:val="center"/>
            <w:tcMar>
              <w:top w:w="80" w:type="dxa"/>
              <w:start w:w="120" w:type="dxa"/>
              <w:bottom w:w="80" w:type="dxa"/>
              <w:end w:w="120" w:type="dxa"/>
            </w:tcMar>
          </w:tcPr>
          <w:p>
            <w:pPr>
              <w:spacing w:after="0"/>
            </w:pPr>
            <w:r>
              <w:rPr>
                <w:rFonts w:ascii="Calibri" w:hAnsi="Calibri"/>
                <w:b w:val="0"/>
                <w:i w:val="0"/>
                <w:color w:val="202733"/>
                <w:sz w:val="19"/>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6"/>
      </w:rPr>
      <w:t xml:space="preserve">Controlled document  |  Internal demo operations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DURANKI BANKING  |  STANDARD OPERATING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3A5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3A5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1D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PNote">
    <w:name w:val="SOP Note"/>
    <w:pPr>
      <w:spacing w:before="120" w:after="160"/>
      <w:ind w:left="259" w:right="259"/>
    </w:pPr>
    <w:rPr>
      <w:rFonts w:ascii="Calibri" w:hAnsi="Calibri"/>
      <w:color w:val="0B1D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Duranki Banking App Standard Operating Procedure</dc:title>
  <dc:subject>Operation of the Duranki digital banking demonstration platform</dc:subject>
  <dc:creator>Duranki Platform Operations</dc:creator>
  <cp:keywords>Duranki, banking, SOP, KYC, digital onboarding, operations</cp:keywords>
  <dc:description>generated by python-docx</dc:description>
  <cp:lastModifiedBy/>
  <cp:revision>1</cp:revision>
  <dcterms:created xsi:type="dcterms:W3CDTF">2013-12-23T23:15:00Z</dcterms:created>
  <dcterms:modified xsi:type="dcterms:W3CDTF">2013-12-23T23:15:00Z</dcterms:modified>
  <cp:category/>
</cp:coreProperties>
</file>