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model fitting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Fitting is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transformation scales increasing the age from 80 years to 160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PLM:        epsilon_PLM   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myeloma:     epsilon_IM_III_myeloma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colon:       epsilon_IM_III_colon  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CML: epsilon_IM_III_CML    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symmetry based framework for model selection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scales for the framework are the following: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    All datasets:    epsilon_scale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myeloma:        epsilon_scale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colon:  epsilon_scale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CML:    epsilon_scale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output: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Myeloma: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Colon cancer: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CML: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Symmetry framework is done!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Illustrate framework!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epsilon scale:      0.690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epsilon scale:   0.650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Action of symmetries!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Epsilon scales for illustrations (i.e. the value that the transformations are pushed with twice)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PLM,    0.3465736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IM-III, 0.3836842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Calculations are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180</Words>
  <Characters>2704</Characters>
  <CharactersWithSpaces>3555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2022-03-29T10:44:56Z</dcterms:created>
  <dc:creator/>
  <dc:description/>
  <dc:language>en-GB</dc:language>
  <cp:lastModifiedBy/>
  <dcterms:modified xsi:type="dcterms:W3CDTF">2022-03-29T10:45:38Z</dcterms:modified>
  <cp:revision>1</cp:revision>
  <dc:subject/>
  <dc:title/>
</cp:coreProperties>
</file>