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sz w:val="22"/>
          <w:szCs w:val="22"/>
        </w:rPr>
      </w:pPr>
      <w:r w:rsidDel="00000000" w:rsidR="00000000" w:rsidRPr="00000000">
        <w:rPr>
          <w:rFonts w:ascii="Arial" w:cs="Arial" w:eastAsia="Arial" w:hAnsi="Arial"/>
          <w:b w:val="1"/>
          <w:sz w:val="22"/>
          <w:szCs w:val="22"/>
          <w:vertAlign w:val="baseline"/>
          <w:rtl w:val="0"/>
        </w:rPr>
        <w:t xml:space="preserve">FUNDACIÓN PhyMaC</w:t>
        <w:br w:type="textWrapping"/>
      </w:r>
      <w:r w:rsidDel="00000000" w:rsidR="00000000" w:rsidRPr="00000000">
        <w:rPr>
          <w:rtl w:val="0"/>
        </w:rPr>
      </w:r>
    </w:p>
    <w:p w:rsidR="00000000" w:rsidDel="00000000" w:rsidP="00000000" w:rsidRDefault="00000000" w:rsidRPr="00000000" w14:paraId="00000003">
      <w:pPr>
        <w:pageBreakBefore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pageBreakBefore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pageBreakBefore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pageBreakBefore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ESTATUTOS</w:t>
        <w:br w:type="textWrapping"/>
      </w:r>
      <w:r w:rsidDel="00000000" w:rsidR="00000000" w:rsidRPr="00000000">
        <w:rPr>
          <w:rtl w:val="0"/>
        </w:rPr>
      </w:r>
    </w:p>
    <w:p w:rsidR="00000000" w:rsidDel="00000000" w:rsidP="00000000" w:rsidRDefault="00000000" w:rsidRPr="00000000" w14:paraId="00000008">
      <w:pPr>
        <w:pageBreakBefore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CAPITULO I</w:t>
        <w:br w:type="textWrapping"/>
      </w:r>
      <w:r w:rsidDel="00000000" w:rsidR="00000000" w:rsidRPr="00000000">
        <w:rPr>
          <w:rtl w:val="0"/>
        </w:rPr>
      </w:r>
    </w:p>
    <w:p w:rsidR="00000000" w:rsidDel="00000000" w:rsidP="00000000" w:rsidRDefault="00000000" w:rsidRPr="00000000" w14:paraId="00000009">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NOMBRE, DURACIÓN, DOMICILIO Y OBJETO</w:t>
      </w: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br w:type="textWrapping"/>
        <w:t xml:space="preserve">ARTICULO 1. El nombre de la entidad es PhyMaC, constituida en el municipio de Bogotá D.C, la cual es una Entidad Sin Ánimo de Lucro, de carácter privado, que como tal se regirá por el derecho privado, la Constitución Política Nacional, Decretos 1529 de 1990, Decreto 2150 de 1995, Decreto 427 de 1996 y demás Normas legales vigentes, de  utilidad común, vigilada con lo dispuesto en la Normas de Ley vigentes. </w:t>
      </w:r>
    </w:p>
    <w:p w:rsidR="00000000" w:rsidDel="00000000" w:rsidP="00000000" w:rsidRDefault="00000000" w:rsidRPr="00000000" w14:paraId="0000000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ARTICULO 2. El término de duración de la Fundación será indefinido, pero podrá disolverse por mandato expreso de la Asamblea General de Asociados y funcionará de conformidad a las normas que la reglamenten.</w:t>
      </w:r>
    </w:p>
    <w:p w:rsidR="00000000" w:rsidDel="00000000" w:rsidP="00000000" w:rsidRDefault="00000000" w:rsidRPr="00000000" w14:paraId="0000000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ARTICULO 3. La Fundación tendrá su domicilio en el municipio de Bogotá D.C departamento de Cundinamarca y su radio de acción abarca todo el territorio colombiano.</w:t>
      </w:r>
    </w:p>
    <w:p w:rsidR="00000000" w:rsidDel="00000000" w:rsidP="00000000" w:rsidRDefault="00000000" w:rsidRPr="00000000" w14:paraId="0000000F">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PARÁGRAFO: Por ser una Entidad Sin Ánimo de Lucro, los rendimientos que se obtienen en el desarrollo de su ejercicio no son objeto de su distribución entre los asociados, por lo tanto los recursos que sus miembros entregan a su fundación no se consideran aporte de capital, sino contribuciones de sostenimiento de la fundación y en ningún caso son reembolsables ni transferibles.</w:t>
      </w:r>
    </w:p>
    <w:p w:rsidR="00000000" w:rsidDel="00000000" w:rsidP="00000000" w:rsidRDefault="00000000" w:rsidRPr="00000000" w14:paraId="0000001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2">
      <w:pPr>
        <w:pageBreakBefore w:val="0"/>
        <w:jc w:val="both"/>
        <w:rPr>
          <w:vertAlign w:val="baseline"/>
        </w:rPr>
      </w:pPr>
      <w:r w:rsidDel="00000000" w:rsidR="00000000" w:rsidRPr="00000000">
        <w:rPr>
          <w:rFonts w:ascii="Arial" w:cs="Arial" w:eastAsia="Arial" w:hAnsi="Arial"/>
          <w:sz w:val="22"/>
          <w:szCs w:val="22"/>
          <w:vertAlign w:val="baseline"/>
          <w:rtl w:val="0"/>
        </w:rPr>
        <w:t xml:space="preserve">ARTICULO 4. OBJETO SOCIAL, es el siguiente: difundir el pensamiento y la actitud científicas en la sociedad en general tanto a nivel nacional como internacional, a través de la interactividad centrada en el juego, que es apoyada por la publicación  de diversos tipos de material escrito en físico  y  el uso adecuado de los recursos de la web, esto dentro   del contexto de las ciencias naturales, la astronomía y las matemáticas.   Para lo cual  podrá:</w:t>
      </w:r>
      <w:r w:rsidDel="00000000" w:rsidR="00000000" w:rsidRPr="00000000">
        <w:rPr>
          <w:rtl w:val="0"/>
        </w:rPr>
      </w:r>
    </w:p>
    <w:p w:rsidR="00000000" w:rsidDel="00000000" w:rsidP="00000000" w:rsidRDefault="00000000" w:rsidRPr="00000000" w14:paraId="0000001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pageBreakBefore w:val="0"/>
        <w:numPr>
          <w:ilvl w:val="0"/>
          <w:numId w:val="1"/>
        </w:numPr>
        <w:ind w:left="465" w:hanging="465"/>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Promover, patrocinar y realizar actividades científico-culturales  orientadas a la divulgación y  sistematización de saberes y prácticas del quehacer científico y su divulgación.</w:t>
      </w:r>
    </w:p>
    <w:p w:rsidR="00000000" w:rsidDel="00000000" w:rsidP="00000000" w:rsidRDefault="00000000" w:rsidRPr="00000000" w14:paraId="00000015">
      <w:pPr>
        <w:pageBreakBefore w:val="0"/>
        <w:numPr>
          <w:ilvl w:val="0"/>
          <w:numId w:val="1"/>
        </w:numPr>
        <w:ind w:left="465" w:hanging="465"/>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Establecer mecanismos de cooperación con entidades nacionales e internacionales que permitan el desarrollo del objeto social de la fundación, a través de  la capacitación de sus colaboradores, donación de equipos o material bibliográfico, contribuciones económicas, entre otras actividades pertinentes. </w:t>
      </w:r>
    </w:p>
    <w:p w:rsidR="00000000" w:rsidDel="00000000" w:rsidP="00000000" w:rsidRDefault="00000000" w:rsidRPr="00000000" w14:paraId="00000016">
      <w:pPr>
        <w:pageBreakBefore w:val="0"/>
        <w:numPr>
          <w:ilvl w:val="0"/>
          <w:numId w:val="1"/>
        </w:numPr>
        <w:ind w:left="465" w:hanging="465"/>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Propiciar y realizar convenios con entidades nacionales e internacionales con fines y objetivos comunes a la fundación.</w:t>
      </w:r>
    </w:p>
    <w:p w:rsidR="00000000" w:rsidDel="00000000" w:rsidP="00000000" w:rsidRDefault="00000000" w:rsidRPr="00000000" w14:paraId="00000017">
      <w:pPr>
        <w:pageBreakBefore w:val="0"/>
        <w:numPr>
          <w:ilvl w:val="0"/>
          <w:numId w:val="1"/>
        </w:numPr>
        <w:ind w:left="465" w:hanging="465"/>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Desarrollar software encaminado al </w:t>
      </w:r>
      <w:r w:rsidDel="00000000" w:rsidR="00000000" w:rsidRPr="00000000">
        <w:rPr>
          <w:rFonts w:ascii="Arial" w:cs="Arial" w:eastAsia="Arial" w:hAnsi="Arial"/>
          <w:sz w:val="22"/>
          <w:szCs w:val="22"/>
          <w:rtl w:val="0"/>
        </w:rPr>
        <w:t xml:space="preserve">desarrollo de</w:t>
      </w:r>
      <w:r w:rsidDel="00000000" w:rsidR="00000000" w:rsidRPr="00000000">
        <w:rPr>
          <w:rFonts w:ascii="Arial" w:cs="Arial" w:eastAsia="Arial" w:hAnsi="Arial"/>
          <w:sz w:val="22"/>
          <w:szCs w:val="22"/>
          <w:vertAlign w:val="baseline"/>
          <w:rtl w:val="0"/>
        </w:rPr>
        <w:t xml:space="preserve"> los fines sociales buscados por la fundación. </w:t>
      </w:r>
    </w:p>
    <w:p w:rsidR="00000000" w:rsidDel="00000000" w:rsidP="00000000" w:rsidRDefault="00000000" w:rsidRPr="00000000" w14:paraId="00000018">
      <w:pPr>
        <w:pageBreakBefore w:val="0"/>
        <w:numPr>
          <w:ilvl w:val="0"/>
          <w:numId w:val="1"/>
        </w:numPr>
        <w:ind w:left="465" w:hanging="465"/>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Editar y publicar libros, artículos, revistas, folletos y cualquier tipo de material escrito que esté encaminado a  buscar los objetivos de la fundación. </w:t>
      </w:r>
    </w:p>
    <w:p w:rsidR="00000000" w:rsidDel="00000000" w:rsidP="00000000" w:rsidRDefault="00000000" w:rsidRPr="00000000" w14:paraId="00000019">
      <w:pPr>
        <w:pageBreakBefore w:val="0"/>
        <w:numPr>
          <w:ilvl w:val="0"/>
          <w:numId w:val="1"/>
        </w:numPr>
        <w:ind w:left="465" w:hanging="465"/>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Diseñar diversos mecanismos didácticos para promocionar la misión social de la fundación. </w:t>
      </w:r>
    </w:p>
    <w:p w:rsidR="00000000" w:rsidDel="00000000" w:rsidP="00000000" w:rsidRDefault="00000000" w:rsidRPr="00000000" w14:paraId="0000001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PARÁGRAFO: la fundación podrá adquirir los bienes necesarios a cualquier </w:t>
      </w:r>
      <w:r w:rsidDel="00000000" w:rsidR="00000000" w:rsidRPr="00000000">
        <w:rPr>
          <w:rFonts w:ascii="Arial" w:cs="Arial" w:eastAsia="Arial" w:hAnsi="Arial"/>
          <w:sz w:val="22"/>
          <w:szCs w:val="22"/>
          <w:rtl w:val="0"/>
        </w:rPr>
        <w:t xml:space="preserve">título</w:t>
      </w:r>
      <w:r w:rsidDel="00000000" w:rsidR="00000000" w:rsidRPr="00000000">
        <w:rPr>
          <w:rFonts w:ascii="Arial" w:cs="Arial" w:eastAsia="Arial" w:hAnsi="Arial"/>
          <w:sz w:val="22"/>
          <w:szCs w:val="22"/>
          <w:vertAlign w:val="baseline"/>
          <w:rtl w:val="0"/>
        </w:rPr>
        <w:t xml:space="preserve"> para el desarrollo de sus objetivos, todo en cooperación y colaboración de las entidades públicas y privadas del orden nacional e internacional que se dediquen a actividades </w:t>
      </w:r>
      <w:r w:rsidDel="00000000" w:rsidR="00000000" w:rsidRPr="00000000">
        <w:rPr>
          <w:rFonts w:ascii="Arial" w:cs="Arial" w:eastAsia="Arial" w:hAnsi="Arial"/>
          <w:sz w:val="22"/>
          <w:szCs w:val="22"/>
          <w:rtl w:val="0"/>
        </w:rPr>
        <w:t xml:space="preserve">afines</w:t>
      </w:r>
      <w:r w:rsidDel="00000000" w:rsidR="00000000" w:rsidRPr="00000000">
        <w:rPr>
          <w:rFonts w:ascii="Arial" w:cs="Arial" w:eastAsia="Arial" w:hAnsi="Arial"/>
          <w:sz w:val="22"/>
          <w:szCs w:val="22"/>
          <w:vertAlign w:val="baseline"/>
          <w:rtl w:val="0"/>
        </w:rPr>
        <w:t xml:space="preserve"> a los de la fundación; en general  podrá  celebrar   toda especie de actos o contratos autorizados  por  la  ley y los estatutos.</w:t>
      </w:r>
    </w:p>
    <w:p w:rsidR="00000000" w:rsidDel="00000000" w:rsidP="00000000" w:rsidRDefault="00000000" w:rsidRPr="00000000" w14:paraId="0000001D">
      <w:pPr>
        <w:pageBreakBefore w:val="0"/>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E">
      <w:pPr>
        <w:pageBreakBefore w:val="0"/>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F">
      <w:pPr>
        <w:pageBreakBefore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CAPITULO II</w:t>
      </w:r>
      <w:r w:rsidDel="00000000" w:rsidR="00000000" w:rsidRPr="00000000">
        <w:rPr>
          <w:rtl w:val="0"/>
        </w:rPr>
      </w:r>
    </w:p>
    <w:p w:rsidR="00000000" w:rsidDel="00000000" w:rsidP="00000000" w:rsidRDefault="00000000" w:rsidRPr="00000000" w14:paraId="00000020">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br w:type="textWrapping"/>
        <w:t xml:space="preserve">DISPOSICIONES SOBRE EL PATRIMONIO</w:t>
      </w:r>
      <w:r w:rsidDel="00000000" w:rsidR="00000000" w:rsidRPr="00000000">
        <w:rPr>
          <w:rtl w:val="0"/>
        </w:rPr>
      </w:r>
    </w:p>
    <w:p w:rsidR="00000000" w:rsidDel="00000000" w:rsidP="00000000" w:rsidRDefault="00000000" w:rsidRPr="00000000" w14:paraId="0000002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t xml:space="preserve">ARTICULO 5. EL PATRIMONIO de la fundación está constituido por: $100000</w:t>
        <w:br w:type="textWrapping"/>
        <w:br w:type="textWrapping"/>
        <w:t xml:space="preserve">a.   Por celebración de contratos para la prestación de servicio $0.0</w:t>
        <w:br w:type="textWrapping"/>
        <w:t xml:space="preserve">b.   Auxilio donados por personas naturales o jurídicas $100000</w:t>
        <w:br w:type="textWrapping"/>
        <w:t xml:space="preserve">c.   Por los bienes que a cualquier título adquiera, incluyendo donaciones de empresas nacionales o extranjeras $0.0</w:t>
        <w:br w:type="textWrapping"/>
        <w:t xml:space="preserve">d.    Por todos los bienes que por cualquier concepto ingresan a la entidad</w:t>
        <w:br w:type="textWrapping"/>
        <w:br w:type="textWrapping"/>
        <w:t xml:space="preserve">EL PATRIMONIO INICIAL ES DE $ 100000</w:t>
      </w:r>
    </w:p>
    <w:p w:rsidR="00000000" w:rsidDel="00000000" w:rsidP="00000000" w:rsidRDefault="00000000" w:rsidRPr="00000000" w14:paraId="00000023">
      <w:pPr>
        <w:pageBreakBefore w:val="0"/>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4">
      <w:pPr>
        <w:pageBreakBefore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CAPITULO III</w:t>
      </w:r>
      <w:r w:rsidDel="00000000" w:rsidR="00000000" w:rsidRPr="00000000">
        <w:rPr>
          <w:rtl w:val="0"/>
        </w:rPr>
      </w:r>
    </w:p>
    <w:p w:rsidR="00000000" w:rsidDel="00000000" w:rsidP="00000000" w:rsidRDefault="00000000" w:rsidRPr="00000000" w14:paraId="00000025">
      <w:pPr>
        <w:pageBreakBefore w:val="0"/>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6">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br w:type="textWrapping"/>
        <w:t xml:space="preserve">ESTRUCTURA Y FUNCIONES DE LOS  ORGANOS DE ADMINISTRACIÓN, DIRECCIÓN Y REVISORIA FISCAL</w:t>
      </w:r>
      <w:r w:rsidDel="00000000" w:rsidR="00000000" w:rsidRPr="00000000">
        <w:rPr>
          <w:rtl w:val="0"/>
        </w:rPr>
      </w:r>
    </w:p>
    <w:p w:rsidR="00000000" w:rsidDel="00000000" w:rsidP="00000000" w:rsidRDefault="00000000" w:rsidRPr="00000000" w14:paraId="00000027">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br w:type="textWrapping"/>
      </w:r>
      <w:r w:rsidDel="00000000" w:rsidR="00000000" w:rsidRPr="00000000">
        <w:rPr>
          <w:rFonts w:ascii="Arial" w:cs="Arial" w:eastAsia="Arial" w:hAnsi="Arial"/>
          <w:b w:val="1"/>
          <w:sz w:val="22"/>
          <w:szCs w:val="22"/>
          <w:vertAlign w:val="baseline"/>
          <w:rtl w:val="0"/>
        </w:rPr>
        <w:t xml:space="preserve">ASAMBLEA GENERAL DE ASOCIADOS, DIRECTOR EJECUTIVO, SUPLENTE Y REVISOR FISCAL</w:t>
        <w:br w:type="textWrapping"/>
      </w:r>
      <w:r w:rsidDel="00000000" w:rsidR="00000000" w:rsidRPr="00000000">
        <w:rPr>
          <w:rtl w:val="0"/>
        </w:rPr>
      </w:r>
    </w:p>
    <w:p w:rsidR="00000000" w:rsidDel="00000000" w:rsidP="00000000" w:rsidRDefault="00000000" w:rsidRPr="00000000" w14:paraId="0000002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ARTICULO. 6°. ADMINISTRACION: La dirección y administración de la fundación, estarán a cargo de los siguientes órganos: a) La Asamblea General de Asociados, b) El Director Ejecutivo Principal y Director Ejecutivo Suplente. ART. 7°. LA ASAMBLEA GENERAL DE ASOCIADOS la integran los asociados siendo la máxima autoridad, reunidos con el quórum y en las demás condiciones establecidas en estos estatutos. Sus reuniones serán ordinarias y extraordinarias. </w:t>
      </w:r>
      <w:r w:rsidDel="00000000" w:rsidR="00000000" w:rsidRPr="00000000">
        <w:rPr>
          <w:rFonts w:ascii="Arial" w:cs="Arial" w:eastAsia="Arial" w:hAnsi="Arial"/>
          <w:b w:val="1"/>
          <w:sz w:val="22"/>
          <w:szCs w:val="22"/>
          <w:vertAlign w:val="baseline"/>
          <w:rtl w:val="0"/>
        </w:rPr>
        <w:t xml:space="preserve">LAS REUNIONES ORDINARIAS</w:t>
      </w:r>
      <w:r w:rsidDel="00000000" w:rsidR="00000000" w:rsidRPr="00000000">
        <w:rPr>
          <w:rFonts w:ascii="Arial" w:cs="Arial" w:eastAsia="Arial" w:hAnsi="Arial"/>
          <w:sz w:val="22"/>
          <w:szCs w:val="22"/>
          <w:vertAlign w:val="baseline"/>
          <w:rtl w:val="0"/>
        </w:rPr>
        <w:t xml:space="preserve"> se celebrarán dentro de los tres primeros meses siguientes al vencimiento del ejercicio social, por convocatoria del Director Ejecutivo, hecha mediante comunicación por escrita dirigida a cada uno de los Asociados con quince (15) días hábiles de anticipación, por lo menos, si convocada la Asamblea, ésta no se reuniere, o si la convocatoria no se hiciere con la anticipación indicada, entonces se reunirá por derecho propio el primer día hábil del mes de Abril a las…….en las oficinas de la administración del domicilio principal. ART. 8°. Las Reuniones Ordinarias tendrán por objeto examinar la situación de la fundación, designar los Administradores y demás funcionarios de su elección, determinar las directrices de la fundación, considerar las cuentas y balances del último ejercicio, resolver sobre la distribución de utilidades y acordar todas las providencias necesarias para asegurar el cumplimiento del objeto social. </w:t>
      </w:r>
      <w:r w:rsidDel="00000000" w:rsidR="00000000" w:rsidRPr="00000000">
        <w:rPr>
          <w:rFonts w:ascii="Arial" w:cs="Arial" w:eastAsia="Arial" w:hAnsi="Arial"/>
          <w:b w:val="1"/>
          <w:sz w:val="22"/>
          <w:szCs w:val="22"/>
          <w:vertAlign w:val="baseline"/>
          <w:rtl w:val="0"/>
        </w:rPr>
        <w:t xml:space="preserve">LAS REUNIONES EXTRAORDINARIAS</w:t>
      </w:r>
      <w:r w:rsidDel="00000000" w:rsidR="00000000" w:rsidRPr="00000000">
        <w:rPr>
          <w:rFonts w:ascii="Arial" w:cs="Arial" w:eastAsia="Arial" w:hAnsi="Arial"/>
          <w:sz w:val="22"/>
          <w:szCs w:val="22"/>
          <w:vertAlign w:val="baseline"/>
          <w:rtl w:val="0"/>
        </w:rPr>
        <w:t xml:space="preserve"> se efectuarán cuando las necesidades imprevistas o urgentes de la fundación así lo exijan, por convocatoria del Director Ejecutivo. La convocatoria para las reuniones extraordinarias se hará en la misma forma que para las ordinarias, pero con una anticipación de cinco (5) días comunes. ART. 9° CON EL AVISO DE CONVOCATORIA PARA LAS REUNIONES EXTRAORDINARIAS se especificaran los asuntos sobre los que se deliberara y decidirá sin que puedan tratarse temas distintos, una vez agotado el orden del día. En todo caso, podrá remover a los funcionarios cuya designación corresponda. ART. 10°. SI SE CONVOCA LA ASAMBLEA GENERAL DE ASOCIADOS y la reunión no se efectúa por falta de quórum, se citará a una nueva reunión que sesionará y decidirá válidamente con un número plural de asociados. La nueva reunión deberá efectuarse no antes de los diez (10) días hábiles, ni después de los treinta (30) días, también hábiles, contados desde la fecha fijada para la primera reunión. En todo caso, las reformas estatutarias se adoptarán con la mayoría requerida por la ley o por estos estatutos, cuando así la misma ley lo dispusiere. ART.11°. HABRÁ QUÓRUM para deliberar y decidir tanto en las sesiones ordinarias como en las extraordinarias si  están presentes y/o representados la mayoría absoluta de los miembros que conforman la Asamblea General de Asociados. ART.12°. TODO ASOCIADO podrá hacerse representar en las reuniones de la Asamblea General de Asociados mediante poder otorgado por escrito, en el que se indique el nombre del apoderado, la persona en quien éste puede sustituirlo y la fecha de la reunión para la cual se confiere, así como los demás requisitos señalados en los estatutos. El poder otorgado podrá comprender dos o más reuniones de la Asamblea General de asociados. ART. 13°. LAS DECISIONES DE LA ASAMBLEA GENERAL DE ASOCIADOS se harán constar en actas aprobadas por la misma, o por las personas que se designen en la reunión para tal efecto, y firmadas por el Presidente y el Secretario de la misma, en las cuales deberá indicarse su número, el lugar, la fecha y hora de la reunión; ART. 14°. SON FUNCIONES DE LA ASAMBLEA GENERAL DE ASOCIADOS: a) Estudiar y aprobar las reformas de estatutos; b) Examinar, aprobar o improbar nuevas políticas y supervigilar su aplicación; c) aprobar y adicionar el presupuesto anual de ingresos y gastos de la fundación ; d) Ejercer control sobre el funcionamiento general de la fundación; e) examinar las cuentas ,balances y correspondencia y demás documentos de la fundación; f) estudiar, aprobar o improbar los informes periódicos del revisor fiscal; g) promover la consecución de auxilios y donaciones y velar por su adecuada inversión de acuerdo a los objetivos de la fundación; h) aceptar o no el ingreso de nuevos asociados, ya sea de carácter activo o como colaboradores o como miembros honorarios; i) determinar el porcentaje que corresponda como ingreso de patrimonio de fundación; j) solicitar, recibir, aprobar o desaprobar los informes del director ejecutivo y del revisor fiscal; k) expedir su propio reglamento y las demás que le asignen las leyes y los estatutos.</w:t>
      </w:r>
    </w:p>
    <w:p w:rsidR="00000000" w:rsidDel="00000000" w:rsidP="00000000" w:rsidRDefault="00000000" w:rsidRPr="00000000" w14:paraId="0000002A">
      <w:pPr>
        <w:pageBreakBefore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CAPITULO IV</w:t>
      </w:r>
      <w:r w:rsidDel="00000000" w:rsidR="00000000" w:rsidRPr="00000000">
        <w:rPr>
          <w:rtl w:val="0"/>
        </w:rPr>
      </w:r>
    </w:p>
    <w:p w:rsidR="00000000" w:rsidDel="00000000" w:rsidP="00000000" w:rsidRDefault="00000000" w:rsidRPr="00000000" w14:paraId="0000002B">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br w:type="textWrapping"/>
        <w:t xml:space="preserve">REFORMA ESTATUTARIA</w:t>
      </w:r>
      <w:r w:rsidDel="00000000" w:rsidR="00000000" w:rsidRPr="00000000">
        <w:rPr>
          <w:rtl w:val="0"/>
        </w:rPr>
      </w:r>
    </w:p>
    <w:p w:rsidR="00000000" w:rsidDel="00000000" w:rsidP="00000000" w:rsidRDefault="00000000" w:rsidRPr="00000000" w14:paraId="0000002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t xml:space="preserve">ARTICULO 15°. LA REFORMA DE LOS ESTATUTOS, Las reformas de estatutos únicamente podrán realizarse a través de la Asamblea General de Asociados, convocada para tal fin y serán aprobadas con el voto favorable de la mayoría absoluta de sus Asociados.</w:t>
      </w:r>
    </w:p>
    <w:p w:rsidR="00000000" w:rsidDel="00000000" w:rsidP="00000000" w:rsidRDefault="00000000" w:rsidRPr="00000000" w14:paraId="0000002D">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CAPITULO V</w:t>
        <w:br w:type="textWrapping"/>
        <w:br w:type="textWrapping"/>
        <w:t xml:space="preserve">DIRECTOR EJECUTIVO Y SUPLENTE</w:t>
      </w:r>
      <w:r w:rsidDel="00000000" w:rsidR="00000000" w:rsidRPr="00000000">
        <w:rPr>
          <w:rFonts w:ascii="Arial" w:cs="Arial" w:eastAsia="Arial" w:hAnsi="Arial"/>
          <w:sz w:val="22"/>
          <w:szCs w:val="22"/>
          <w:vertAlign w:val="baseline"/>
          <w:rtl w:val="0"/>
        </w:rPr>
        <w:br w:type="textWrapping"/>
      </w:r>
    </w:p>
    <w:p w:rsidR="00000000" w:rsidDel="00000000" w:rsidP="00000000" w:rsidRDefault="00000000" w:rsidRPr="00000000" w14:paraId="0000002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ARTICULO 16°. DIRECTOR EJECUTIVO: La Fundación tendrá un Director Ejecutivo de libre nombramiento y remoción de la Asamblea General de asociados, el cual tendrá un suplente, que lo reemplazará en sus faltas absolutas, temporales o accidentales y cuya designación y remoción corresponderá también a la Asamblea. El Director Ejecutivo tendrá un período de 2 años, sin perjuicio de que pueda ser reelegido indefinidamente o removido en cualquier tiempo. ART 17°. El Director Ejecutivo es el Representante Legal de la fundación, con facultades, por lo tanto para ejecutar todos los actos y contratos acordes con la naturaleza de su encargo y que se relacionen directamente con el giro ordinario de los negocios sociales. En especial, el Director Ejecutivo tendrá las siguientes facultades: a) actuar como representante legal de la fundación; b) ejecutar las decisiones de la Asamblea general de asociados y cumplir las ordenes emanadas de la misma; c) presentar para el estudio y consideración de la Asamblea general de asociados, los planes y programas que deba desarrollar la fundación; d) elaborar el presupuesto anual de ingresos y gastos de la fundación y presentarlo a consideración de la Asamblea; e) informar periódicamente a la Asamblea general de asociados sobre la situación de la entidad y el cumplimiento de los fines propios de la misma; f) velar por la adecuada utilización de los bienes y rentas de la fundación., g) administrar el personal al servicio de la fundación, para cuyo efecto celebrara los contratos y efectuara las operaciones a que hubiere lugar, h) constituir mandatarios para que representen a la fundación en asuntos judiciales y extrajudiciales, i) celebrar los contratos y ejecutar los actos relacionados con los objetivos de la fundación, con organismos nacionales y extranjeros, públicos o privados, con personas naturales o jurídicas hasta un monto de trescientos salarios mínimos mensuales, sin autorización de la Asamblea y por sumas mayores cuando ella la autorice, j) crear los cargos necesarios para el normal funcionamiento de la fundación y establecer su remuneración.</w:t>
      </w:r>
    </w:p>
    <w:p w:rsidR="00000000" w:rsidDel="00000000" w:rsidP="00000000" w:rsidRDefault="00000000" w:rsidRPr="00000000" w14:paraId="0000002F">
      <w:pPr>
        <w:pageBreakBefore w:val="0"/>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30">
      <w:pPr>
        <w:pageBreakBefore w:val="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CAPITULO VI</w:t>
      </w:r>
      <w:r w:rsidDel="00000000" w:rsidR="00000000" w:rsidRPr="00000000">
        <w:rPr>
          <w:rtl w:val="0"/>
        </w:rPr>
      </w:r>
    </w:p>
    <w:p w:rsidR="00000000" w:rsidDel="00000000" w:rsidP="00000000" w:rsidRDefault="00000000" w:rsidRPr="00000000" w14:paraId="00000031">
      <w:pPr>
        <w:pageBreakBefore w:val="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br w:type="textWrapping"/>
        <w:t xml:space="preserve">DISOLUCIÓN Y LIQUIDACIÓN</w:t>
      </w:r>
      <w:r w:rsidDel="00000000" w:rsidR="00000000" w:rsidRPr="00000000">
        <w:rPr>
          <w:rtl w:val="0"/>
        </w:rPr>
      </w:r>
    </w:p>
    <w:p w:rsidR="00000000" w:rsidDel="00000000" w:rsidP="00000000" w:rsidRDefault="00000000" w:rsidRPr="00000000" w14:paraId="0000003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ARTICULO19°. La fundación se disolverá y liquidará:</w:t>
      </w:r>
    </w:p>
    <w:p w:rsidR="00000000" w:rsidDel="00000000" w:rsidP="00000000" w:rsidRDefault="00000000" w:rsidRPr="00000000" w14:paraId="00000034">
      <w:pPr>
        <w:pageBreakBefore w:val="0"/>
        <w:tabs>
          <w:tab w:val="left" w:pos="8647"/>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Por voluntad de sus Asociados.</w:t>
      </w:r>
    </w:p>
    <w:p w:rsidR="00000000" w:rsidDel="00000000" w:rsidP="00000000" w:rsidRDefault="00000000" w:rsidRPr="00000000" w14:paraId="00000036">
      <w:pPr>
        <w:pageBreakBefore w:val="0"/>
        <w:tabs>
          <w:tab w:val="left" w:pos="8647"/>
        </w:tabs>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 Cuando transcurridos dos años contados a partir del reconocimiento de personería jurídica, no hubieren iniciado actividades.</w:t>
      </w:r>
    </w:p>
    <w:p w:rsidR="00000000" w:rsidDel="00000000" w:rsidP="00000000" w:rsidRDefault="00000000" w:rsidRPr="00000000" w14:paraId="00000037">
      <w:pPr>
        <w:pageBreakBefore w:val="0"/>
        <w:tabs>
          <w:tab w:val="left" w:pos="8647"/>
        </w:tabs>
        <w:jc w:val="both"/>
        <w:rPr>
          <w:rFonts w:ascii="Arial" w:cs="Arial" w:eastAsia="Arial" w:hAnsi="Arial"/>
          <w:color w:val="000000"/>
          <w:sz w:val="22"/>
          <w:szCs w:val="22"/>
          <w:vertAlign w:val="baseline"/>
        </w:rPr>
      </w:pPr>
      <w:r w:rsidDel="00000000" w:rsidR="00000000" w:rsidRPr="00000000">
        <w:rPr>
          <w:rFonts w:ascii="Arial" w:cs="Arial" w:eastAsia="Arial" w:hAnsi="Arial"/>
          <w:sz w:val="22"/>
          <w:szCs w:val="22"/>
          <w:vertAlign w:val="baseline"/>
          <w:rtl w:val="0"/>
        </w:rPr>
        <w:t xml:space="preserve">c. C</w:t>
      </w:r>
      <w:r w:rsidDel="00000000" w:rsidR="00000000" w:rsidRPr="00000000">
        <w:rPr>
          <w:rFonts w:ascii="Arial" w:cs="Arial" w:eastAsia="Arial" w:hAnsi="Arial"/>
          <w:color w:val="000000"/>
          <w:sz w:val="22"/>
          <w:szCs w:val="22"/>
          <w:vertAlign w:val="baseline"/>
          <w:rtl w:val="0"/>
        </w:rPr>
        <w:t xml:space="preserve">uando se cancele la personería jurídica.</w:t>
      </w:r>
    </w:p>
    <w:p w:rsidR="00000000" w:rsidDel="00000000" w:rsidP="00000000" w:rsidRDefault="00000000" w:rsidRPr="00000000" w14:paraId="00000038">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 </w:t>
      </w:r>
      <w:r w:rsidDel="00000000" w:rsidR="00000000" w:rsidRPr="00000000">
        <w:rPr>
          <w:rFonts w:ascii="Arial" w:cs="Arial" w:eastAsia="Arial" w:hAnsi="Arial"/>
          <w:color w:val="000000"/>
          <w:sz w:val="22"/>
          <w:szCs w:val="22"/>
          <w:vertAlign w:val="baseline"/>
          <w:rtl w:val="0"/>
        </w:rPr>
        <w:t xml:space="preserve">Por extinción de su patrimonio o destrucción de los bienes destinados a su manutención.</w:t>
      </w:r>
      <w:r w:rsidDel="00000000" w:rsidR="00000000" w:rsidRPr="00000000">
        <w:rPr>
          <w:rFonts w:ascii="Arial" w:cs="Arial" w:eastAsia="Arial" w:hAnsi="Arial"/>
          <w:sz w:val="22"/>
          <w:szCs w:val="22"/>
          <w:vertAlign w:val="baseline"/>
          <w:rtl w:val="0"/>
        </w:rPr>
        <w:br w:type="textWrapping"/>
        <w:t xml:space="preserve">e. </w:t>
      </w:r>
      <w:r w:rsidDel="00000000" w:rsidR="00000000" w:rsidRPr="00000000">
        <w:rPr>
          <w:rFonts w:ascii="Arial" w:cs="Arial" w:eastAsia="Arial" w:hAnsi="Arial"/>
          <w:color w:val="000000"/>
          <w:sz w:val="22"/>
          <w:szCs w:val="22"/>
          <w:vertAlign w:val="baseline"/>
          <w:rtl w:val="0"/>
        </w:rPr>
        <w:t xml:space="preserve">Por imposibilidad de desarrollar su objetivo social.</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9">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  Por las demás causales señaladas por la ley.</w:t>
      </w:r>
    </w:p>
    <w:p w:rsidR="00000000" w:rsidDel="00000000" w:rsidP="00000000" w:rsidRDefault="00000000" w:rsidRPr="00000000" w14:paraId="0000003A">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t xml:space="preserve">ARTICULO 20°. Decretada la disolución, la Asamblea General de Asociados    procederá a nombrar liquidador o liquidadores.  Mientras  no  se hagan dichos nombramientos, actuará el último representante legal inscrito en la cámara de comercio competente.</w:t>
      </w:r>
    </w:p>
    <w:p w:rsidR="00000000" w:rsidDel="00000000" w:rsidP="00000000" w:rsidRDefault="00000000" w:rsidRPr="00000000" w14:paraId="0000003B">
      <w:pPr>
        <w:pageBreakBefore w:val="0"/>
        <w:tabs>
          <w:tab w:val="left" w:pos="8647"/>
        </w:tabs>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C">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ARTICULO 21°. Terminado el trabajo de liquidación si existe un remanente después de realizado el balance financiero, pasará en calidad de donación a otra entidad sin ánimo de lucro que desarrolle un objeto social igual o similar al de la fundación.</w:t>
      </w:r>
    </w:p>
    <w:p w:rsidR="00000000" w:rsidDel="00000000" w:rsidP="00000000" w:rsidRDefault="00000000" w:rsidRPr="00000000" w14:paraId="0000003D">
      <w:pPr>
        <w:pageBreakBefore w:val="0"/>
        <w:tabs>
          <w:tab w:val="left" w:pos="8647"/>
        </w:tabs>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pageBreakBefore w:val="0"/>
        <w:tabs>
          <w:tab w:val="left" w:pos="8647"/>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Los presentes estatutos, fueron leídos y aprobados por   unanimidad en todas y cada una de sus partes, por la Asamblea General de Asociados; mediante el acta  # 001 realizada el día 24 del mes de octubre de 2013.</w:t>
      </w:r>
    </w:p>
    <w:p w:rsidR="00000000" w:rsidDel="00000000" w:rsidP="00000000" w:rsidRDefault="00000000" w:rsidRPr="00000000" w14:paraId="0000003F">
      <w:pPr>
        <w:pageBreakBefore w:val="0"/>
        <w:tabs>
          <w:tab w:val="left" w:pos="8647"/>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color w:val="ff0000"/>
          <w:sz w:val="22"/>
          <w:szCs w:val="22"/>
          <w:vertAlign w:val="baseline"/>
          <w:rtl w:val="0"/>
        </w:rPr>
        <w:br w:type="textWrapping"/>
      </w:r>
      <w:r w:rsidDel="00000000" w:rsidR="00000000" w:rsidRPr="00000000">
        <w:rPr>
          <w:rFonts w:ascii="Arial" w:cs="Arial" w:eastAsia="Arial" w:hAnsi="Arial"/>
          <w:sz w:val="22"/>
          <w:szCs w:val="22"/>
          <w:vertAlign w:val="baseline"/>
          <w:rtl w:val="0"/>
        </w:rPr>
        <w:t xml:space="preserve"> </w:t>
        <w:br w:type="textWrapping"/>
      </w:r>
    </w:p>
    <w:p w:rsidR="00000000" w:rsidDel="00000000" w:rsidP="00000000" w:rsidRDefault="00000000" w:rsidRPr="00000000" w14:paraId="00000040">
      <w:pPr>
        <w:pageBreakBefore w:val="0"/>
        <w:tabs>
          <w:tab w:val="left" w:pos="8647"/>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pageBreakBefore w:val="0"/>
        <w:tabs>
          <w:tab w:val="left" w:pos="8647"/>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pageBreakBefore w:val="0"/>
        <w:tabs>
          <w:tab w:val="left" w:pos="2552"/>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________________________________                            </w:t>
        <w:br w:type="textWrapping"/>
        <w:t xml:space="preserve">Presidente y secretario de la Asamblea                                                  </w:t>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5" w:hanging="46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x42HL8u3XBpw9uuKDkq8hfqAw==">AMUW2mWFhraWkhTHlTjCjvPXA3C5BqcyFYVfr7qBl87hyVfcb0aMD/TXJgDuNSnUE/G62weKjIYZdGtx+7gnetjSlOjUEk5zz35HtBW000XOrXiGDQ5KVZblPHbZ6W8D69r0Iyu6l0YE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2013-10-25T18:09:00Z</dcterms:created>
  <dc:creator>39616521</dc:creator>
</cp:coreProperties>
</file>