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F3864"/>
          <w:sz w:val="32"/>
        </w:rPr>
        <w:t>Proyecto 1 — Procesamiento y Análisis de Datos Masivos</w:t>
      </w:r>
    </w:p>
    <w:p>
      <w:pPr>
        <w:spacing w:after="40"/>
        <w:jc w:val="center"/>
      </w:pPr>
      <w:r>
        <w:rPr>
          <w:i/>
          <w:color w:val="595959"/>
          <w:sz w:val="22"/>
        </w:rPr>
        <w:t>MovieLens 20M · PySpark · MinHash + LSH</w:t>
      </w:r>
    </w:p>
    <w:p>
      <w:pPr>
        <w:spacing w:after="160"/>
        <w:jc w:val="center"/>
      </w:pPr>
      <w:r>
        <w:rPr>
          <w:color w:val="808080"/>
          <w:sz w:val="18"/>
        </w:rPr>
        <w:t>Curso: Data Mining · UTEC · Prof. Heider Sanchez · Autor: Johar · Abril 2026</w:t>
      </w:r>
    </w:p>
    <w:p>
      <w:pPr>
        <w:spacing w:before="160" w:after="80"/>
      </w:pPr>
      <w:r>
        <w:rPr>
          <w:rFonts w:ascii="Calibri" w:hAnsi="Calibri"/>
          <w:b/>
          <w:color w:val="1F3864"/>
          <w:sz w:val="24"/>
        </w:rPr>
        <w:t>Resumen</w:t>
      </w:r>
    </w:p>
    <w:p>
      <w:pPr>
        <w:spacing w:before="0" w:after="80"/>
        <w:jc w:val="both"/>
      </w:pPr>
      <w:r>
        <w:rPr>
          <w:rFonts w:ascii="Calibri" w:hAnsi="Calibri"/>
          <w:b w:val="0"/>
          <w:i w:val="0"/>
          <w:sz w:val="20"/>
        </w:rPr>
        <w:t>Este reporte sintetiza el procesamiento y análisis del dataset MovieLens 20M (20,000,263 ratings, 138,493 usuarios, 27,278 películas) usando Apache Spark sobre un clúster Docker. Se ejecutaron tres fases: (i) preprocesamiento y EDA distribuidos, (ii) procesamiento MapReduce con benchmark RDD vs DataFrame y top-20 de películas, y (iii) búsqueda de pares similares con Jaccard exacto, MinHashing y LSH bajo distintas configuraciones de bandas. El sparsity de 99.46% justifica el uso de técnicas aproximadas; MinHash logra correlación de Pearson 0.89 con Jaccard exacto y la configuración LSH óptima (b=25, r=4) alcanza precisión 0.85.</w:t>
      </w:r>
    </w:p>
    <w:p>
      <w:pPr>
        <w:spacing w:before="160" w:after="80"/>
      </w:pPr>
      <w:r>
        <w:rPr>
          <w:rFonts w:ascii="Calibri" w:hAnsi="Calibri"/>
          <w:b/>
          <w:color w:val="1F3864"/>
          <w:sz w:val="28"/>
        </w:rPr>
        <w:t>1. Metodología</w:t>
      </w:r>
    </w:p>
    <w:p>
      <w:pPr>
        <w:spacing w:before="160" w:after="80"/>
      </w:pPr>
      <w:r>
        <w:rPr>
          <w:rFonts w:ascii="Calibri" w:hAnsi="Calibri"/>
          <w:b/>
          <w:color w:val="1F3864"/>
          <w:sz w:val="24"/>
        </w:rPr>
        <w:t>1.1 Entorno de ejecución</w:t>
      </w:r>
    </w:p>
    <w:p>
      <w:pPr>
        <w:spacing w:before="0" w:after="80"/>
        <w:jc w:val="both"/>
      </w:pPr>
      <w:r>
        <w:rPr>
          <w:rFonts w:ascii="Calibri" w:hAnsi="Calibri"/>
          <w:b w:val="0"/>
          <w:i w:val="0"/>
          <w:sz w:val="20"/>
        </w:rPr>
        <w:t>Apache Spark 4.1.1 corriendo sobre Docker Compose (1 master + 2 workers, 20 cores totales, 13.3 GiB). Los notebooks Python interactúan con el clúster vía PySpark sobre Mac M1 Pro. La SparkSession local se usa solo para verificación; el trabajo principal corre en modo distribuido.</w:t>
      </w:r>
    </w:p>
    <w:p>
      <w:pPr>
        <w:spacing w:before="160" w:after="80"/>
      </w:pPr>
      <w:r>
        <w:rPr>
          <w:rFonts w:ascii="Calibri" w:hAnsi="Calibri"/>
          <w:b/>
          <w:color w:val="1F3864"/>
          <w:sz w:val="24"/>
        </w:rPr>
        <w:t>1.2 Parte I — Preprocesamiento y EDA</w:t>
      </w:r>
    </w:p>
    <w:p>
      <w:pPr>
        <w:spacing w:before="0" w:after="80"/>
        <w:jc w:val="both"/>
      </w:pPr>
      <w:r>
        <w:rPr>
          <w:rFonts w:ascii="Calibri" w:hAnsi="Calibri"/>
          <w:b w:val="0"/>
          <w:i w:val="0"/>
          <w:sz w:val="20"/>
        </w:rPr>
        <w:t>Se cargaron los CSV con esquema explícito y se inspeccionaron tipos, conteos y rangos. No se hallaron nulos, duplicados ni ratings fuera de la escala [0.5, 5.0]. Las 246 películas sin género se etiquetaron como Unknown y los 2,334 tags técnicos bd-r se eliminaron. Se unificaron los géneros (Sci-Fi → Science Fiction; Film-Noir → Film Noir; Children → Children's) y se descartó IMAX por ser un formato. La binarización like/dislike usa el umbral 3.5, justificado por la media del dataset (3.53). Los datasets limpios se persistieron en Parquet para reuso en fases posteriores.</w:t>
      </w:r>
    </w:p>
    <w:p>
      <w:pPr>
        <w:spacing w:before="160" w:after="80"/>
      </w:pPr>
      <w:r>
        <w:rPr>
          <w:rFonts w:ascii="Calibri" w:hAnsi="Calibri"/>
          <w:b/>
          <w:color w:val="1F3864"/>
          <w:sz w:val="24"/>
        </w:rPr>
        <w:t>1.3 Parte II — Procesamiento distribuido</w:t>
      </w:r>
    </w:p>
    <w:p>
      <w:pPr>
        <w:spacing w:before="0" w:after="80"/>
        <w:jc w:val="both"/>
      </w:pPr>
      <w:r>
        <w:rPr>
          <w:rFonts w:ascii="Calibri" w:hAnsi="Calibri"/>
          <w:b w:val="0"/>
          <w:i w:val="0"/>
          <w:sz w:val="20"/>
        </w:rPr>
        <w:t>Se replicó el conteo de ratings por película con dos APIs: DataFrame (groupBy + count + orderBy) y RDD estilo MapReduce (map + reduceByKey + sortBy). Se midieron tres operaciones (conteo por película, top-20 con join a movies y conteo por usuario) registrando wall-clock time para comparar Catalyst-optimizado contra ejecución manual de RDD.</w:t>
      </w:r>
    </w:p>
    <w:p>
      <w:pPr>
        <w:spacing w:before="160" w:after="80"/>
      </w:pPr>
      <w:r>
        <w:rPr>
          <w:rFonts w:ascii="Calibri" w:hAnsi="Calibri"/>
          <w:b/>
          <w:color w:val="1F3864"/>
          <w:sz w:val="24"/>
        </w:rPr>
        <w:t>1.4 Parte III — Similitud, MinHash y LSH</w:t>
      </w:r>
    </w:p>
    <w:p>
      <w:pPr>
        <w:spacing w:before="0" w:after="80"/>
        <w:jc w:val="both"/>
      </w:pPr>
      <w:r>
        <w:rPr>
          <w:rFonts w:ascii="Calibri" w:hAnsi="Calibri"/>
          <w:b w:val="0"/>
          <w:i w:val="0"/>
          <w:sz w:val="20"/>
        </w:rPr>
        <w:t>Cada película se representa como el conjunto de usuarios que le dieron like (Opción A). Se descartan películas con menos de 50 likes (justificado por análisis de sensibilidad: con ≥50 elementos el cambio del Jaccard al añadir un usuario cae por debajo del 1.5%), quedando 8,362 películas. Se calcula el Jaccard exacto sobre una muestra de 200 películas (19,900 pares) como ground truth. Las firmas MinHash se construyen con 100 funciones hash de la forma h(x) = (a·x + b) mod p mod N (p = 2,147,483,647). Se compara el Jaccard estimado contra el exacto (MAE, correlación de Pearson) y se evalúa LSH variando b y r con b·r = 100 constante; se contabilizan TP, FP, FN para precisión y recall.</w:t>
      </w:r>
    </w:p>
    <w:p>
      <w:pPr>
        <w:spacing w:before="160" w:after="80"/>
      </w:pPr>
      <w:r>
        <w:rPr>
          <w:rFonts w:ascii="Calibri" w:hAnsi="Calibri"/>
          <w:b/>
          <w:color w:val="1F3864"/>
          <w:sz w:val="28"/>
        </w:rPr>
        <w:t>2. Hallazgos del EDA</w:t>
      </w:r>
    </w:p>
    <w:p>
      <w:pPr>
        <w:spacing w:before="160" w:after="80"/>
      </w:pPr>
      <w:r>
        <w:rPr>
          <w:rFonts w:ascii="Calibri" w:hAnsi="Calibri"/>
          <w:b/>
          <w:color w:val="1F3864"/>
          <w:sz w:val="24"/>
        </w:rPr>
        <w:t>2.1 Distribución de ratings y sparsity</w:t>
      </w:r>
    </w:p>
    <w:p>
      <w:pPr>
        <w:spacing w:before="0" w:after="80"/>
        <w:jc w:val="both"/>
      </w:pPr>
      <w:r>
        <w:rPr>
          <w:rFonts w:ascii="Calibri" w:hAnsi="Calibri"/>
          <w:b w:val="0"/>
          <w:i w:val="0"/>
          <w:sz w:val="20"/>
        </w:rPr>
        <w:t>Los usuarios califican en su mayoría positivamente: la media es 3.53 y la mediana 3.5. Los ratings enteros (3, 4, 5) son notoriamente más frecuentes que los medios (3.5, 4.5), evidenciando preferencia por números redondos. El 3.5 se eligió como umbral de binarización porque es el valor donde el usuario conscientemente da media estrella extra. Resultado: 61% likes, 39% dislikes.</w:t>
      </w:r>
    </w:p>
    <w:p>
      <w:pPr>
        <w:spacing w:before="40" w:after="0"/>
        <w:jc w:val="center"/>
      </w:pPr>
      <w:r>
        <w:drawing>
          <wp:inline xmlns:a="http://schemas.openxmlformats.org/drawingml/2006/main" xmlns:pic="http://schemas.openxmlformats.org/drawingml/2006/picture">
            <wp:extent cx="5029200" cy="1981200"/>
            <wp:docPr id="1" name="Picture 1"/>
            <wp:cNvGraphicFramePr>
              <a:graphicFrameLocks noChangeAspect="1"/>
            </wp:cNvGraphicFramePr>
            <a:graphic>
              <a:graphicData uri="http://schemas.openxmlformats.org/drawingml/2006/picture">
                <pic:pic>
                  <pic:nvPicPr>
                    <pic:cNvPr id="0" name="01_distribucion_ratings.png"/>
                    <pic:cNvPicPr/>
                  </pic:nvPicPr>
                  <pic:blipFill>
                    <a:blip r:embed="rId9"/>
                    <a:stretch>
                      <a:fillRect/>
                    </a:stretch>
                  </pic:blipFill>
                  <pic:spPr>
                    <a:xfrm>
                      <a:off x="0" y="0"/>
                      <a:ext cx="5029200" cy="1981200"/>
                    </a:xfrm>
                    <a:prstGeom prst="rect"/>
                  </pic:spPr>
                </pic:pic>
              </a:graphicData>
            </a:graphic>
          </wp:inline>
        </w:drawing>
      </w:r>
    </w:p>
    <w:p>
      <w:pPr>
        <w:spacing w:before="0" w:after="120"/>
        <w:jc w:val="center"/>
      </w:pPr>
      <w:r>
        <w:rPr>
          <w:i/>
          <w:color w:val="595959"/>
          <w:sz w:val="18"/>
        </w:rPr>
        <w:t>Figura 1. Distribución de los 20M ratings — sesgo hacia ratings altos y preferencia por enteros.</w:t>
      </w:r>
    </w:p>
    <w:p>
      <w:pPr>
        <w:spacing w:before="0" w:after="80"/>
        <w:jc w:val="both"/>
      </w:pPr>
      <w:r>
        <w:rPr>
          <w:rFonts w:ascii="Calibri" w:hAnsi="Calibri"/>
          <w:b w:val="0"/>
          <w:i w:val="0"/>
          <w:sz w:val="20"/>
        </w:rPr>
        <w:t>La matriz usuario-película tiene 138,493 × 26,744 ≈ 3.7 × 10⁹ celdas, pero solo 20M están llenas. El 99.46% está vacío. Esta densidad bajísima justifica el uso de MinHash y LSH: comparar pares exactos sería O(N²) y la mayoría de comparaciones daría intersección nula.</w:t>
      </w:r>
    </w:p>
    <w:p>
      <w:pPr>
        <w:spacing w:before="40" w:after="0"/>
        <w:jc w:val="center"/>
      </w:pPr>
      <w:r>
        <w:drawing>
          <wp:inline xmlns:a="http://schemas.openxmlformats.org/drawingml/2006/main" xmlns:pic="http://schemas.openxmlformats.org/drawingml/2006/picture">
            <wp:extent cx="4572000" cy="4840941"/>
            <wp:docPr id="2" name="Picture 2"/>
            <wp:cNvGraphicFramePr>
              <a:graphicFrameLocks noChangeAspect="1"/>
            </wp:cNvGraphicFramePr>
            <a:graphic>
              <a:graphicData uri="http://schemas.openxmlformats.org/drawingml/2006/picture">
                <pic:pic>
                  <pic:nvPicPr>
                    <pic:cNvPr id="0" name="05_sparsity.png"/>
                    <pic:cNvPicPr/>
                  </pic:nvPicPr>
                  <pic:blipFill>
                    <a:blip r:embed="rId10"/>
                    <a:stretch>
                      <a:fillRect/>
                    </a:stretch>
                  </pic:blipFill>
                  <pic:spPr>
                    <a:xfrm>
                      <a:off x="0" y="0"/>
                      <a:ext cx="4572000" cy="4840941"/>
                    </a:xfrm>
                    <a:prstGeom prst="rect"/>
                  </pic:spPr>
                </pic:pic>
              </a:graphicData>
            </a:graphic>
          </wp:inline>
        </w:drawing>
      </w:r>
    </w:p>
    <w:p>
      <w:pPr>
        <w:spacing w:before="0" w:after="120"/>
        <w:jc w:val="center"/>
      </w:pPr>
      <w:r>
        <w:rPr>
          <w:i/>
          <w:color w:val="595959"/>
          <w:sz w:val="18"/>
        </w:rPr>
        <w:t>Figura 2. Heatmap de la submatriz usuario-película más densa (99.46% sparsity total).</w:t>
      </w:r>
    </w:p>
    <w:p>
      <w:pPr>
        <w:spacing w:before="160" w:after="80"/>
      </w:pPr>
      <w:r>
        <w:rPr>
          <w:rFonts w:ascii="Calibri" w:hAnsi="Calibri"/>
          <w:b/>
          <w:color w:val="1F3864"/>
          <w:sz w:val="24"/>
        </w:rPr>
        <w:t>2.2 Actividad por usuario y por película — power law</w:t>
      </w:r>
    </w:p>
    <w:p>
      <w:pPr>
        <w:spacing w:before="0" w:after="80"/>
        <w:jc w:val="both"/>
      </w:pPr>
      <w:r>
        <w:rPr>
          <w:rFonts w:ascii="Calibri" w:hAnsi="Calibri"/>
          <w:b w:val="0"/>
          <w:i w:val="0"/>
          <w:sz w:val="20"/>
        </w:rPr>
        <w:t>Tanto la actividad de usuarios como la popularidad de películas siguen una distribución de cola larga. El 75% de los usuarios tiene entre 20 y 155 ratings, pero algunos outliers superan los 9,000 ratings. Para películas, P50 = 18 (la mitad tiene 18 o menos ratings: cine de nicho), P75 = 205, y la más calificada es Pulp Fiction con 67,310 ratings. El top 25% concentra casi todos los ratings del dataset.</w:t>
      </w:r>
    </w:p>
    <w:p>
      <w:pPr>
        <w:spacing w:before="40" w:after="0"/>
        <w:jc w:val="center"/>
      </w:pPr>
      <w:r>
        <w:drawing>
          <wp:inline xmlns:a="http://schemas.openxmlformats.org/drawingml/2006/main" xmlns:pic="http://schemas.openxmlformats.org/drawingml/2006/picture">
            <wp:extent cx="5669280" cy="1130057"/>
            <wp:docPr id="3" name="Picture 3"/>
            <wp:cNvGraphicFramePr>
              <a:graphicFrameLocks noChangeAspect="1"/>
            </wp:cNvGraphicFramePr>
            <a:graphic>
              <a:graphicData uri="http://schemas.openxmlformats.org/drawingml/2006/picture">
                <pic:pic>
                  <pic:nvPicPr>
                    <pic:cNvPr id="0" name="03_ratings_por_pelicula.png"/>
                    <pic:cNvPicPr/>
                  </pic:nvPicPr>
                  <pic:blipFill>
                    <a:blip r:embed="rId11"/>
                    <a:stretch>
                      <a:fillRect/>
                    </a:stretch>
                  </pic:blipFill>
                  <pic:spPr>
                    <a:xfrm>
                      <a:off x="0" y="0"/>
                      <a:ext cx="5669280" cy="1130057"/>
                    </a:xfrm>
                    <a:prstGeom prst="rect"/>
                  </pic:spPr>
                </pic:pic>
              </a:graphicData>
            </a:graphic>
          </wp:inline>
        </w:drawing>
      </w:r>
    </w:p>
    <w:p>
      <w:pPr>
        <w:spacing w:before="0" w:after="120"/>
        <w:jc w:val="center"/>
      </w:pPr>
      <w:r>
        <w:rPr>
          <w:i/>
          <w:color w:val="595959"/>
          <w:sz w:val="18"/>
        </w:rPr>
        <w:t>Figura 3. Distribución de ratings por película — long tail clásico.</w:t>
      </w:r>
    </w:p>
    <w:p>
      <w:pPr>
        <w:spacing w:before="160" w:after="80"/>
      </w:pPr>
      <w:r>
        <w:rPr>
          <w:rFonts w:ascii="Calibri" w:hAnsi="Calibri"/>
          <w:b/>
          <w:color w:val="1F3864"/>
          <w:sz w:val="24"/>
        </w:rPr>
        <w:t>2.3 Géneros y evolución temporal</w:t>
      </w:r>
    </w:p>
    <w:p>
      <w:pPr>
        <w:spacing w:before="0" w:after="80"/>
        <w:jc w:val="both"/>
      </w:pPr>
      <w:r>
        <w:rPr>
          <w:rFonts w:ascii="Calibri" w:hAnsi="Calibri"/>
          <w:b w:val="0"/>
          <w:i w:val="0"/>
          <w:sz w:val="20"/>
        </w:rPr>
        <w:t>Drama (13,344) y Comedy (8,374) dominan más del 50% del catálogo; Western (676) y Film-Noir (330) son nichos. Como una película puede tener varios géneros, los conteos no suman al total. Temporalmente, la actividad muestra picos en 2000 y 2005 — alineados con el auge del DVD y la consolidación de plataformas de recomendación online — y una caída posterior cuando los usuarios migraron a Netflix y YouTube. La caída de 2015 es artificial: el dataset se exportó a mitad de año.</w:t>
      </w:r>
    </w:p>
    <w:p>
      <w:pPr>
        <w:spacing w:before="40" w:after="0"/>
        <w:jc w:val="center"/>
      </w:pPr>
      <w:r>
        <w:drawing>
          <wp:inline xmlns:a="http://schemas.openxmlformats.org/drawingml/2006/main" xmlns:pic="http://schemas.openxmlformats.org/drawingml/2006/picture">
            <wp:extent cx="5669280" cy="2332072"/>
            <wp:docPr id="4" name="Picture 4"/>
            <wp:cNvGraphicFramePr>
              <a:graphicFrameLocks noChangeAspect="1"/>
            </wp:cNvGraphicFramePr>
            <a:graphic>
              <a:graphicData uri="http://schemas.openxmlformats.org/drawingml/2006/picture">
                <pic:pic>
                  <pic:nvPicPr>
                    <pic:cNvPr id="0" name="04_distribucion_generos.png"/>
                    <pic:cNvPicPr/>
                  </pic:nvPicPr>
                  <pic:blipFill>
                    <a:blip r:embed="rId12"/>
                    <a:stretch>
                      <a:fillRect/>
                    </a:stretch>
                  </pic:blipFill>
                  <pic:spPr>
                    <a:xfrm>
                      <a:off x="0" y="0"/>
                      <a:ext cx="5669280" cy="2332072"/>
                    </a:xfrm>
                    <a:prstGeom prst="rect"/>
                  </pic:spPr>
                </pic:pic>
              </a:graphicData>
            </a:graphic>
          </wp:inline>
        </w:drawing>
      </w:r>
    </w:p>
    <w:p>
      <w:pPr>
        <w:spacing w:before="0" w:after="120"/>
        <w:jc w:val="center"/>
      </w:pPr>
      <w:r>
        <w:rPr>
          <w:i/>
          <w:color w:val="595959"/>
          <w:sz w:val="18"/>
        </w:rPr>
        <w:t>Figura 4. Distribución de géneros — Drama y Comedy concentran más del 50% del catálogo.</w:t>
      </w:r>
    </w:p>
    <w:p>
      <w:pPr>
        <w:spacing w:before="40" w:after="0"/>
        <w:jc w:val="center"/>
      </w:pPr>
      <w:r>
        <w:drawing>
          <wp:inline xmlns:a="http://schemas.openxmlformats.org/drawingml/2006/main" xmlns:pic="http://schemas.openxmlformats.org/drawingml/2006/picture">
            <wp:extent cx="5669280" cy="1857999"/>
            <wp:docPr id="5" name="Picture 5"/>
            <wp:cNvGraphicFramePr>
              <a:graphicFrameLocks noChangeAspect="1"/>
            </wp:cNvGraphicFramePr>
            <a:graphic>
              <a:graphicData uri="http://schemas.openxmlformats.org/drawingml/2006/picture">
                <pic:pic>
                  <pic:nvPicPr>
                    <pic:cNvPr id="0" name="06_evolucion_temporal.png"/>
                    <pic:cNvPicPr/>
                  </pic:nvPicPr>
                  <pic:blipFill>
                    <a:blip r:embed="rId13"/>
                    <a:stretch>
                      <a:fillRect/>
                    </a:stretch>
                  </pic:blipFill>
                  <pic:spPr>
                    <a:xfrm>
                      <a:off x="0" y="0"/>
                      <a:ext cx="5669280" cy="1857999"/>
                    </a:xfrm>
                    <a:prstGeom prst="rect"/>
                  </pic:spPr>
                </pic:pic>
              </a:graphicData>
            </a:graphic>
          </wp:inline>
        </w:drawing>
      </w:r>
    </w:p>
    <w:p>
      <w:pPr>
        <w:spacing w:before="0" w:after="120"/>
        <w:jc w:val="center"/>
      </w:pPr>
      <w:r>
        <w:rPr>
          <w:i/>
          <w:color w:val="595959"/>
          <w:sz w:val="18"/>
        </w:rPr>
        <w:t>Figura 5. Evolución temporal de ratings — picos en 2000 y 2005.</w:t>
      </w:r>
    </w:p>
    <w:p>
      <w:pPr>
        <w:spacing w:before="160" w:after="80"/>
      </w:pPr>
      <w:r>
        <w:rPr>
          <w:rFonts w:ascii="Calibri" w:hAnsi="Calibri"/>
          <w:b/>
          <w:color w:val="1F3864"/>
          <w:sz w:val="24"/>
        </w:rPr>
        <w:t>2.4 Tags de usuario</w:t>
      </w:r>
    </w:p>
    <w:p>
      <w:pPr>
        <w:spacing w:before="0" w:after="80"/>
        <w:jc w:val="both"/>
      </w:pPr>
      <w:r>
        <w:rPr>
          <w:rFonts w:ascii="Calibri" w:hAnsi="Calibri"/>
          <w:b w:val="0"/>
          <w:i w:val="0"/>
          <w:sz w:val="20"/>
        </w:rPr>
        <w:t>Los tags más usados son sci-fi (3,576), atmospheric, surreal y comedy. Coexisten dos tipos: tags de género (que duplican movies.csv) y descriptores de estilo o experiencia. Esta señal alternativa se consideró para representar películas en MinHash, pero se descartó por menor cobertura: solo el 3% de las películas tiene tags suficientes.</w:t>
      </w:r>
    </w:p>
    <w:p>
      <w:pPr>
        <w:spacing w:before="40" w:after="0"/>
        <w:jc w:val="center"/>
      </w:pPr>
      <w:r>
        <w:drawing>
          <wp:inline xmlns:a="http://schemas.openxmlformats.org/drawingml/2006/main" xmlns:pic="http://schemas.openxmlformats.org/drawingml/2006/picture">
            <wp:extent cx="5486400" cy="2256844"/>
            <wp:docPr id="6" name="Picture 6"/>
            <wp:cNvGraphicFramePr>
              <a:graphicFrameLocks noChangeAspect="1"/>
            </wp:cNvGraphicFramePr>
            <a:graphic>
              <a:graphicData uri="http://schemas.openxmlformats.org/drawingml/2006/picture">
                <pic:pic>
                  <pic:nvPicPr>
                    <pic:cNvPr id="0" name="07_top_tags.png"/>
                    <pic:cNvPicPr/>
                  </pic:nvPicPr>
                  <pic:blipFill>
                    <a:blip r:embed="rId14"/>
                    <a:stretch>
                      <a:fillRect/>
                    </a:stretch>
                  </pic:blipFill>
                  <pic:spPr>
                    <a:xfrm>
                      <a:off x="0" y="0"/>
                      <a:ext cx="5486400" cy="2256844"/>
                    </a:xfrm>
                    <a:prstGeom prst="rect"/>
                  </pic:spPr>
                </pic:pic>
              </a:graphicData>
            </a:graphic>
          </wp:inline>
        </w:drawing>
      </w:r>
    </w:p>
    <w:p>
      <w:pPr>
        <w:spacing w:before="0" w:after="120"/>
        <w:jc w:val="center"/>
      </w:pPr>
      <w:r>
        <w:rPr>
          <w:i/>
          <w:color w:val="595959"/>
          <w:sz w:val="18"/>
        </w:rPr>
        <w:t>Figura 6. Top tags de usuario — sci-fi domina con 3,576 usos.</w:t>
      </w:r>
    </w:p>
    <w:p>
      <w:pPr>
        <w:spacing w:before="160" w:after="80"/>
      </w:pPr>
      <w:r>
        <w:rPr>
          <w:rFonts w:ascii="Calibri" w:hAnsi="Calibri"/>
          <w:b/>
          <w:color w:val="1F3864"/>
          <w:sz w:val="28"/>
        </w:rPr>
        <w:t>3. Resultados</w:t>
      </w:r>
    </w:p>
    <w:p>
      <w:pPr>
        <w:spacing w:before="160" w:after="80"/>
      </w:pPr>
      <w:r>
        <w:rPr>
          <w:rFonts w:ascii="Calibri" w:hAnsi="Calibri"/>
          <w:b/>
          <w:color w:val="1F3864"/>
          <w:sz w:val="24"/>
        </w:rPr>
        <w:t>3.1 Top-20 películas más calificadas (Parte II)</w:t>
      </w:r>
    </w:p>
    <w:p>
      <w:pPr>
        <w:spacing w:before="0" w:after="80"/>
        <w:jc w:val="both"/>
      </w:pPr>
      <w:r>
        <w:rPr>
          <w:rFonts w:ascii="Calibri" w:hAnsi="Calibri"/>
          <w:b w:val="0"/>
          <w:i w:val="0"/>
          <w:sz w:val="20"/>
        </w:rPr>
        <w:t>El ranking refleja el cine icónico de los 90s: Pulp Fiction (1994) lidera con 67,310 ratings, seguido por Forrest Gump y The Shawshank Redemption. Se obtuvo con DataFrame.groupBy("movieId").count() y join a movies_clean para los títulos.</w:t>
      </w:r>
    </w:p>
    <w:p>
      <w:pPr>
        <w:spacing w:before="40" w:after="0"/>
        <w:jc w:val="center"/>
      </w:pPr>
      <w:r>
        <w:drawing>
          <wp:inline xmlns:a="http://schemas.openxmlformats.org/drawingml/2006/main" xmlns:pic="http://schemas.openxmlformats.org/drawingml/2006/picture">
            <wp:extent cx="5669280" cy="3285894"/>
            <wp:docPr id="7" name="Picture 7"/>
            <wp:cNvGraphicFramePr>
              <a:graphicFrameLocks noChangeAspect="1"/>
            </wp:cNvGraphicFramePr>
            <a:graphic>
              <a:graphicData uri="http://schemas.openxmlformats.org/drawingml/2006/picture">
                <pic:pic>
                  <pic:nvPicPr>
                    <pic:cNvPr id="0" name="08_top20_peliculas.png"/>
                    <pic:cNvPicPr/>
                  </pic:nvPicPr>
                  <pic:blipFill>
                    <a:blip r:embed="rId15"/>
                    <a:stretch>
                      <a:fillRect/>
                    </a:stretch>
                  </pic:blipFill>
                  <pic:spPr>
                    <a:xfrm>
                      <a:off x="0" y="0"/>
                      <a:ext cx="5669280" cy="3285894"/>
                    </a:xfrm>
                    <a:prstGeom prst="rect"/>
                  </pic:spPr>
                </pic:pic>
              </a:graphicData>
            </a:graphic>
          </wp:inline>
        </w:drawing>
      </w:r>
    </w:p>
    <w:p>
      <w:pPr>
        <w:spacing w:before="0" w:after="120"/>
        <w:jc w:val="center"/>
      </w:pPr>
      <w:r>
        <w:rPr>
          <w:i/>
          <w:color w:val="595959"/>
          <w:sz w:val="18"/>
        </w:rPr>
        <w:t>Figura 7. Top-20 películas más calificadas en MovieLens 20M.</w:t>
      </w:r>
    </w:p>
    <w:tbl>
      <w:tblPr>
        <w:tblW w:type="auto" w:w="0"/>
        <w:jc w:val="center"/>
        <w:tblLook w:firstColumn="1" w:firstRow="1" w:lastColumn="0" w:lastRow="0" w:noHBand="0" w:noVBand="1" w:val="04A0"/>
      </w:tblPr>
      <w:tblGrid>
        <w:gridCol w:w="3289"/>
        <w:gridCol w:w="3289"/>
        <w:gridCol w:w="3289"/>
      </w:tblGrid>
      <w:tr>
        <w:tc>
          <w:tcPr>
            <w:tcW w:type="dxa" w:w="576"/>
            <w:shd w:val="clear" w:color="auto" w:fill="1F3864"/>
            <w:tcBorders>
              <w:top w:val="single" w:sz="4" w:color="999999"/>
              <w:left w:val="single" w:sz="4" w:color="999999"/>
              <w:bottom w:val="single" w:sz="4" w:color="999999"/>
              <w:right w:val="single" w:sz="4" w:color="999999"/>
            </w:tcBorders>
          </w:tcPr>
          <w:p>
            <w:pPr>
              <w:jc w:val="center"/>
            </w:pPr>
            <w:r/>
            <w:r>
              <w:rPr>
                <w:b/>
                <w:color w:val="FFFFFF"/>
                <w:sz w:val="18"/>
              </w:rPr>
              <w:t>#</w:t>
            </w:r>
          </w:p>
        </w:tc>
        <w:tc>
          <w:tcPr>
            <w:tcW w:type="dxa" w:w="4608"/>
            <w:shd w:val="clear" w:color="auto" w:fill="1F3864"/>
            <w:tcBorders>
              <w:top w:val="single" w:sz="4" w:color="999999"/>
              <w:left w:val="single" w:sz="4" w:color="999999"/>
              <w:bottom w:val="single" w:sz="4" w:color="999999"/>
              <w:right w:val="single" w:sz="4" w:color="999999"/>
            </w:tcBorders>
          </w:tcPr>
          <w:p>
            <w:pPr>
              <w:jc w:val="center"/>
            </w:pPr>
            <w:r/>
            <w:r>
              <w:rPr>
                <w:b/>
                <w:color w:val="FFFFFF"/>
                <w:sz w:val="18"/>
              </w:rPr>
              <w:t>Película</w:t>
            </w:r>
          </w:p>
        </w:tc>
        <w:tc>
          <w:tcPr>
            <w:tcW w:type="dxa" w:w="1728"/>
            <w:shd w:val="clear" w:color="auto" w:fill="1F3864"/>
            <w:tcBorders>
              <w:top w:val="single" w:sz="4" w:color="999999"/>
              <w:left w:val="single" w:sz="4" w:color="999999"/>
              <w:bottom w:val="single" w:sz="4" w:color="999999"/>
              <w:right w:val="single" w:sz="4" w:color="999999"/>
            </w:tcBorders>
          </w:tcPr>
          <w:p>
            <w:pPr>
              <w:jc w:val="center"/>
            </w:pPr>
            <w:r/>
            <w:r>
              <w:rPr>
                <w:b/>
                <w:color w:val="FFFFFF"/>
                <w:sz w:val="18"/>
              </w:rPr>
              <w:t># ratings</w:t>
            </w:r>
          </w:p>
        </w:tc>
      </w:tr>
      <w:tr>
        <w:tc>
          <w:tcPr>
            <w:tcW w:type="dxa" w:w="576"/>
            <w:tcBorders>
              <w:top w:val="single" w:sz="4" w:color="999999"/>
              <w:left w:val="single" w:sz="4" w:color="999999"/>
              <w:bottom w:val="single" w:sz="4" w:color="999999"/>
              <w:right w:val="single" w:sz="4" w:color="999999"/>
            </w:tcBorders>
          </w:tcPr>
          <w:p>
            <w:pPr>
              <w:jc w:val="center"/>
            </w:pPr>
            <w:r/>
            <w:r>
              <w:rPr>
                <w:sz w:val="18"/>
              </w:rPr>
              <w:t>1</w:t>
            </w:r>
          </w:p>
        </w:tc>
        <w:tc>
          <w:tcPr>
            <w:tcW w:type="dxa" w:w="4608"/>
            <w:tcBorders>
              <w:top w:val="single" w:sz="4" w:color="999999"/>
              <w:left w:val="single" w:sz="4" w:color="999999"/>
              <w:bottom w:val="single" w:sz="4" w:color="999999"/>
              <w:right w:val="single" w:sz="4" w:color="999999"/>
            </w:tcBorders>
          </w:tcPr>
          <w:p>
            <w:pPr>
              <w:jc w:val="center"/>
            </w:pPr>
            <w:r/>
            <w:r>
              <w:rPr>
                <w:sz w:val="18"/>
              </w:rPr>
              <w:t>Pulp Fiction (1994)</w:t>
            </w:r>
          </w:p>
        </w:tc>
        <w:tc>
          <w:tcPr>
            <w:tcW w:type="dxa" w:w="1728"/>
            <w:tcBorders>
              <w:top w:val="single" w:sz="4" w:color="999999"/>
              <w:left w:val="single" w:sz="4" w:color="999999"/>
              <w:bottom w:val="single" w:sz="4" w:color="999999"/>
              <w:right w:val="single" w:sz="4" w:color="999999"/>
            </w:tcBorders>
          </w:tcPr>
          <w:p>
            <w:pPr>
              <w:jc w:val="center"/>
            </w:pPr>
            <w:r/>
            <w:r>
              <w:rPr>
                <w:sz w:val="18"/>
              </w:rPr>
              <w:t>67,310</w:t>
            </w:r>
          </w:p>
        </w:tc>
      </w:tr>
      <w:tr>
        <w:tc>
          <w:tcPr>
            <w:tcW w:type="dxa" w:w="576"/>
            <w:shd w:val="clear" w:color="auto" w:fill="F2F2F2"/>
            <w:tcBorders>
              <w:top w:val="single" w:sz="4" w:color="999999"/>
              <w:left w:val="single" w:sz="4" w:color="999999"/>
              <w:bottom w:val="single" w:sz="4" w:color="999999"/>
              <w:right w:val="single" w:sz="4" w:color="999999"/>
            </w:tcBorders>
          </w:tcPr>
          <w:p>
            <w:pPr>
              <w:jc w:val="center"/>
            </w:pPr>
            <w:r/>
            <w:r>
              <w:rPr>
                <w:sz w:val="18"/>
              </w:rPr>
              <w:t>2</w:t>
            </w:r>
          </w:p>
        </w:tc>
        <w:tc>
          <w:tcPr>
            <w:tcW w:type="dxa" w:w="4608"/>
            <w:shd w:val="clear" w:color="auto" w:fill="F2F2F2"/>
            <w:tcBorders>
              <w:top w:val="single" w:sz="4" w:color="999999"/>
              <w:left w:val="single" w:sz="4" w:color="999999"/>
              <w:bottom w:val="single" w:sz="4" w:color="999999"/>
              <w:right w:val="single" w:sz="4" w:color="999999"/>
            </w:tcBorders>
          </w:tcPr>
          <w:p>
            <w:pPr>
              <w:jc w:val="center"/>
            </w:pPr>
            <w:r/>
            <w:r>
              <w:rPr>
                <w:sz w:val="18"/>
              </w:rPr>
              <w:t>Forrest Gump (1994)</w:t>
            </w:r>
          </w:p>
        </w:tc>
        <w:tc>
          <w:tcPr>
            <w:tcW w:type="dxa" w:w="1728"/>
            <w:shd w:val="clear" w:color="auto" w:fill="F2F2F2"/>
            <w:tcBorders>
              <w:top w:val="single" w:sz="4" w:color="999999"/>
              <w:left w:val="single" w:sz="4" w:color="999999"/>
              <w:bottom w:val="single" w:sz="4" w:color="999999"/>
              <w:right w:val="single" w:sz="4" w:color="999999"/>
            </w:tcBorders>
          </w:tcPr>
          <w:p>
            <w:pPr>
              <w:jc w:val="center"/>
            </w:pPr>
            <w:r/>
            <w:r>
              <w:rPr>
                <w:sz w:val="18"/>
              </w:rPr>
              <w:t>66,172</w:t>
            </w:r>
          </w:p>
        </w:tc>
      </w:tr>
      <w:tr>
        <w:tc>
          <w:tcPr>
            <w:tcW w:type="dxa" w:w="576"/>
            <w:tcBorders>
              <w:top w:val="single" w:sz="4" w:color="999999"/>
              <w:left w:val="single" w:sz="4" w:color="999999"/>
              <w:bottom w:val="single" w:sz="4" w:color="999999"/>
              <w:right w:val="single" w:sz="4" w:color="999999"/>
            </w:tcBorders>
          </w:tcPr>
          <w:p>
            <w:pPr>
              <w:jc w:val="center"/>
            </w:pPr>
            <w:r/>
            <w:r>
              <w:rPr>
                <w:sz w:val="18"/>
              </w:rPr>
              <w:t>3</w:t>
            </w:r>
          </w:p>
        </w:tc>
        <w:tc>
          <w:tcPr>
            <w:tcW w:type="dxa" w:w="4608"/>
            <w:tcBorders>
              <w:top w:val="single" w:sz="4" w:color="999999"/>
              <w:left w:val="single" w:sz="4" w:color="999999"/>
              <w:bottom w:val="single" w:sz="4" w:color="999999"/>
              <w:right w:val="single" w:sz="4" w:color="999999"/>
            </w:tcBorders>
          </w:tcPr>
          <w:p>
            <w:pPr>
              <w:jc w:val="center"/>
            </w:pPr>
            <w:r/>
            <w:r>
              <w:rPr>
                <w:sz w:val="18"/>
              </w:rPr>
              <w:t>The Shawshank Redemption (1994)</w:t>
            </w:r>
          </w:p>
        </w:tc>
        <w:tc>
          <w:tcPr>
            <w:tcW w:type="dxa" w:w="1728"/>
            <w:tcBorders>
              <w:top w:val="single" w:sz="4" w:color="999999"/>
              <w:left w:val="single" w:sz="4" w:color="999999"/>
              <w:bottom w:val="single" w:sz="4" w:color="999999"/>
              <w:right w:val="single" w:sz="4" w:color="999999"/>
            </w:tcBorders>
          </w:tcPr>
          <w:p>
            <w:pPr>
              <w:jc w:val="center"/>
            </w:pPr>
            <w:r/>
            <w:r>
              <w:rPr>
                <w:sz w:val="18"/>
              </w:rPr>
              <w:t>63,366</w:t>
            </w:r>
          </w:p>
        </w:tc>
      </w:tr>
      <w:tr>
        <w:tc>
          <w:tcPr>
            <w:tcW w:type="dxa" w:w="576"/>
            <w:shd w:val="clear" w:color="auto" w:fill="F2F2F2"/>
            <w:tcBorders>
              <w:top w:val="single" w:sz="4" w:color="999999"/>
              <w:left w:val="single" w:sz="4" w:color="999999"/>
              <w:bottom w:val="single" w:sz="4" w:color="999999"/>
              <w:right w:val="single" w:sz="4" w:color="999999"/>
            </w:tcBorders>
          </w:tcPr>
          <w:p>
            <w:pPr>
              <w:jc w:val="center"/>
            </w:pPr>
            <w:r/>
            <w:r>
              <w:rPr>
                <w:sz w:val="18"/>
              </w:rPr>
              <w:t>4</w:t>
            </w:r>
          </w:p>
        </w:tc>
        <w:tc>
          <w:tcPr>
            <w:tcW w:type="dxa" w:w="4608"/>
            <w:shd w:val="clear" w:color="auto" w:fill="F2F2F2"/>
            <w:tcBorders>
              <w:top w:val="single" w:sz="4" w:color="999999"/>
              <w:left w:val="single" w:sz="4" w:color="999999"/>
              <w:bottom w:val="single" w:sz="4" w:color="999999"/>
              <w:right w:val="single" w:sz="4" w:color="999999"/>
            </w:tcBorders>
          </w:tcPr>
          <w:p>
            <w:pPr>
              <w:jc w:val="center"/>
            </w:pPr>
            <w:r/>
            <w:r>
              <w:rPr>
                <w:sz w:val="18"/>
              </w:rPr>
              <w:t>The Silence of the Lambs (1991)</w:t>
            </w:r>
          </w:p>
        </w:tc>
        <w:tc>
          <w:tcPr>
            <w:tcW w:type="dxa" w:w="1728"/>
            <w:shd w:val="clear" w:color="auto" w:fill="F2F2F2"/>
            <w:tcBorders>
              <w:top w:val="single" w:sz="4" w:color="999999"/>
              <w:left w:val="single" w:sz="4" w:color="999999"/>
              <w:bottom w:val="single" w:sz="4" w:color="999999"/>
              <w:right w:val="single" w:sz="4" w:color="999999"/>
            </w:tcBorders>
          </w:tcPr>
          <w:p>
            <w:pPr>
              <w:jc w:val="center"/>
            </w:pPr>
            <w:r/>
            <w:r>
              <w:rPr>
                <w:sz w:val="18"/>
              </w:rPr>
              <w:t>63,299</w:t>
            </w:r>
          </w:p>
        </w:tc>
      </w:tr>
      <w:tr>
        <w:tc>
          <w:tcPr>
            <w:tcW w:type="dxa" w:w="576"/>
            <w:tcBorders>
              <w:top w:val="single" w:sz="4" w:color="999999"/>
              <w:left w:val="single" w:sz="4" w:color="999999"/>
              <w:bottom w:val="single" w:sz="4" w:color="999999"/>
              <w:right w:val="single" w:sz="4" w:color="999999"/>
            </w:tcBorders>
          </w:tcPr>
          <w:p>
            <w:pPr>
              <w:jc w:val="center"/>
            </w:pPr>
            <w:r/>
            <w:r>
              <w:rPr>
                <w:sz w:val="18"/>
              </w:rPr>
              <w:t>5</w:t>
            </w:r>
          </w:p>
        </w:tc>
        <w:tc>
          <w:tcPr>
            <w:tcW w:type="dxa" w:w="4608"/>
            <w:tcBorders>
              <w:top w:val="single" w:sz="4" w:color="999999"/>
              <w:left w:val="single" w:sz="4" w:color="999999"/>
              <w:bottom w:val="single" w:sz="4" w:color="999999"/>
              <w:right w:val="single" w:sz="4" w:color="999999"/>
            </w:tcBorders>
          </w:tcPr>
          <w:p>
            <w:pPr>
              <w:jc w:val="center"/>
            </w:pPr>
            <w:r/>
            <w:r>
              <w:rPr>
                <w:sz w:val="18"/>
              </w:rPr>
              <w:t>Jurassic Park (1993)</w:t>
            </w:r>
          </w:p>
        </w:tc>
        <w:tc>
          <w:tcPr>
            <w:tcW w:type="dxa" w:w="1728"/>
            <w:tcBorders>
              <w:top w:val="single" w:sz="4" w:color="999999"/>
              <w:left w:val="single" w:sz="4" w:color="999999"/>
              <w:bottom w:val="single" w:sz="4" w:color="999999"/>
              <w:right w:val="single" w:sz="4" w:color="999999"/>
            </w:tcBorders>
          </w:tcPr>
          <w:p>
            <w:pPr>
              <w:jc w:val="center"/>
            </w:pPr>
            <w:r/>
            <w:r>
              <w:rPr>
                <w:sz w:val="18"/>
              </w:rPr>
              <w:t>59,715</w:t>
            </w:r>
          </w:p>
        </w:tc>
      </w:tr>
      <w:tr>
        <w:tc>
          <w:tcPr>
            <w:tcW w:type="dxa" w:w="576"/>
            <w:shd w:val="clear" w:color="auto" w:fill="F2F2F2"/>
            <w:tcBorders>
              <w:top w:val="single" w:sz="4" w:color="999999"/>
              <w:left w:val="single" w:sz="4" w:color="999999"/>
              <w:bottom w:val="single" w:sz="4" w:color="999999"/>
              <w:right w:val="single" w:sz="4" w:color="999999"/>
            </w:tcBorders>
          </w:tcPr>
          <w:p>
            <w:pPr>
              <w:jc w:val="center"/>
            </w:pPr>
            <w:r/>
            <w:r>
              <w:rPr>
                <w:sz w:val="18"/>
              </w:rPr>
              <w:t>6</w:t>
            </w:r>
          </w:p>
        </w:tc>
        <w:tc>
          <w:tcPr>
            <w:tcW w:type="dxa" w:w="4608"/>
            <w:shd w:val="clear" w:color="auto" w:fill="F2F2F2"/>
            <w:tcBorders>
              <w:top w:val="single" w:sz="4" w:color="999999"/>
              <w:left w:val="single" w:sz="4" w:color="999999"/>
              <w:bottom w:val="single" w:sz="4" w:color="999999"/>
              <w:right w:val="single" w:sz="4" w:color="999999"/>
            </w:tcBorders>
          </w:tcPr>
          <w:p>
            <w:pPr>
              <w:jc w:val="center"/>
            </w:pPr>
            <w:r/>
            <w:r>
              <w:rPr>
                <w:sz w:val="18"/>
              </w:rPr>
              <w:t>Star Wars Episode IV (1977)</w:t>
            </w:r>
          </w:p>
        </w:tc>
        <w:tc>
          <w:tcPr>
            <w:tcW w:type="dxa" w:w="1728"/>
            <w:shd w:val="clear" w:color="auto" w:fill="F2F2F2"/>
            <w:tcBorders>
              <w:top w:val="single" w:sz="4" w:color="999999"/>
              <w:left w:val="single" w:sz="4" w:color="999999"/>
              <w:bottom w:val="single" w:sz="4" w:color="999999"/>
              <w:right w:val="single" w:sz="4" w:color="999999"/>
            </w:tcBorders>
          </w:tcPr>
          <w:p>
            <w:pPr>
              <w:jc w:val="center"/>
            </w:pPr>
            <w:r/>
            <w:r>
              <w:rPr>
                <w:sz w:val="18"/>
              </w:rPr>
              <w:t>54,502</w:t>
            </w:r>
          </w:p>
        </w:tc>
      </w:tr>
      <w:tr>
        <w:tc>
          <w:tcPr>
            <w:tcW w:type="dxa" w:w="576"/>
            <w:tcBorders>
              <w:top w:val="single" w:sz="4" w:color="999999"/>
              <w:left w:val="single" w:sz="4" w:color="999999"/>
              <w:bottom w:val="single" w:sz="4" w:color="999999"/>
              <w:right w:val="single" w:sz="4" w:color="999999"/>
            </w:tcBorders>
          </w:tcPr>
          <w:p>
            <w:pPr>
              <w:jc w:val="center"/>
            </w:pPr>
            <w:r/>
            <w:r>
              <w:rPr>
                <w:sz w:val="18"/>
              </w:rPr>
              <w:t>7</w:t>
            </w:r>
          </w:p>
        </w:tc>
        <w:tc>
          <w:tcPr>
            <w:tcW w:type="dxa" w:w="4608"/>
            <w:tcBorders>
              <w:top w:val="single" w:sz="4" w:color="999999"/>
              <w:left w:val="single" w:sz="4" w:color="999999"/>
              <w:bottom w:val="single" w:sz="4" w:color="999999"/>
              <w:right w:val="single" w:sz="4" w:color="999999"/>
            </w:tcBorders>
          </w:tcPr>
          <w:p>
            <w:pPr>
              <w:jc w:val="center"/>
            </w:pPr>
            <w:r/>
            <w:r>
              <w:rPr>
                <w:sz w:val="18"/>
              </w:rPr>
              <w:t>Braveheart (1995)</w:t>
            </w:r>
          </w:p>
        </w:tc>
        <w:tc>
          <w:tcPr>
            <w:tcW w:type="dxa" w:w="1728"/>
            <w:tcBorders>
              <w:top w:val="single" w:sz="4" w:color="999999"/>
              <w:left w:val="single" w:sz="4" w:color="999999"/>
              <w:bottom w:val="single" w:sz="4" w:color="999999"/>
              <w:right w:val="single" w:sz="4" w:color="999999"/>
            </w:tcBorders>
          </w:tcPr>
          <w:p>
            <w:pPr>
              <w:jc w:val="center"/>
            </w:pPr>
            <w:r/>
            <w:r>
              <w:rPr>
                <w:sz w:val="18"/>
              </w:rPr>
              <w:t>53,769</w:t>
            </w:r>
          </w:p>
        </w:tc>
      </w:tr>
      <w:tr>
        <w:tc>
          <w:tcPr>
            <w:tcW w:type="dxa" w:w="576"/>
            <w:shd w:val="clear" w:color="auto" w:fill="F2F2F2"/>
            <w:tcBorders>
              <w:top w:val="single" w:sz="4" w:color="999999"/>
              <w:left w:val="single" w:sz="4" w:color="999999"/>
              <w:bottom w:val="single" w:sz="4" w:color="999999"/>
              <w:right w:val="single" w:sz="4" w:color="999999"/>
            </w:tcBorders>
          </w:tcPr>
          <w:p>
            <w:pPr>
              <w:jc w:val="center"/>
            </w:pPr>
            <w:r/>
            <w:r>
              <w:rPr>
                <w:sz w:val="18"/>
              </w:rPr>
              <w:t>8</w:t>
            </w:r>
          </w:p>
        </w:tc>
        <w:tc>
          <w:tcPr>
            <w:tcW w:type="dxa" w:w="4608"/>
            <w:shd w:val="clear" w:color="auto" w:fill="F2F2F2"/>
            <w:tcBorders>
              <w:top w:val="single" w:sz="4" w:color="999999"/>
              <w:left w:val="single" w:sz="4" w:color="999999"/>
              <w:bottom w:val="single" w:sz="4" w:color="999999"/>
              <w:right w:val="single" w:sz="4" w:color="999999"/>
            </w:tcBorders>
          </w:tcPr>
          <w:p>
            <w:pPr>
              <w:jc w:val="center"/>
            </w:pPr>
            <w:r/>
            <w:r>
              <w:rPr>
                <w:sz w:val="18"/>
              </w:rPr>
              <w:t>Terminator 2 (1991)</w:t>
            </w:r>
          </w:p>
        </w:tc>
        <w:tc>
          <w:tcPr>
            <w:tcW w:type="dxa" w:w="1728"/>
            <w:shd w:val="clear" w:color="auto" w:fill="F2F2F2"/>
            <w:tcBorders>
              <w:top w:val="single" w:sz="4" w:color="999999"/>
              <w:left w:val="single" w:sz="4" w:color="999999"/>
              <w:bottom w:val="single" w:sz="4" w:color="999999"/>
              <w:right w:val="single" w:sz="4" w:color="999999"/>
            </w:tcBorders>
          </w:tcPr>
          <w:p>
            <w:pPr>
              <w:jc w:val="center"/>
            </w:pPr>
            <w:r/>
            <w:r>
              <w:rPr>
                <w:sz w:val="18"/>
              </w:rPr>
              <w:t>52,244</w:t>
            </w:r>
          </w:p>
        </w:tc>
      </w:tr>
      <w:tr>
        <w:tc>
          <w:tcPr>
            <w:tcW w:type="dxa" w:w="576"/>
            <w:tcBorders>
              <w:top w:val="single" w:sz="4" w:color="999999"/>
              <w:left w:val="single" w:sz="4" w:color="999999"/>
              <w:bottom w:val="single" w:sz="4" w:color="999999"/>
              <w:right w:val="single" w:sz="4" w:color="999999"/>
            </w:tcBorders>
          </w:tcPr>
          <w:p>
            <w:pPr>
              <w:jc w:val="center"/>
            </w:pPr>
            <w:r/>
            <w:r>
              <w:rPr>
                <w:sz w:val="18"/>
              </w:rPr>
              <w:t>9</w:t>
            </w:r>
          </w:p>
        </w:tc>
        <w:tc>
          <w:tcPr>
            <w:tcW w:type="dxa" w:w="4608"/>
            <w:tcBorders>
              <w:top w:val="single" w:sz="4" w:color="999999"/>
              <w:left w:val="single" w:sz="4" w:color="999999"/>
              <w:bottom w:val="single" w:sz="4" w:color="999999"/>
              <w:right w:val="single" w:sz="4" w:color="999999"/>
            </w:tcBorders>
          </w:tcPr>
          <w:p>
            <w:pPr>
              <w:jc w:val="center"/>
            </w:pPr>
            <w:r/>
            <w:r>
              <w:rPr>
                <w:sz w:val="18"/>
              </w:rPr>
              <w:t>The Matrix (1999)</w:t>
            </w:r>
          </w:p>
        </w:tc>
        <w:tc>
          <w:tcPr>
            <w:tcW w:type="dxa" w:w="1728"/>
            <w:tcBorders>
              <w:top w:val="single" w:sz="4" w:color="999999"/>
              <w:left w:val="single" w:sz="4" w:color="999999"/>
              <w:bottom w:val="single" w:sz="4" w:color="999999"/>
              <w:right w:val="single" w:sz="4" w:color="999999"/>
            </w:tcBorders>
          </w:tcPr>
          <w:p>
            <w:pPr>
              <w:jc w:val="center"/>
            </w:pPr>
            <w:r/>
            <w:r>
              <w:rPr>
                <w:sz w:val="18"/>
              </w:rPr>
              <w:t>51,334</w:t>
            </w:r>
          </w:p>
        </w:tc>
      </w:tr>
      <w:tr>
        <w:tc>
          <w:tcPr>
            <w:tcW w:type="dxa" w:w="576"/>
            <w:shd w:val="clear" w:color="auto" w:fill="F2F2F2"/>
            <w:tcBorders>
              <w:top w:val="single" w:sz="4" w:color="999999"/>
              <w:left w:val="single" w:sz="4" w:color="999999"/>
              <w:bottom w:val="single" w:sz="4" w:color="999999"/>
              <w:right w:val="single" w:sz="4" w:color="999999"/>
            </w:tcBorders>
          </w:tcPr>
          <w:p>
            <w:pPr>
              <w:jc w:val="center"/>
            </w:pPr>
            <w:r/>
            <w:r>
              <w:rPr>
                <w:sz w:val="18"/>
              </w:rPr>
              <w:t>10</w:t>
            </w:r>
          </w:p>
        </w:tc>
        <w:tc>
          <w:tcPr>
            <w:tcW w:type="dxa" w:w="4608"/>
            <w:shd w:val="clear" w:color="auto" w:fill="F2F2F2"/>
            <w:tcBorders>
              <w:top w:val="single" w:sz="4" w:color="999999"/>
              <w:left w:val="single" w:sz="4" w:color="999999"/>
              <w:bottom w:val="single" w:sz="4" w:color="999999"/>
              <w:right w:val="single" w:sz="4" w:color="999999"/>
            </w:tcBorders>
          </w:tcPr>
          <w:p>
            <w:pPr>
              <w:jc w:val="center"/>
            </w:pPr>
            <w:r/>
            <w:r>
              <w:rPr>
                <w:sz w:val="18"/>
              </w:rPr>
              <w:t>Schindler's List (1993)</w:t>
            </w:r>
          </w:p>
        </w:tc>
        <w:tc>
          <w:tcPr>
            <w:tcW w:type="dxa" w:w="1728"/>
            <w:shd w:val="clear" w:color="auto" w:fill="F2F2F2"/>
            <w:tcBorders>
              <w:top w:val="single" w:sz="4" w:color="999999"/>
              <w:left w:val="single" w:sz="4" w:color="999999"/>
              <w:bottom w:val="single" w:sz="4" w:color="999999"/>
              <w:right w:val="single" w:sz="4" w:color="999999"/>
            </w:tcBorders>
          </w:tcPr>
          <w:p>
            <w:pPr>
              <w:jc w:val="center"/>
            </w:pPr>
            <w:r/>
            <w:r>
              <w:rPr>
                <w:sz w:val="18"/>
              </w:rPr>
              <w:t>50,054</w:t>
            </w:r>
          </w:p>
        </w:tc>
      </w:tr>
    </w:tbl>
    <w:p>
      <w:pPr>
        <w:spacing w:after="40"/>
      </w:pPr>
    </w:p>
    <w:p>
      <w:pPr>
        <w:spacing w:before="160" w:after="80"/>
      </w:pPr>
      <w:r>
        <w:rPr>
          <w:rFonts w:ascii="Calibri" w:hAnsi="Calibri"/>
          <w:b/>
          <w:color w:val="1F3864"/>
          <w:sz w:val="24"/>
        </w:rPr>
        <w:t>3.2 RDD vs DataFrame</w:t>
      </w:r>
    </w:p>
    <w:p>
      <w:pPr>
        <w:spacing w:before="0" w:after="80"/>
        <w:jc w:val="both"/>
      </w:pPr>
      <w:r>
        <w:rPr>
          <w:rFonts w:ascii="Calibri" w:hAnsi="Calibri"/>
          <w:b w:val="0"/>
          <w:i w:val="0"/>
          <w:sz w:val="20"/>
        </w:rPr>
        <w:t>DataFrame es consistentemente más rápido que RDD gracias al optimizador Catalyst y al motor Tungsten que genera código JVM optimizado. La ventaja crece con la complejidad de la operación.</w:t>
      </w:r>
    </w:p>
    <w:tbl>
      <w:tblPr>
        <w:tblW w:type="auto" w:w="0"/>
        <w:jc w:val="center"/>
        <w:tblLook w:firstColumn="1" w:firstRow="1" w:lastColumn="0" w:lastRow="0" w:noHBand="0" w:noVBand="1" w:val="04A0"/>
      </w:tblPr>
      <w:tblGrid>
        <w:gridCol w:w="4933"/>
        <w:gridCol w:w="4933"/>
      </w:tblGrid>
      <w:tr>
        <w:tc>
          <w:tcPr>
            <w:tcW w:type="dxa" w:w="5040"/>
            <w:shd w:val="clear" w:color="auto" w:fill="1F3864"/>
            <w:tcBorders>
              <w:top w:val="single" w:sz="4" w:color="999999"/>
              <w:left w:val="single" w:sz="4" w:color="999999"/>
              <w:bottom w:val="single" w:sz="4" w:color="999999"/>
              <w:right w:val="single" w:sz="4" w:color="999999"/>
            </w:tcBorders>
          </w:tcPr>
          <w:p>
            <w:pPr>
              <w:jc w:val="center"/>
            </w:pPr>
            <w:r/>
            <w:r>
              <w:rPr>
                <w:b/>
                <w:color w:val="FFFFFF"/>
                <w:sz w:val="18"/>
              </w:rPr>
              <w:t>Operación</w:t>
            </w:r>
          </w:p>
        </w:tc>
        <w:tc>
          <w:tcPr>
            <w:tcW w:type="dxa" w:w="3600"/>
            <w:shd w:val="clear" w:color="auto" w:fill="1F3864"/>
            <w:tcBorders>
              <w:top w:val="single" w:sz="4" w:color="999999"/>
              <w:left w:val="single" w:sz="4" w:color="999999"/>
              <w:bottom w:val="single" w:sz="4" w:color="999999"/>
              <w:right w:val="single" w:sz="4" w:color="999999"/>
            </w:tcBorders>
          </w:tcPr>
          <w:p>
            <w:pPr>
              <w:jc w:val="center"/>
            </w:pPr>
            <w:r/>
            <w:r>
              <w:rPr>
                <w:b/>
                <w:color w:val="FFFFFF"/>
                <w:sz w:val="18"/>
              </w:rPr>
              <w:t>Speedup DataFrame</w:t>
            </w:r>
          </w:p>
        </w:tc>
      </w:tr>
      <w:tr>
        <w:tc>
          <w:tcPr>
            <w:tcW w:type="dxa" w:w="5040"/>
            <w:tcBorders>
              <w:top w:val="single" w:sz="4" w:color="999999"/>
              <w:left w:val="single" w:sz="4" w:color="999999"/>
              <w:bottom w:val="single" w:sz="4" w:color="999999"/>
              <w:right w:val="single" w:sz="4" w:color="999999"/>
            </w:tcBorders>
          </w:tcPr>
          <w:p>
            <w:pPr>
              <w:jc w:val="center"/>
            </w:pPr>
            <w:r/>
            <w:r>
              <w:rPr>
                <w:sz w:val="18"/>
              </w:rPr>
              <w:t>Conteo de ratings por película</w:t>
            </w:r>
          </w:p>
        </w:tc>
        <w:tc>
          <w:tcPr>
            <w:tcW w:type="dxa" w:w="3600"/>
            <w:tcBorders>
              <w:top w:val="single" w:sz="4" w:color="999999"/>
              <w:left w:val="single" w:sz="4" w:color="999999"/>
              <w:bottom w:val="single" w:sz="4" w:color="999999"/>
              <w:right w:val="single" w:sz="4" w:color="999999"/>
            </w:tcBorders>
          </w:tcPr>
          <w:p>
            <w:pPr>
              <w:jc w:val="center"/>
            </w:pPr>
            <w:r/>
            <w:r>
              <w:rPr>
                <w:sz w:val="18"/>
              </w:rPr>
              <w:t>~119× (con caché)</w:t>
            </w:r>
          </w:p>
        </w:tc>
      </w:tr>
      <w:tr>
        <w:tc>
          <w:tcPr>
            <w:tcW w:type="dxa" w:w="5040"/>
            <w:shd w:val="clear" w:color="auto" w:fill="F2F2F2"/>
            <w:tcBorders>
              <w:top w:val="single" w:sz="4" w:color="999999"/>
              <w:left w:val="single" w:sz="4" w:color="999999"/>
              <w:bottom w:val="single" w:sz="4" w:color="999999"/>
              <w:right w:val="single" w:sz="4" w:color="999999"/>
            </w:tcBorders>
          </w:tcPr>
          <w:p>
            <w:pPr>
              <w:jc w:val="center"/>
            </w:pPr>
            <w:r/>
            <w:r>
              <w:rPr>
                <w:sz w:val="18"/>
              </w:rPr>
              <w:t>Top-20 con join a movies</w:t>
            </w:r>
          </w:p>
        </w:tc>
        <w:tc>
          <w:tcPr>
            <w:tcW w:type="dxa" w:w="3600"/>
            <w:shd w:val="clear" w:color="auto" w:fill="F2F2F2"/>
            <w:tcBorders>
              <w:top w:val="single" w:sz="4" w:color="999999"/>
              <w:left w:val="single" w:sz="4" w:color="999999"/>
              <w:bottom w:val="single" w:sz="4" w:color="999999"/>
              <w:right w:val="single" w:sz="4" w:color="999999"/>
            </w:tcBorders>
          </w:tcPr>
          <w:p>
            <w:pPr>
              <w:jc w:val="center"/>
            </w:pPr>
            <w:r/>
            <w:r>
              <w:rPr>
                <w:sz w:val="18"/>
              </w:rPr>
              <w:t>~10×</w:t>
            </w:r>
          </w:p>
        </w:tc>
      </w:tr>
      <w:tr>
        <w:tc>
          <w:tcPr>
            <w:tcW w:type="dxa" w:w="5040"/>
            <w:tcBorders>
              <w:top w:val="single" w:sz="4" w:color="999999"/>
              <w:left w:val="single" w:sz="4" w:color="999999"/>
              <w:bottom w:val="single" w:sz="4" w:color="999999"/>
              <w:right w:val="single" w:sz="4" w:color="999999"/>
            </w:tcBorders>
          </w:tcPr>
          <w:p>
            <w:pPr>
              <w:jc w:val="center"/>
            </w:pPr>
            <w:r/>
            <w:r>
              <w:rPr>
                <w:sz w:val="18"/>
              </w:rPr>
              <w:t>Conteo de ratings por usuario</w:t>
            </w:r>
          </w:p>
        </w:tc>
        <w:tc>
          <w:tcPr>
            <w:tcW w:type="dxa" w:w="3600"/>
            <w:tcBorders>
              <w:top w:val="single" w:sz="4" w:color="999999"/>
              <w:left w:val="single" w:sz="4" w:color="999999"/>
              <w:bottom w:val="single" w:sz="4" w:color="999999"/>
              <w:right w:val="single" w:sz="4" w:color="999999"/>
            </w:tcBorders>
          </w:tcPr>
          <w:p>
            <w:pPr>
              <w:jc w:val="center"/>
            </w:pPr>
            <w:r/>
            <w:r>
              <w:rPr>
                <w:sz w:val="18"/>
              </w:rPr>
              <w:t>~14×</w:t>
            </w:r>
          </w:p>
        </w:tc>
      </w:tr>
    </w:tbl>
    <w:p>
      <w:pPr>
        <w:spacing w:after="40"/>
      </w:pPr>
    </w:p>
    <w:p>
      <w:pPr>
        <w:spacing w:before="0" w:after="80"/>
        <w:jc w:val="both"/>
      </w:pPr>
      <w:r>
        <w:rPr>
          <w:rFonts w:ascii="Calibri" w:hAnsi="Calibri"/>
          <w:b w:val="0"/>
          <w:i w:val="0"/>
          <w:sz w:val="20"/>
        </w:rPr>
        <w:t>El 119× del primer caso está inflado porque DataFrame aprovechó datos cacheados; los 10×–14× son representativos de un escenario sin caché. La conclusión práctica: para operaciones SQL-style en producción, DataFrame API es la opción por defecto. RDD sigue siendo útil cuando se requiere control fino sobre la partición o lógica que no se expresa con SQL.</w:t>
      </w:r>
    </w:p>
    <w:p>
      <w:pPr>
        <w:spacing w:before="160" w:after="80"/>
      </w:pPr>
      <w:r>
        <w:rPr>
          <w:rFonts w:ascii="Calibri" w:hAnsi="Calibri"/>
          <w:b/>
          <w:color w:val="1F3864"/>
          <w:sz w:val="24"/>
        </w:rPr>
        <w:t>3.3 Jaccard exacto vs MinHash (Parte III)</w:t>
      </w:r>
    </w:p>
    <w:p>
      <w:pPr>
        <w:spacing w:before="0" w:after="80"/>
        <w:jc w:val="both"/>
      </w:pPr>
      <w:r>
        <w:rPr>
          <w:rFonts w:ascii="Calibri" w:hAnsi="Calibri"/>
          <w:b w:val="0"/>
          <w:i w:val="0"/>
          <w:sz w:val="20"/>
        </w:rPr>
        <w:t>Sobre 19,900 pares, MinHash logra un MAE de 0.0104 y correlación de Pearson de 0.8894 (p &lt; 1e-300). El error máximo individual es 0.147, concentrado en pares de baja similitud (un par con J = 0.07 puede pasar a estimación 0.18 por azar). En el rango de pares relevantes (J ≥ 0.20) la correlación es prácticamente lineal, por lo que MinHash preserva el ranking — que es lo que importa para un recomendador.</w:t>
      </w:r>
    </w:p>
    <w:p>
      <w:pPr>
        <w:spacing w:before="40" w:after="0"/>
        <w:jc w:val="center"/>
      </w:pPr>
      <w:r>
        <w:drawing>
          <wp:inline xmlns:a="http://schemas.openxmlformats.org/drawingml/2006/main" xmlns:pic="http://schemas.openxmlformats.org/drawingml/2006/picture">
            <wp:extent cx="5669280" cy="2180492"/>
            <wp:docPr id="8" name="Picture 8"/>
            <wp:cNvGraphicFramePr>
              <a:graphicFrameLocks noChangeAspect="1"/>
            </wp:cNvGraphicFramePr>
            <a:graphic>
              <a:graphicData uri="http://schemas.openxmlformats.org/drawingml/2006/picture">
                <pic:pic>
                  <pic:nvPicPr>
                    <pic:cNvPr id="0" name="12_jaccard_exacto_vs_minhash.png"/>
                    <pic:cNvPicPr/>
                  </pic:nvPicPr>
                  <pic:blipFill>
                    <a:blip r:embed="rId16"/>
                    <a:stretch>
                      <a:fillRect/>
                    </a:stretch>
                  </pic:blipFill>
                  <pic:spPr>
                    <a:xfrm>
                      <a:off x="0" y="0"/>
                      <a:ext cx="5669280" cy="2180492"/>
                    </a:xfrm>
                    <a:prstGeom prst="rect"/>
                  </pic:spPr>
                </pic:pic>
              </a:graphicData>
            </a:graphic>
          </wp:inline>
        </w:drawing>
      </w:r>
    </w:p>
    <w:p>
      <w:pPr>
        <w:spacing w:before="0" w:after="120"/>
        <w:jc w:val="center"/>
      </w:pPr>
      <w:r>
        <w:rPr>
          <w:i/>
          <w:color w:val="595959"/>
          <w:sz w:val="18"/>
        </w:rPr>
        <w:t>Figura 8. Jaccard exacto vs estimado por MinHash sobre 19,900 pares.</w:t>
      </w:r>
    </w:p>
    <w:p>
      <w:pPr>
        <w:spacing w:before="160" w:after="80"/>
      </w:pPr>
      <w:r>
        <w:rPr>
          <w:rFonts w:ascii="Calibri" w:hAnsi="Calibri"/>
          <w:b/>
          <w:color w:val="1F3864"/>
          <w:sz w:val="24"/>
        </w:rPr>
        <w:t>3.4 LSH: precisión, recall y trade-off</w:t>
      </w:r>
    </w:p>
    <w:p>
      <w:pPr>
        <w:spacing w:before="0" w:after="80"/>
        <w:jc w:val="both"/>
      </w:pPr>
      <w:r>
        <w:rPr>
          <w:rFonts w:ascii="Calibri" w:hAnsi="Calibri"/>
          <w:b w:val="0"/>
          <w:i w:val="0"/>
          <w:sz w:val="20"/>
        </w:rPr>
        <w:t>Variando b y r con b·r = 100 constante, se observa el trade-off clásico de LSH: muchas bandas (b grande, r=1) maximizan recall pero la precisión colapsa por exceso de candidatos. Pocas bandas (b=10, r=10) son demasiado estrictas y ningún par supera el filtro. La configuración b=25, r=4 ofrece el mejor balance.</w:t>
      </w:r>
    </w:p>
    <w:tbl>
      <w:tblPr>
        <w:tblW w:type="auto" w:w="0"/>
        <w:jc w:val="center"/>
        <w:tblLook w:firstColumn="1" w:firstRow="1" w:lastColumn="0" w:lastRow="0" w:noHBand="0" w:noVBand="1" w:val="04A0"/>
      </w:tblPr>
      <w:tblGrid>
        <w:gridCol w:w="1233"/>
        <w:gridCol w:w="1233"/>
        <w:gridCol w:w="1233"/>
        <w:gridCol w:w="1233"/>
        <w:gridCol w:w="1233"/>
        <w:gridCol w:w="1233"/>
        <w:gridCol w:w="1233"/>
        <w:gridCol w:w="1233"/>
      </w:tblGrid>
      <w:tr>
        <w:tc>
          <w:tcPr>
            <w:tcW w:type="dxa" w:w="720"/>
            <w:shd w:val="clear" w:color="auto" w:fill="1F3864"/>
            <w:tcBorders>
              <w:top w:val="single" w:sz="4" w:color="999999"/>
              <w:left w:val="single" w:sz="4" w:color="999999"/>
              <w:bottom w:val="single" w:sz="4" w:color="999999"/>
              <w:right w:val="single" w:sz="4" w:color="999999"/>
            </w:tcBorders>
          </w:tcPr>
          <w:p>
            <w:pPr>
              <w:jc w:val="center"/>
            </w:pPr>
            <w:r/>
            <w:r>
              <w:rPr>
                <w:b/>
                <w:color w:val="FFFFFF"/>
                <w:sz w:val="18"/>
              </w:rPr>
              <w:t>b</w:t>
            </w:r>
          </w:p>
        </w:tc>
        <w:tc>
          <w:tcPr>
            <w:tcW w:type="dxa" w:w="720"/>
            <w:shd w:val="clear" w:color="auto" w:fill="1F3864"/>
            <w:tcBorders>
              <w:top w:val="single" w:sz="4" w:color="999999"/>
              <w:left w:val="single" w:sz="4" w:color="999999"/>
              <w:bottom w:val="single" w:sz="4" w:color="999999"/>
              <w:right w:val="single" w:sz="4" w:color="999999"/>
            </w:tcBorders>
          </w:tcPr>
          <w:p>
            <w:pPr>
              <w:jc w:val="center"/>
            </w:pPr>
            <w:r/>
            <w:r>
              <w:rPr>
                <w:b/>
                <w:color w:val="FFFFFF"/>
                <w:sz w:val="18"/>
              </w:rPr>
              <w:t>r</w:t>
            </w:r>
          </w:p>
        </w:tc>
        <w:tc>
          <w:tcPr>
            <w:tcW w:type="dxa" w:w="1728"/>
            <w:shd w:val="clear" w:color="auto" w:fill="1F3864"/>
            <w:tcBorders>
              <w:top w:val="single" w:sz="4" w:color="999999"/>
              <w:left w:val="single" w:sz="4" w:color="999999"/>
              <w:bottom w:val="single" w:sz="4" w:color="999999"/>
              <w:right w:val="single" w:sz="4" w:color="999999"/>
            </w:tcBorders>
          </w:tcPr>
          <w:p>
            <w:pPr>
              <w:jc w:val="center"/>
            </w:pPr>
            <w:r/>
            <w:r>
              <w:rPr>
                <w:b/>
                <w:color w:val="FFFFFF"/>
                <w:sz w:val="18"/>
              </w:rPr>
              <w:t>Candidatos</w:t>
            </w:r>
          </w:p>
        </w:tc>
        <w:tc>
          <w:tcPr>
            <w:tcW w:type="dxa" w:w="864"/>
            <w:shd w:val="clear" w:color="auto" w:fill="1F3864"/>
            <w:tcBorders>
              <w:top w:val="single" w:sz="4" w:color="999999"/>
              <w:left w:val="single" w:sz="4" w:color="999999"/>
              <w:bottom w:val="single" w:sz="4" w:color="999999"/>
              <w:right w:val="single" w:sz="4" w:color="999999"/>
            </w:tcBorders>
          </w:tcPr>
          <w:p>
            <w:pPr>
              <w:jc w:val="center"/>
            </w:pPr>
            <w:r/>
            <w:r>
              <w:rPr>
                <w:b/>
                <w:color w:val="FFFFFF"/>
                <w:sz w:val="18"/>
              </w:rPr>
              <w:t>TP</w:t>
            </w:r>
          </w:p>
        </w:tc>
        <w:tc>
          <w:tcPr>
            <w:tcW w:type="dxa" w:w="1008"/>
            <w:shd w:val="clear" w:color="auto" w:fill="1F3864"/>
            <w:tcBorders>
              <w:top w:val="single" w:sz="4" w:color="999999"/>
              <w:left w:val="single" w:sz="4" w:color="999999"/>
              <w:bottom w:val="single" w:sz="4" w:color="999999"/>
              <w:right w:val="single" w:sz="4" w:color="999999"/>
            </w:tcBorders>
          </w:tcPr>
          <w:p>
            <w:pPr>
              <w:jc w:val="center"/>
            </w:pPr>
            <w:r/>
            <w:r>
              <w:rPr>
                <w:b/>
                <w:color w:val="FFFFFF"/>
                <w:sz w:val="18"/>
              </w:rPr>
              <w:t>FP</w:t>
            </w:r>
          </w:p>
        </w:tc>
        <w:tc>
          <w:tcPr>
            <w:tcW w:type="dxa" w:w="864"/>
            <w:shd w:val="clear" w:color="auto" w:fill="1F3864"/>
            <w:tcBorders>
              <w:top w:val="single" w:sz="4" w:color="999999"/>
              <w:left w:val="single" w:sz="4" w:color="999999"/>
              <w:bottom w:val="single" w:sz="4" w:color="999999"/>
              <w:right w:val="single" w:sz="4" w:color="999999"/>
            </w:tcBorders>
          </w:tcPr>
          <w:p>
            <w:pPr>
              <w:jc w:val="center"/>
            </w:pPr>
            <w:r/>
            <w:r>
              <w:rPr>
                <w:b/>
                <w:color w:val="FFFFFF"/>
                <w:sz w:val="18"/>
              </w:rPr>
              <w:t>FN</w:t>
            </w:r>
          </w:p>
        </w:tc>
        <w:tc>
          <w:tcPr>
            <w:tcW w:type="dxa" w:w="1440"/>
            <w:shd w:val="clear" w:color="auto" w:fill="1F3864"/>
            <w:tcBorders>
              <w:top w:val="single" w:sz="4" w:color="999999"/>
              <w:left w:val="single" w:sz="4" w:color="999999"/>
              <w:bottom w:val="single" w:sz="4" w:color="999999"/>
              <w:right w:val="single" w:sz="4" w:color="999999"/>
            </w:tcBorders>
          </w:tcPr>
          <w:p>
            <w:pPr>
              <w:jc w:val="center"/>
            </w:pPr>
            <w:r/>
            <w:r>
              <w:rPr>
                <w:b/>
                <w:color w:val="FFFFFF"/>
                <w:sz w:val="18"/>
              </w:rPr>
              <w:t>Precisión</w:t>
            </w:r>
          </w:p>
        </w:tc>
        <w:tc>
          <w:tcPr>
            <w:tcW w:type="dxa" w:w="1296"/>
            <w:shd w:val="clear" w:color="auto" w:fill="1F3864"/>
            <w:tcBorders>
              <w:top w:val="single" w:sz="4" w:color="999999"/>
              <w:left w:val="single" w:sz="4" w:color="999999"/>
              <w:bottom w:val="single" w:sz="4" w:color="999999"/>
              <w:right w:val="single" w:sz="4" w:color="999999"/>
            </w:tcBorders>
          </w:tcPr>
          <w:p>
            <w:pPr>
              <w:jc w:val="center"/>
            </w:pPr>
            <w:r/>
            <w:r>
              <w:rPr>
                <w:b/>
                <w:color w:val="FFFFFF"/>
                <w:sz w:val="18"/>
              </w:rPr>
              <w:t>Recall</w:t>
            </w:r>
          </w:p>
        </w:tc>
      </w:tr>
      <w:tr>
        <w:tc>
          <w:tcPr>
            <w:tcW w:type="dxa" w:w="720"/>
            <w:tcBorders>
              <w:top w:val="single" w:sz="4" w:color="999999"/>
              <w:left w:val="single" w:sz="4" w:color="999999"/>
              <w:bottom w:val="single" w:sz="4" w:color="999999"/>
              <w:right w:val="single" w:sz="4" w:color="999999"/>
            </w:tcBorders>
          </w:tcPr>
          <w:p>
            <w:pPr>
              <w:jc w:val="center"/>
            </w:pPr>
            <w:r/>
            <w:r>
              <w:rPr>
                <w:sz w:val="18"/>
              </w:rPr>
              <w:t>100</w:t>
            </w:r>
          </w:p>
        </w:tc>
        <w:tc>
          <w:tcPr>
            <w:tcW w:type="dxa" w:w="720"/>
            <w:tcBorders>
              <w:top w:val="single" w:sz="4" w:color="999999"/>
              <w:left w:val="single" w:sz="4" w:color="999999"/>
              <w:bottom w:val="single" w:sz="4" w:color="999999"/>
              <w:right w:val="single" w:sz="4" w:color="999999"/>
            </w:tcBorders>
          </w:tcPr>
          <w:p>
            <w:pPr>
              <w:jc w:val="center"/>
            </w:pPr>
            <w:r/>
            <w:r>
              <w:rPr>
                <w:sz w:val="18"/>
              </w:rPr>
              <w:t>1</w:t>
            </w:r>
          </w:p>
        </w:tc>
        <w:tc>
          <w:tcPr>
            <w:tcW w:type="dxa" w:w="1728"/>
            <w:tcBorders>
              <w:top w:val="single" w:sz="4" w:color="999999"/>
              <w:left w:val="single" w:sz="4" w:color="999999"/>
              <w:bottom w:val="single" w:sz="4" w:color="999999"/>
              <w:right w:val="single" w:sz="4" w:color="999999"/>
            </w:tcBorders>
          </w:tcPr>
          <w:p>
            <w:pPr>
              <w:jc w:val="center"/>
            </w:pPr>
            <w:r/>
            <w:r>
              <w:rPr>
                <w:sz w:val="18"/>
              </w:rPr>
              <w:t>13,090</w:t>
            </w:r>
          </w:p>
        </w:tc>
        <w:tc>
          <w:tcPr>
            <w:tcW w:type="dxa" w:w="864"/>
            <w:tcBorders>
              <w:top w:val="single" w:sz="4" w:color="999999"/>
              <w:left w:val="single" w:sz="4" w:color="999999"/>
              <w:bottom w:val="single" w:sz="4" w:color="999999"/>
              <w:right w:val="single" w:sz="4" w:color="999999"/>
            </w:tcBorders>
          </w:tcPr>
          <w:p>
            <w:pPr>
              <w:jc w:val="center"/>
            </w:pPr>
            <w:r/>
            <w:r>
              <w:rPr>
                <w:sz w:val="18"/>
              </w:rPr>
              <w:t>404</w:t>
            </w:r>
          </w:p>
        </w:tc>
        <w:tc>
          <w:tcPr>
            <w:tcW w:type="dxa" w:w="1008"/>
            <w:tcBorders>
              <w:top w:val="single" w:sz="4" w:color="999999"/>
              <w:left w:val="single" w:sz="4" w:color="999999"/>
              <w:bottom w:val="single" w:sz="4" w:color="999999"/>
              <w:right w:val="single" w:sz="4" w:color="999999"/>
            </w:tcBorders>
          </w:tcPr>
          <w:p>
            <w:pPr>
              <w:jc w:val="center"/>
            </w:pPr>
            <w:r/>
            <w:r>
              <w:rPr>
                <w:sz w:val="18"/>
              </w:rPr>
              <w:t>12,686</w:t>
            </w:r>
          </w:p>
        </w:tc>
        <w:tc>
          <w:tcPr>
            <w:tcW w:type="dxa" w:w="864"/>
            <w:tcBorders>
              <w:top w:val="single" w:sz="4" w:color="999999"/>
              <w:left w:val="single" w:sz="4" w:color="999999"/>
              <w:bottom w:val="single" w:sz="4" w:color="999999"/>
              <w:right w:val="single" w:sz="4" w:color="999999"/>
            </w:tcBorders>
          </w:tcPr>
          <w:p>
            <w:pPr>
              <w:jc w:val="center"/>
            </w:pPr>
            <w:r/>
            <w:r>
              <w:rPr>
                <w:sz w:val="18"/>
              </w:rPr>
              <w:t>0</w:t>
            </w:r>
          </w:p>
        </w:tc>
        <w:tc>
          <w:tcPr>
            <w:tcW w:type="dxa" w:w="1440"/>
            <w:tcBorders>
              <w:top w:val="single" w:sz="4" w:color="999999"/>
              <w:left w:val="single" w:sz="4" w:color="999999"/>
              <w:bottom w:val="single" w:sz="4" w:color="999999"/>
              <w:right w:val="single" w:sz="4" w:color="999999"/>
            </w:tcBorders>
          </w:tcPr>
          <w:p>
            <w:pPr>
              <w:jc w:val="center"/>
            </w:pPr>
            <w:r/>
            <w:r>
              <w:rPr>
                <w:sz w:val="18"/>
              </w:rPr>
              <w:t>0.031</w:t>
            </w:r>
          </w:p>
        </w:tc>
        <w:tc>
          <w:tcPr>
            <w:tcW w:type="dxa" w:w="1296"/>
            <w:tcBorders>
              <w:top w:val="single" w:sz="4" w:color="999999"/>
              <w:left w:val="single" w:sz="4" w:color="999999"/>
              <w:bottom w:val="single" w:sz="4" w:color="999999"/>
              <w:right w:val="single" w:sz="4" w:color="999999"/>
            </w:tcBorders>
          </w:tcPr>
          <w:p>
            <w:pPr>
              <w:jc w:val="center"/>
            </w:pPr>
            <w:r/>
            <w:r>
              <w:rPr>
                <w:sz w:val="18"/>
              </w:rPr>
              <w:t>1.000</w:t>
            </w:r>
          </w:p>
        </w:tc>
      </w:tr>
      <w:tr>
        <w:tc>
          <w:tcPr>
            <w:tcW w:type="dxa" w:w="720"/>
            <w:shd w:val="clear" w:color="auto" w:fill="F2F2F2"/>
            <w:tcBorders>
              <w:top w:val="single" w:sz="4" w:color="999999"/>
              <w:left w:val="single" w:sz="4" w:color="999999"/>
              <w:bottom w:val="single" w:sz="4" w:color="999999"/>
              <w:right w:val="single" w:sz="4" w:color="999999"/>
            </w:tcBorders>
          </w:tcPr>
          <w:p>
            <w:pPr>
              <w:jc w:val="center"/>
            </w:pPr>
            <w:r/>
            <w:r>
              <w:rPr>
                <w:sz w:val="18"/>
              </w:rPr>
              <w:t>50</w:t>
            </w:r>
          </w:p>
        </w:tc>
        <w:tc>
          <w:tcPr>
            <w:tcW w:type="dxa" w:w="720"/>
            <w:shd w:val="clear" w:color="auto" w:fill="F2F2F2"/>
            <w:tcBorders>
              <w:top w:val="single" w:sz="4" w:color="999999"/>
              <w:left w:val="single" w:sz="4" w:color="999999"/>
              <w:bottom w:val="single" w:sz="4" w:color="999999"/>
              <w:right w:val="single" w:sz="4" w:color="999999"/>
            </w:tcBorders>
          </w:tcPr>
          <w:p>
            <w:pPr>
              <w:jc w:val="center"/>
            </w:pPr>
            <w:r/>
            <w:r>
              <w:rPr>
                <w:sz w:val="18"/>
              </w:rPr>
              <w:t>2</w:t>
            </w:r>
          </w:p>
        </w:tc>
        <w:tc>
          <w:tcPr>
            <w:tcW w:type="dxa" w:w="1728"/>
            <w:shd w:val="clear" w:color="auto" w:fill="F2F2F2"/>
            <w:tcBorders>
              <w:top w:val="single" w:sz="4" w:color="999999"/>
              <w:left w:val="single" w:sz="4" w:color="999999"/>
              <w:bottom w:val="single" w:sz="4" w:color="999999"/>
              <w:right w:val="single" w:sz="4" w:color="999999"/>
            </w:tcBorders>
          </w:tcPr>
          <w:p>
            <w:pPr>
              <w:jc w:val="center"/>
            </w:pPr>
            <w:r/>
            <w:r>
              <w:rPr>
                <w:sz w:val="18"/>
              </w:rPr>
              <w:t>1,101</w:t>
            </w:r>
          </w:p>
        </w:tc>
        <w:tc>
          <w:tcPr>
            <w:tcW w:type="dxa" w:w="864"/>
            <w:shd w:val="clear" w:color="auto" w:fill="F2F2F2"/>
            <w:tcBorders>
              <w:top w:val="single" w:sz="4" w:color="999999"/>
              <w:left w:val="single" w:sz="4" w:color="999999"/>
              <w:bottom w:val="single" w:sz="4" w:color="999999"/>
              <w:right w:val="single" w:sz="4" w:color="999999"/>
            </w:tcBorders>
          </w:tcPr>
          <w:p>
            <w:pPr>
              <w:jc w:val="center"/>
            </w:pPr>
            <w:r/>
            <w:r>
              <w:rPr>
                <w:sz w:val="18"/>
              </w:rPr>
              <w:t>268</w:t>
            </w:r>
          </w:p>
        </w:tc>
        <w:tc>
          <w:tcPr>
            <w:tcW w:type="dxa" w:w="1008"/>
            <w:shd w:val="clear" w:color="auto" w:fill="F2F2F2"/>
            <w:tcBorders>
              <w:top w:val="single" w:sz="4" w:color="999999"/>
              <w:left w:val="single" w:sz="4" w:color="999999"/>
              <w:bottom w:val="single" w:sz="4" w:color="999999"/>
              <w:right w:val="single" w:sz="4" w:color="999999"/>
            </w:tcBorders>
          </w:tcPr>
          <w:p>
            <w:pPr>
              <w:jc w:val="center"/>
            </w:pPr>
            <w:r/>
            <w:r>
              <w:rPr>
                <w:sz w:val="18"/>
              </w:rPr>
              <w:t>833</w:t>
            </w:r>
          </w:p>
        </w:tc>
        <w:tc>
          <w:tcPr>
            <w:tcW w:type="dxa" w:w="864"/>
            <w:shd w:val="clear" w:color="auto" w:fill="F2F2F2"/>
            <w:tcBorders>
              <w:top w:val="single" w:sz="4" w:color="999999"/>
              <w:left w:val="single" w:sz="4" w:color="999999"/>
              <w:bottom w:val="single" w:sz="4" w:color="999999"/>
              <w:right w:val="single" w:sz="4" w:color="999999"/>
            </w:tcBorders>
          </w:tcPr>
          <w:p>
            <w:pPr>
              <w:jc w:val="center"/>
            </w:pPr>
            <w:r/>
            <w:r>
              <w:rPr>
                <w:sz w:val="18"/>
              </w:rPr>
              <w:t>136</w:t>
            </w:r>
          </w:p>
        </w:tc>
        <w:tc>
          <w:tcPr>
            <w:tcW w:type="dxa" w:w="1440"/>
            <w:shd w:val="clear" w:color="auto" w:fill="F2F2F2"/>
            <w:tcBorders>
              <w:top w:val="single" w:sz="4" w:color="999999"/>
              <w:left w:val="single" w:sz="4" w:color="999999"/>
              <w:bottom w:val="single" w:sz="4" w:color="999999"/>
              <w:right w:val="single" w:sz="4" w:color="999999"/>
            </w:tcBorders>
          </w:tcPr>
          <w:p>
            <w:pPr>
              <w:jc w:val="center"/>
            </w:pPr>
            <w:r/>
            <w:r>
              <w:rPr>
                <w:sz w:val="18"/>
              </w:rPr>
              <w:t>0.243</w:t>
            </w:r>
          </w:p>
        </w:tc>
        <w:tc>
          <w:tcPr>
            <w:tcW w:type="dxa" w:w="1296"/>
            <w:shd w:val="clear" w:color="auto" w:fill="F2F2F2"/>
            <w:tcBorders>
              <w:top w:val="single" w:sz="4" w:color="999999"/>
              <w:left w:val="single" w:sz="4" w:color="999999"/>
              <w:bottom w:val="single" w:sz="4" w:color="999999"/>
              <w:right w:val="single" w:sz="4" w:color="999999"/>
            </w:tcBorders>
          </w:tcPr>
          <w:p>
            <w:pPr>
              <w:jc w:val="center"/>
            </w:pPr>
            <w:r/>
            <w:r>
              <w:rPr>
                <w:sz w:val="18"/>
              </w:rPr>
              <w:t>0.663</w:t>
            </w:r>
          </w:p>
        </w:tc>
      </w:tr>
      <w:tr>
        <w:tc>
          <w:tcPr>
            <w:tcW w:type="dxa" w:w="720"/>
            <w:tcBorders>
              <w:top w:val="single" w:sz="4" w:color="999999"/>
              <w:left w:val="single" w:sz="4" w:color="999999"/>
              <w:bottom w:val="single" w:sz="4" w:color="999999"/>
              <w:right w:val="single" w:sz="4" w:color="999999"/>
            </w:tcBorders>
          </w:tcPr>
          <w:p>
            <w:pPr>
              <w:jc w:val="center"/>
            </w:pPr>
            <w:r/>
            <w:r>
              <w:rPr>
                <w:sz w:val="18"/>
              </w:rPr>
              <w:t>25</w:t>
            </w:r>
          </w:p>
        </w:tc>
        <w:tc>
          <w:tcPr>
            <w:tcW w:type="dxa" w:w="720"/>
            <w:tcBorders>
              <w:top w:val="single" w:sz="4" w:color="999999"/>
              <w:left w:val="single" w:sz="4" w:color="999999"/>
              <w:bottom w:val="single" w:sz="4" w:color="999999"/>
              <w:right w:val="single" w:sz="4" w:color="999999"/>
            </w:tcBorders>
          </w:tcPr>
          <w:p>
            <w:pPr>
              <w:jc w:val="center"/>
            </w:pPr>
            <w:r/>
            <w:r>
              <w:rPr>
                <w:sz w:val="18"/>
              </w:rPr>
              <w:t>4</w:t>
            </w:r>
          </w:p>
        </w:tc>
        <w:tc>
          <w:tcPr>
            <w:tcW w:type="dxa" w:w="1728"/>
            <w:tcBorders>
              <w:top w:val="single" w:sz="4" w:color="999999"/>
              <w:left w:val="single" w:sz="4" w:color="999999"/>
              <w:bottom w:val="single" w:sz="4" w:color="999999"/>
              <w:right w:val="single" w:sz="4" w:color="999999"/>
            </w:tcBorders>
          </w:tcPr>
          <w:p>
            <w:pPr>
              <w:jc w:val="center"/>
            </w:pPr>
            <w:r/>
            <w:r>
              <w:rPr>
                <w:sz w:val="18"/>
              </w:rPr>
              <w:t>20</w:t>
            </w:r>
          </w:p>
        </w:tc>
        <w:tc>
          <w:tcPr>
            <w:tcW w:type="dxa" w:w="864"/>
            <w:tcBorders>
              <w:top w:val="single" w:sz="4" w:color="999999"/>
              <w:left w:val="single" w:sz="4" w:color="999999"/>
              <w:bottom w:val="single" w:sz="4" w:color="999999"/>
              <w:right w:val="single" w:sz="4" w:color="999999"/>
            </w:tcBorders>
          </w:tcPr>
          <w:p>
            <w:pPr>
              <w:jc w:val="center"/>
            </w:pPr>
            <w:r/>
            <w:r>
              <w:rPr>
                <w:sz w:val="18"/>
              </w:rPr>
              <w:t>17</w:t>
            </w:r>
          </w:p>
        </w:tc>
        <w:tc>
          <w:tcPr>
            <w:tcW w:type="dxa" w:w="1008"/>
            <w:tcBorders>
              <w:top w:val="single" w:sz="4" w:color="999999"/>
              <w:left w:val="single" w:sz="4" w:color="999999"/>
              <w:bottom w:val="single" w:sz="4" w:color="999999"/>
              <w:right w:val="single" w:sz="4" w:color="999999"/>
            </w:tcBorders>
          </w:tcPr>
          <w:p>
            <w:pPr>
              <w:jc w:val="center"/>
            </w:pPr>
            <w:r/>
            <w:r>
              <w:rPr>
                <w:sz w:val="18"/>
              </w:rPr>
              <w:t>3</w:t>
            </w:r>
          </w:p>
        </w:tc>
        <w:tc>
          <w:tcPr>
            <w:tcW w:type="dxa" w:w="864"/>
            <w:tcBorders>
              <w:top w:val="single" w:sz="4" w:color="999999"/>
              <w:left w:val="single" w:sz="4" w:color="999999"/>
              <w:bottom w:val="single" w:sz="4" w:color="999999"/>
              <w:right w:val="single" w:sz="4" w:color="999999"/>
            </w:tcBorders>
          </w:tcPr>
          <w:p>
            <w:pPr>
              <w:jc w:val="center"/>
            </w:pPr>
            <w:r/>
            <w:r>
              <w:rPr>
                <w:sz w:val="18"/>
              </w:rPr>
              <w:t>387</w:t>
            </w:r>
          </w:p>
        </w:tc>
        <w:tc>
          <w:tcPr>
            <w:tcW w:type="dxa" w:w="1440"/>
            <w:tcBorders>
              <w:top w:val="single" w:sz="4" w:color="999999"/>
              <w:left w:val="single" w:sz="4" w:color="999999"/>
              <w:bottom w:val="single" w:sz="4" w:color="999999"/>
              <w:right w:val="single" w:sz="4" w:color="999999"/>
            </w:tcBorders>
          </w:tcPr>
          <w:p>
            <w:pPr>
              <w:jc w:val="center"/>
            </w:pPr>
            <w:r/>
            <w:r>
              <w:rPr>
                <w:sz w:val="18"/>
              </w:rPr>
              <w:t>0.850</w:t>
            </w:r>
          </w:p>
        </w:tc>
        <w:tc>
          <w:tcPr>
            <w:tcW w:type="dxa" w:w="1296"/>
            <w:tcBorders>
              <w:top w:val="single" w:sz="4" w:color="999999"/>
              <w:left w:val="single" w:sz="4" w:color="999999"/>
              <w:bottom w:val="single" w:sz="4" w:color="999999"/>
              <w:right w:val="single" w:sz="4" w:color="999999"/>
            </w:tcBorders>
          </w:tcPr>
          <w:p>
            <w:pPr>
              <w:jc w:val="center"/>
            </w:pPr>
            <w:r/>
            <w:r>
              <w:rPr>
                <w:sz w:val="18"/>
              </w:rPr>
              <w:t>0.042</w:t>
            </w:r>
          </w:p>
        </w:tc>
      </w:tr>
      <w:tr>
        <w:tc>
          <w:tcPr>
            <w:tcW w:type="dxa" w:w="720"/>
            <w:shd w:val="clear" w:color="auto" w:fill="F2F2F2"/>
            <w:tcBorders>
              <w:top w:val="single" w:sz="4" w:color="999999"/>
              <w:left w:val="single" w:sz="4" w:color="999999"/>
              <w:bottom w:val="single" w:sz="4" w:color="999999"/>
              <w:right w:val="single" w:sz="4" w:color="999999"/>
            </w:tcBorders>
          </w:tcPr>
          <w:p>
            <w:pPr>
              <w:jc w:val="center"/>
            </w:pPr>
            <w:r/>
            <w:r>
              <w:rPr>
                <w:sz w:val="18"/>
              </w:rPr>
              <w:t>20</w:t>
            </w:r>
          </w:p>
        </w:tc>
        <w:tc>
          <w:tcPr>
            <w:tcW w:type="dxa" w:w="720"/>
            <w:shd w:val="clear" w:color="auto" w:fill="F2F2F2"/>
            <w:tcBorders>
              <w:top w:val="single" w:sz="4" w:color="999999"/>
              <w:left w:val="single" w:sz="4" w:color="999999"/>
              <w:bottom w:val="single" w:sz="4" w:color="999999"/>
              <w:right w:val="single" w:sz="4" w:color="999999"/>
            </w:tcBorders>
          </w:tcPr>
          <w:p>
            <w:pPr>
              <w:jc w:val="center"/>
            </w:pPr>
            <w:r/>
            <w:r>
              <w:rPr>
                <w:sz w:val="18"/>
              </w:rPr>
              <w:t>5</w:t>
            </w:r>
          </w:p>
        </w:tc>
        <w:tc>
          <w:tcPr>
            <w:tcW w:type="dxa" w:w="1728"/>
            <w:shd w:val="clear" w:color="auto" w:fill="F2F2F2"/>
            <w:tcBorders>
              <w:top w:val="single" w:sz="4" w:color="999999"/>
              <w:left w:val="single" w:sz="4" w:color="999999"/>
              <w:bottom w:val="single" w:sz="4" w:color="999999"/>
              <w:right w:val="single" w:sz="4" w:color="999999"/>
            </w:tcBorders>
          </w:tcPr>
          <w:p>
            <w:pPr>
              <w:jc w:val="center"/>
            </w:pPr>
            <w:r/>
            <w:r>
              <w:rPr>
                <w:sz w:val="18"/>
              </w:rPr>
              <w:t>1</w:t>
            </w:r>
          </w:p>
        </w:tc>
        <w:tc>
          <w:tcPr>
            <w:tcW w:type="dxa" w:w="864"/>
            <w:shd w:val="clear" w:color="auto" w:fill="F2F2F2"/>
            <w:tcBorders>
              <w:top w:val="single" w:sz="4" w:color="999999"/>
              <w:left w:val="single" w:sz="4" w:color="999999"/>
              <w:bottom w:val="single" w:sz="4" w:color="999999"/>
              <w:right w:val="single" w:sz="4" w:color="999999"/>
            </w:tcBorders>
          </w:tcPr>
          <w:p>
            <w:pPr>
              <w:jc w:val="center"/>
            </w:pPr>
            <w:r/>
            <w:r>
              <w:rPr>
                <w:sz w:val="18"/>
              </w:rPr>
              <w:t>0</w:t>
            </w:r>
          </w:p>
        </w:tc>
        <w:tc>
          <w:tcPr>
            <w:tcW w:type="dxa" w:w="1008"/>
            <w:shd w:val="clear" w:color="auto" w:fill="F2F2F2"/>
            <w:tcBorders>
              <w:top w:val="single" w:sz="4" w:color="999999"/>
              <w:left w:val="single" w:sz="4" w:color="999999"/>
              <w:bottom w:val="single" w:sz="4" w:color="999999"/>
              <w:right w:val="single" w:sz="4" w:color="999999"/>
            </w:tcBorders>
          </w:tcPr>
          <w:p>
            <w:pPr>
              <w:jc w:val="center"/>
            </w:pPr>
            <w:r/>
            <w:r>
              <w:rPr>
                <w:sz w:val="18"/>
              </w:rPr>
              <w:t>1</w:t>
            </w:r>
          </w:p>
        </w:tc>
        <w:tc>
          <w:tcPr>
            <w:tcW w:type="dxa" w:w="864"/>
            <w:shd w:val="clear" w:color="auto" w:fill="F2F2F2"/>
            <w:tcBorders>
              <w:top w:val="single" w:sz="4" w:color="999999"/>
              <w:left w:val="single" w:sz="4" w:color="999999"/>
              <w:bottom w:val="single" w:sz="4" w:color="999999"/>
              <w:right w:val="single" w:sz="4" w:color="999999"/>
            </w:tcBorders>
          </w:tcPr>
          <w:p>
            <w:pPr>
              <w:jc w:val="center"/>
            </w:pPr>
            <w:r/>
            <w:r>
              <w:rPr>
                <w:sz w:val="18"/>
              </w:rPr>
              <w:t>404</w:t>
            </w:r>
          </w:p>
        </w:tc>
        <w:tc>
          <w:tcPr>
            <w:tcW w:type="dxa" w:w="1440"/>
            <w:shd w:val="clear" w:color="auto" w:fill="F2F2F2"/>
            <w:tcBorders>
              <w:top w:val="single" w:sz="4" w:color="999999"/>
              <w:left w:val="single" w:sz="4" w:color="999999"/>
              <w:bottom w:val="single" w:sz="4" w:color="999999"/>
              <w:right w:val="single" w:sz="4" w:color="999999"/>
            </w:tcBorders>
          </w:tcPr>
          <w:p>
            <w:pPr>
              <w:jc w:val="center"/>
            </w:pPr>
            <w:r/>
            <w:r>
              <w:rPr>
                <w:sz w:val="18"/>
              </w:rPr>
              <w:t>0.000</w:t>
            </w:r>
          </w:p>
        </w:tc>
        <w:tc>
          <w:tcPr>
            <w:tcW w:type="dxa" w:w="1296"/>
            <w:shd w:val="clear" w:color="auto" w:fill="F2F2F2"/>
            <w:tcBorders>
              <w:top w:val="single" w:sz="4" w:color="999999"/>
              <w:left w:val="single" w:sz="4" w:color="999999"/>
              <w:bottom w:val="single" w:sz="4" w:color="999999"/>
              <w:right w:val="single" w:sz="4" w:color="999999"/>
            </w:tcBorders>
          </w:tcPr>
          <w:p>
            <w:pPr>
              <w:jc w:val="center"/>
            </w:pPr>
            <w:r/>
            <w:r>
              <w:rPr>
                <w:sz w:val="18"/>
              </w:rPr>
              <w:t>0.000</w:t>
            </w:r>
          </w:p>
        </w:tc>
      </w:tr>
    </w:tbl>
    <w:p>
      <w:pPr>
        <w:spacing w:after="40"/>
      </w:pPr>
    </w:p>
    <w:p>
      <w:pPr>
        <w:spacing w:before="40" w:after="0"/>
        <w:jc w:val="center"/>
      </w:pPr>
      <w:r>
        <w:drawing>
          <wp:inline xmlns:a="http://schemas.openxmlformats.org/drawingml/2006/main" xmlns:pic="http://schemas.openxmlformats.org/drawingml/2006/picture">
            <wp:extent cx="5669280" cy="2180492"/>
            <wp:docPr id="9" name="Picture 9"/>
            <wp:cNvGraphicFramePr>
              <a:graphicFrameLocks noChangeAspect="1"/>
            </wp:cNvGraphicFramePr>
            <a:graphic>
              <a:graphicData uri="http://schemas.openxmlformats.org/drawingml/2006/picture">
                <pic:pic>
                  <pic:nvPicPr>
                    <pic:cNvPr id="0" name="13_lsh_precision_recall.png"/>
                    <pic:cNvPicPr/>
                  </pic:nvPicPr>
                  <pic:blipFill>
                    <a:blip r:embed="rId17"/>
                    <a:stretch>
                      <a:fillRect/>
                    </a:stretch>
                  </pic:blipFill>
                  <pic:spPr>
                    <a:xfrm>
                      <a:off x="0" y="0"/>
                      <a:ext cx="5669280" cy="2180492"/>
                    </a:xfrm>
                    <a:prstGeom prst="rect"/>
                  </pic:spPr>
                </pic:pic>
              </a:graphicData>
            </a:graphic>
          </wp:inline>
        </w:drawing>
      </w:r>
    </w:p>
    <w:p>
      <w:pPr>
        <w:spacing w:before="0" w:after="120"/>
        <w:jc w:val="center"/>
      </w:pPr>
      <w:r>
        <w:rPr>
          <w:i/>
          <w:color w:val="595959"/>
          <w:sz w:val="18"/>
        </w:rPr>
        <w:t>Figura 9. Curva precisión-recall de LSH variando bandas.</w:t>
      </w:r>
    </w:p>
    <w:p>
      <w:pPr>
        <w:spacing w:before="0" w:after="80"/>
        <w:jc w:val="both"/>
      </w:pPr>
      <w:r>
        <w:rPr>
          <w:rFonts w:ascii="Calibri" w:hAnsi="Calibri"/>
          <w:b w:val="0"/>
          <w:i w:val="0"/>
          <w:sz w:val="20"/>
        </w:rPr>
        <w:t>MLlib MinHashLSH con threshold 0.20 detectó 22 pares; los 17 verdaderos positivos del banding manual están contenidos en ese resultado. MLlib es eficiente con thresholds altos (Jaccard ≥ 0.5) pero menos controlable cuando se quiere ajustar finamente el balance precisión-recall, donde el banding manual gana flexibilidad.</w:t>
      </w:r>
    </w:p>
    <w:p>
      <w:pPr>
        <w:spacing w:before="160" w:after="80"/>
      </w:pPr>
      <w:r>
        <w:rPr>
          <w:rFonts w:ascii="Calibri" w:hAnsi="Calibri"/>
          <w:b/>
          <w:color w:val="1F3864"/>
          <w:sz w:val="28"/>
        </w:rPr>
        <w:t>4. Discusión crítica</w:t>
      </w:r>
    </w:p>
    <w:p>
      <w:pPr>
        <w:spacing w:before="0" w:after="80"/>
        <w:jc w:val="both"/>
      </w:pPr>
      <w:r>
        <w:rPr>
          <w:rFonts w:ascii="Calibri" w:hAnsi="Calibri"/>
          <w:b w:val="0"/>
          <w:i w:val="0"/>
          <w:sz w:val="20"/>
        </w:rPr>
        <w:t>Exactitud vs eficiencia. Comparar todas las películas con Jaccard exacto cuesta O(N²) ≈ 365 millones de pares para 27K películas. MinHash + LSH reducen este costo a O(N) candidatos a costa de un error controlado. En este experimento la pérdida de información del MinHash es mínima (correlación 0.89 con el exacto), lo que confirma su viabilidad para sistemas de recomendación a gran escala.</w:t>
      </w:r>
    </w:p>
    <w:p>
      <w:pPr>
        <w:spacing w:before="0" w:after="80"/>
        <w:jc w:val="both"/>
      </w:pPr>
      <w:r>
        <w:rPr>
          <w:rFonts w:ascii="Calibri" w:hAnsi="Calibri"/>
          <w:b w:val="0"/>
          <w:i w:val="0"/>
          <w:sz w:val="20"/>
        </w:rPr>
        <w:t>Impacto de FP y FN en producción. Un falso positivo en un recomendador es relativamente barato: ofrece una película que el usuario probablemente no consumirá. Un falso negativo es más costoso: deja de recomendar una película que le habría gustado, perdiendo engagement. Por eso la configuración óptima depende del objetivo: para diversidad y descubrimiento conviene b alto (más recall); para listas curadas de alta confianza, b bajo (más precisión).</w:t>
      </w:r>
    </w:p>
    <w:p>
      <w:pPr>
        <w:spacing w:before="0" w:after="80"/>
        <w:jc w:val="both"/>
      </w:pPr>
      <w:r>
        <w:rPr>
          <w:rFonts w:ascii="Calibri" w:hAnsi="Calibri"/>
          <w:b w:val="0"/>
          <w:i w:val="0"/>
          <w:sz w:val="20"/>
        </w:rPr>
        <w:t>¿Cuándo usar Spark? Con 20M ratings y un Mac M1 Pro, las operaciones más pesadas (top-20 con join, MinHash sobre 8K películas) corren en minutos en el clúster Docker local. Para datasets de este tamaño, pandas en memoria también funcionaría con cuidado, pero no escala a 200M ratings o más. Spark se justifica cuando: (i) los datos no caben en RAM, (ii) se necesita paralelismo real para operaciones SQL, o (iii) se quiere portabilidad a un clúster productivo. El sobrecosto de configuración es notable y no compensa para datasets pequeños.</w:t>
      </w:r>
    </w:p>
    <w:p>
      <w:pPr>
        <w:spacing w:before="0" w:after="80"/>
        <w:jc w:val="both"/>
      </w:pPr>
      <w:r>
        <w:rPr>
          <w:rFonts w:ascii="Calibri" w:hAnsi="Calibri"/>
          <w:b w:val="0"/>
          <w:i w:val="0"/>
          <w:sz w:val="20"/>
        </w:rPr>
        <w:t>Aplicabilidad real. El pipeline Jaccard → MinHash → LSH es exactamente lo que usa Netflix para encontrar películas similares en su catálogo, Spotify para canciones y Amazon para productos. La representación como conjunto de usuarios con like es robusta porque no requiere features explícitas (géneros, tags), aprovechando solo el comportamiento agregado.</w:t>
      </w:r>
    </w:p>
    <w:p>
      <w:pPr>
        <w:spacing w:before="0" w:after="80"/>
        <w:jc w:val="both"/>
      </w:pPr>
      <w:r>
        <w:rPr>
          <w:rFonts w:ascii="Calibri" w:hAnsi="Calibri"/>
          <w:b w:val="0"/>
          <w:i w:val="0"/>
          <w:sz w:val="20"/>
        </w:rPr>
        <w:t>Cuellos de botella observados: (i) el join de ratings (20M filas) con movies_clean genera shuffle costoso; broadcast join sobre movies_clean (27K filas) lo elimina. (ii) Calcular Jaccard exacto sobre toda la muestra requiere mantener los sets en memoria; particionar por hash de movieId ayuda. (iii) La conversión de RDD a DataFrame durante la Fase 3 fue innecesaria en algunos puntos y duplicó el cómputo.</w:t>
      </w:r>
    </w:p>
    <w:p>
      <w:pPr>
        <w:spacing w:before="160" w:after="80"/>
      </w:pPr>
      <w:r>
        <w:rPr>
          <w:rFonts w:ascii="Calibri" w:hAnsi="Calibri"/>
          <w:b/>
          <w:color w:val="1F3864"/>
          <w:sz w:val="28"/>
        </w:rPr>
        <w:t>5. Conclusiones</w:t>
      </w:r>
    </w:p>
    <w:p>
      <w:pPr>
        <w:spacing w:before="0" w:after="80"/>
        <w:jc w:val="both"/>
      </w:pPr>
      <w:r>
        <w:rPr>
          <w:rFonts w:ascii="Calibri" w:hAnsi="Calibri"/>
          <w:b w:val="0"/>
          <w:i w:val="0"/>
          <w:sz w:val="20"/>
        </w:rPr>
        <w:t>El proyecto demuestra empíricamente tres puntos clave: (1) el preprocesamiento riguroso (limpieza, unificación de géneros, binarización justificada) es prerequisito para cualquier técnica de minería posterior; (2) DataFrame API es ~10× más rápido que RDD en operaciones SQL-style sobre Spark, lo que no significa que RDD sea obsoleto sino que ya no es la primera opción para queries declarativos; (3) MinHash+LSH es una solución eficiente y precisa para encontrar pares similares en datasets ralos, con correlación 0.89 frente a Jaccard exacto y precisión de 0.85 en la configuración óptima (b=25, r=4). La Parte IV (FP-Growth para reglas de asociación) queda pendiente.</w:t>
      </w:r>
    </w:p>
    <w:sectPr w:rsidR="00FC693F" w:rsidRPr="0006063C" w:rsidSect="00034616">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