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00"/>
        <w:jc w:val="center"/>
      </w:pPr>
      <w:r>
        <w:rPr>
          <w:b/>
          <w:color w:val="22385C"/>
          <w:sz w:val="48"/>
        </w:rPr>
        <w:t>华彩系统需求文档</w:t>
      </w:r>
    </w:p>
    <w:p>
      <w:pPr>
        <w:jc w:val="center"/>
      </w:pPr>
      <w:r>
        <w:t>系统管理模块 + 客户管理模块 + 人事管理模块（V0.6）</w:t>
      </w:r>
    </w:p>
    <w:p>
      <w:r>
        <w:br w:type="page"/>
      </w:r>
    </w:p>
    <w:p>
      <w:pPr>
        <w:pStyle w:val="3"/>
      </w:pPr>
      <w:r>
        <w:t>1. 文档说明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文档目的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沉淀系统管理与客户管理的一期需求范围、权限模型、页面结构、数据来源、正常流与异常流，为产品评审、开发实现和测试设计提供统一依据。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覆盖范围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本版仅覆盖系统管理、客户管理两大模块；其他模块（人事管理、经营管理、财务管理等）暂不纳入本文详细需求。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依据来源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1）原型截图；2）用户对页面结构、字段、同步关系和状态流转的确认；3）本轮关于菜单权限/按钮权限/数据权限/角色权限的讨论结论。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状态标签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本文中“已确认”表示用户已明确；“建议实现”表示为便于一期落地提出的推荐方案；“待明确”表示当前无法从原型或规则中完全确认。</w:t>
            </w:r>
          </w:p>
        </w:tc>
      </w:tr>
    </w:tbl>
    <w:p/>
    <w:p>
      <w:pPr>
        <w:pStyle w:val="3"/>
      </w:pPr>
      <w:r>
        <w:t>2. 全局权限与角色方案</w:t>
      </w:r>
    </w:p>
    <w:p>
      <w:r>
        <w:t>本章用于统一系统中的“身份、角色、功能权限、数据权限”概念，避免后续页面设计和开发实现中出现概念混用。</w:t>
      </w:r>
    </w:p>
    <w:p>
      <w:pPr>
        <w:pStyle w:val="4"/>
      </w:pPr>
      <w:r>
        <w:t>2.1 核心结论</w:t>
      </w:r>
    </w:p>
    <w:p>
      <w:pPr>
        <w:ind w:left="340" w:hanging="255"/>
      </w:pPr>
      <w:r>
        <w:rPr>
          <w:b/>
        </w:rPr>
        <w:t xml:space="preserve">• </w:t>
      </w:r>
      <w:r>
        <w:t>采用“身份 + 主角色 + 功能权限 + 数据权限”的组合模型。</w:t>
      </w:r>
    </w:p>
    <w:p>
      <w:pPr>
        <w:ind w:left="340" w:hanging="255"/>
      </w:pPr>
      <w:r>
        <w:rPr>
          <w:b/>
        </w:rPr>
        <w:t xml:space="preserve">• </w:t>
      </w:r>
      <w:r>
        <w:t>身份用于确定管理边界，即“谁能管理谁”；当前固定为：超级管理员、部门管理员、普通用户。</w:t>
      </w:r>
    </w:p>
    <w:p>
      <w:pPr>
        <w:ind w:left="340" w:hanging="255"/>
      </w:pPr>
      <w:r>
        <w:rPr>
          <w:b/>
        </w:rPr>
        <w:t xml:space="preserve">• </w:t>
      </w:r>
      <w:r>
        <w:t>主角色用于承载默认功能权限模板；建议一个用户仅绑定一个主角色。</w:t>
      </w:r>
    </w:p>
    <w:p>
      <w:pPr>
        <w:ind w:left="340" w:hanging="255"/>
      </w:pPr>
      <w:r>
        <w:rPr>
          <w:b/>
        </w:rPr>
        <w:t xml:space="preserve">• </w:t>
      </w:r>
      <w:r>
        <w:t>功能权限用于控制页面访问与按钮动作；菜单显示建议由页面权限自动推导，不单独作为底层权限源。</w:t>
      </w:r>
    </w:p>
    <w:p>
      <w:pPr>
        <w:ind w:left="340" w:hanging="255"/>
      </w:pPr>
      <w:r>
        <w:rPr>
          <w:b/>
        </w:rPr>
        <w:t xml:space="preserve">• </w:t>
      </w:r>
      <w:r>
        <w:t>数据权限用于控制进入页面后可查看的数据范围，建议与功能权限分开配置。</w:t>
      </w:r>
    </w:p>
    <w:p>
      <w:pPr>
        <w:ind w:left="340" w:hanging="255"/>
      </w:pPr>
      <w:r>
        <w:rPr>
          <w:b/>
        </w:rPr>
        <w:t xml:space="preserve">• </w:t>
      </w:r>
      <w:r>
        <w:t>账号状态独立于权限配置：账号禁用后，用户不可登录，即使其权限仍然存在。</w:t>
      </w:r>
    </w:p>
    <w:p>
      <w:pPr>
        <w:pStyle w:val="4"/>
      </w:pPr>
      <w:r>
        <w:t>2.2 权限模型关系图</w:t>
      </w:r>
    </w:p>
    <w:p>
      <w:r>
        <w:drawing>
          <wp:inline distT="0" distB="0" distL="114300" distR="114300">
            <wp:extent cx="5943600" cy="3640455"/>
            <wp:effectExtent l="0" t="0" r="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 一期权限模型关系图</w:t>
      </w:r>
    </w:p>
    <w:p>
      <w:r>
        <w:drawing>
          <wp:inline distT="0" distB="0" distL="114300" distR="114300">
            <wp:extent cx="5669280" cy="3023235"/>
            <wp:effectExtent l="0" t="0" r="2032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2 用户最终权限生效关系图</w:t>
      </w:r>
    </w:p>
    <w:p>
      <w:pPr>
        <w:pStyle w:val="4"/>
      </w:pPr>
      <w:r>
        <w:t>2.3 概念定义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概念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定义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身份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管理边界概念。超级管理员可管理全部组织/用户/权限；部门管理员可管理本部门普通用户；普通用户仅使用系统。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主角色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功能权限模板概念。一期建议为每个用户绑定一个主角色，由角色提供默认页面与按钮权限。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功能权限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控制“能进哪些页面、能做哪些动作”。建议细分为页面访问权限和按钮权限。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数据权限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控制“进入页面后能看到哪些数据”。建议独立配置，不与菜单/按钮勾选混在同一棵树中。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账号状态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启用 / 禁用。账号禁用后不可登录。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权限状态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用于概要展示当前用户被分配的权限范围，如“全部数据权限”“本部门数据权限”等。</w:t>
            </w:r>
          </w:p>
        </w:tc>
      </w:tr>
    </w:tbl>
    <w:p/>
    <w:p>
      <w:pPr>
        <w:pStyle w:val="4"/>
      </w:pPr>
      <w:r>
        <w:t>2.4 一期推荐生效规则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规则项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最终权限公式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最终权限 = 账号状态有效 × 身份边界 × 主角色默认权限 × 用户单独授权 × 数据权限范围。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菜单显示逻辑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建议不单独维护菜单权限，改为：若用户具备某目录下任一页面权限，则显示该菜单目录；反之隐藏。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按钮显示逻辑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页面可访问但按钮无权限时，按钮不显示或显示为禁用态；前后端均需校验。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数据权限配置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建议按模块维度配置，如客户数据范围、人事数据范围、财务数据范围，可选：全部 / 本部门 / 本部门及下级 / 仅本人。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角色修改生效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建议角色权限模板保存后即时生效；用户已有权限范围随最新模板刷新。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用户单独授权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允许在主角色模板基础上做有限追加或收缩，以满足少量例外场景。</w:t>
            </w:r>
          </w:p>
        </w:tc>
      </w:tr>
    </w:tbl>
    <w:p/>
    <w:p>
      <w:pPr>
        <w:pBdr>
          <w:top w:val="single" w:color="BDD7EE" w:sz="8" w:space="6"/>
          <w:left w:val="single" w:color="BDD7EE" w:sz="8" w:space="6"/>
          <w:bottom w:val="single" w:color="BDD7EE" w:sz="8" w:space="6"/>
          <w:right w:val="single" w:color="BDD7EE" w:sz="8" w:space="6"/>
        </w:pBdr>
        <w:shd w:val="clear" w:fill="EEF5FD"/>
        <w:spacing w:before="80" w:after="80"/>
        <w:ind w:left="113" w:right="113"/>
      </w:pPr>
      <w:r>
        <w:rPr>
          <w:b w:val="0"/>
        </w:rPr>
        <w:t>建议：如果后续决定“菜单权限也要单独维护”，则需额外处理菜单可见但页面不可进入的冲突场景；一期不建议走这条路径。</w:t>
      </w:r>
    </w:p>
    <w:p>
      <w:pPr>
        <w:pStyle w:val="4"/>
      </w:pPr>
      <w:r>
        <w:t>2.5 管理边界与典型授权场景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身份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边界与默认建议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超级管理员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管理全部组织、用户、角色、权限；默认可见所有模块；默认数据范围为全部数据。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部门管理员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管理本部门下普通用户；可被授予客户管理等业务模块权限；默认数据范围建议为本部门或本部门及下级。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普通用户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不具备用户管理和角色管理能力；仅使用被分配的业务页面、按钮和数据。</w:t>
            </w:r>
          </w:p>
        </w:tc>
      </w:tr>
    </w:tbl>
    <w:p/>
    <w:p>
      <w:pPr>
        <w:pStyle w:val="4"/>
      </w:pPr>
      <w:r>
        <w:t>2.6 典型异常与控制要求</w:t>
      </w:r>
    </w:p>
    <w:p>
      <w:pPr>
        <w:ind w:left="340" w:hanging="255"/>
      </w:pPr>
      <w:r>
        <w:rPr>
          <w:b/>
        </w:rPr>
        <w:t xml:space="preserve">• </w:t>
      </w:r>
      <w:r>
        <w:t>普通用户尝试访问系统用户、角色管理、组织管理等管理页面时，应直接返回无权限提示或不展示菜单入口。</w:t>
      </w:r>
    </w:p>
    <w:p>
      <w:pPr>
        <w:ind w:left="340" w:hanging="255"/>
      </w:pPr>
      <w:r>
        <w:rPr>
          <w:b/>
        </w:rPr>
        <w:t xml:space="preserve">• </w:t>
      </w:r>
      <w:r>
        <w:t>用户虽然具备页面权限，但数据权限范围为空时，页面可访问但列表无数据，需提示“暂无可查看数据”。</w:t>
      </w:r>
    </w:p>
    <w:p>
      <w:pPr>
        <w:ind w:left="340" w:hanging="255"/>
      </w:pPr>
      <w:r>
        <w:rPr>
          <w:b/>
        </w:rPr>
        <w:t xml:space="preserve">• </w:t>
      </w:r>
      <w:r>
        <w:t>前端错误展示无权按钮时，后端提交接口仍必须进行二次鉴权，防止越权调用。</w:t>
      </w:r>
    </w:p>
    <w:p>
      <w:pPr>
        <w:ind w:left="340" w:hanging="255"/>
      </w:pPr>
      <w:r>
        <w:rPr>
          <w:b/>
        </w:rPr>
        <w:t xml:space="preserve">• </w:t>
      </w:r>
      <w:r>
        <w:t>账号被禁用后，登录、刷新 token、接口访问均应返回“账号已停用”提示。</w:t>
      </w:r>
    </w:p>
    <w:p>
      <w:pPr>
        <w:pStyle w:val="3"/>
      </w:pPr>
      <w:r>
        <w:t>3. 关键数据对象与数据来源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组织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机构层级、名称、状态、排序、描述等信息。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来源：系统管理-组织管理；用途：用户归属、数据权限范围基线。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用户账号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账号、手机号、状态、角色身份、主角色、密码等。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来源：系统管理-系统用户。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角色模板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角色名称、角色身份、默认页面/按钮权限、可授权范围。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来源：系统管理-角色管理。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权限项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页面访问项、按钮动作项、数据权限项。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来源：权限树配置；页面与按钮项建议由产品固定维护。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客户主档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联系人信息 + 企业信息 + 状态。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来源：客户管理-新增/客户基本情况。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客户风险评估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测试日期、测试额度、综合评分、龙信商等。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来源：人工录入；客户详情页子表与独立列表同源。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客户负债信息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负债类型、负载总额、已垫还、剩余需还额度等。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来源：人工录入；客户详情页子表与独立列表双向同步。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合同信息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合同编号、合同名称、合同附件、备注等。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来源：客户详情页/新增页内维护。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交易订单信息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交易类型、金额、手续费、实际到账、回款、余额等。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当前来源：手工维护；后续是否接订单模块待明确。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状态历史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开始借款（具体时间）、已结清（具体时间）。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来源：客户状态变更写入。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管理日志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操作人、时间、操作内容。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来源：系统关键动作自动落日志。</w:t>
            </w:r>
          </w:p>
        </w:tc>
      </w:tr>
    </w:tbl>
    <w:p/>
    <w:p>
      <w:pPr>
        <w:pStyle w:val="3"/>
      </w:pPr>
      <w:r>
        <w:t>4. 系统管理模块</w:t>
      </w:r>
    </w:p>
    <w:p>
      <w:r>
        <w:t>系统管理模块用于维护组织、用户、角色和日志，是全系统权限控制与数据边界的基础。</w:t>
      </w:r>
    </w:p>
    <w:p>
      <w:pPr>
        <w:pStyle w:val="4"/>
      </w:pPr>
      <w:r>
        <w:t>4.1 页面结构</w:t>
      </w:r>
    </w:p>
    <w:p>
      <w:pPr>
        <w:ind w:left="340" w:hanging="255"/>
      </w:pPr>
      <w:r>
        <w:rPr>
          <w:b/>
        </w:rPr>
        <w:t xml:space="preserve">• </w:t>
      </w:r>
      <w:r>
        <w:t>组织管理：维护组织架构信息，提供新增、修改、删除、同步等能力。</w:t>
      </w:r>
    </w:p>
    <w:p>
      <w:pPr>
        <w:ind w:left="340" w:hanging="255"/>
      </w:pPr>
      <w:r>
        <w:rPr>
          <w:b/>
        </w:rPr>
        <w:t xml:space="preserve">• </w:t>
      </w:r>
      <w:r>
        <w:t>系统用户：维护用户账号、绑定角色身份、配置具体权限、启停账号。</w:t>
      </w:r>
    </w:p>
    <w:p>
      <w:pPr>
        <w:ind w:left="340" w:hanging="255"/>
      </w:pPr>
      <w:r>
        <w:rPr>
          <w:b/>
        </w:rPr>
        <w:t xml:space="preserve">• </w:t>
      </w:r>
      <w:r>
        <w:t>角色管理：维护角色模板及其默认功能权限。</w:t>
      </w:r>
    </w:p>
    <w:p>
      <w:pPr>
        <w:ind w:left="340" w:hanging="255"/>
      </w:pPr>
      <w:r>
        <w:rPr>
          <w:b/>
        </w:rPr>
        <w:t xml:space="preserve">• </w:t>
      </w:r>
      <w:r>
        <w:t>管理日志：记录关键管理动作与系统操作内容。</w:t>
      </w:r>
    </w:p>
    <w:p>
      <w:pPr>
        <w:pStyle w:val="4"/>
      </w:pPr>
      <w:r>
        <w:t>4.2 组织管理</w:t>
      </w:r>
    </w:p>
    <w:p>
      <w:r>
        <w:drawing>
          <wp:inline distT="0" distB="0" distL="114300" distR="114300">
            <wp:extent cx="5669280" cy="3436620"/>
            <wp:effectExtent l="0" t="0" r="2032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4 组织管理列表页（依据原型整理）</w:t>
      </w:r>
    </w:p>
    <w:p>
      <w:r>
        <w:drawing>
          <wp:inline distT="0" distB="0" distL="114300" distR="114300">
            <wp:extent cx="5486400" cy="33261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5 组织管理新增页（依据原型整理）</w:t>
      </w:r>
    </w:p>
    <w:p>
      <w:pPr>
        <w:pStyle w:val="5"/>
      </w:pPr>
      <w:r>
        <w:t>4.2.1 页面定位</w:t>
      </w:r>
    </w:p>
    <w:p>
      <w:r>
        <w:t>维护组织架构信息，为用户归属、管理边界和数据权限范围提供基础。</w:t>
      </w:r>
    </w:p>
    <w:p>
      <w:pPr>
        <w:pStyle w:val="5"/>
      </w:pPr>
      <w:r>
        <w:t>4.2.2 列表页字段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上级机构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父级组织名称。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来源：组织表父子关系。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机构名称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当前机构名称。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必填；建议同级唯一。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是否管理机构/是否领导机构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标记机构是否为管理层级。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原型存在命名不一致，需统一。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机构描述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组织补充说明。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选填。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排序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前端显示顺序。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必填；建议整数。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状态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有效 / 无效。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必填。</w:t>
            </w:r>
          </w:p>
        </w:tc>
      </w:tr>
    </w:tbl>
    <w:p/>
    <w:p>
      <w:pPr>
        <w:pStyle w:val="5"/>
      </w:pPr>
      <w:r>
        <w:t>4.2.3 新增/编辑页字段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上级机构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新增时默认带入当前节点或由用户选择。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必填。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机构名称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组织名称。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必填。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是否领导机构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新增二级机构时展示。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已确认：新增三级机构时不展示该字段。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机构描述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机构说明。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选填。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排序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显示顺序。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必填。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状态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有效/无效。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必填。</w:t>
            </w:r>
          </w:p>
        </w:tc>
      </w:tr>
    </w:tbl>
    <w:p/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进入组织管理列表页，系统默认展示当前登录人有权管理的组织数据。</w:t>
      </w:r>
    </w:p>
    <w:p>
      <w:pPr>
        <w:ind w:left="340" w:hanging="255"/>
      </w:pPr>
      <w:r>
        <w:rPr>
          <w:b/>
        </w:rPr>
        <w:t xml:space="preserve">• </w:t>
      </w:r>
      <w:r>
        <w:t>点击“新增”，弹出新增窗口；填写上级机构、机构名称、排序、状态等信息后保存。</w:t>
      </w:r>
    </w:p>
    <w:p>
      <w:pPr>
        <w:ind w:left="340" w:hanging="255"/>
      </w:pPr>
      <w:r>
        <w:rPr>
          <w:b/>
        </w:rPr>
        <w:t xml:space="preserve">• </w:t>
      </w:r>
      <w:r>
        <w:t>保存成功后，列表新增一条记录；点击“修改”进入编辑态并回写列表。</w:t>
      </w:r>
    </w:p>
    <w:p>
      <w:pPr>
        <w:ind w:left="340" w:hanging="255"/>
      </w:pPr>
      <w:r>
        <w:rPr>
          <w:b/>
        </w:rPr>
        <w:t xml:space="preserve">• </w:t>
      </w:r>
      <w:r>
        <w:t>点击“同步”时，若后端同步服务已配置，则将上游组织数据拉取并更新当前组织树。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未填写机构名称、排序、状态等必填项时，保存失败并提示具体字段。</w:t>
      </w:r>
    </w:p>
    <w:p>
      <w:pPr>
        <w:ind w:left="340" w:hanging="255"/>
      </w:pPr>
      <w:r>
        <w:rPr>
          <w:b/>
        </w:rPr>
        <w:t xml:space="preserve">• </w:t>
      </w:r>
      <w:r>
        <w:t>新增三级机构时，若前端仍展示“是否领导机构”字段，则视为前端逻辑缺陷。</w:t>
      </w:r>
    </w:p>
    <w:p>
      <w:pPr>
        <w:ind w:left="340" w:hanging="255"/>
      </w:pPr>
      <w:r>
        <w:rPr>
          <w:b/>
        </w:rPr>
        <w:t xml:space="preserve">• </w:t>
      </w:r>
      <w:r>
        <w:t>若组织下存在子组织或用户，建议不允许直接删除，并提示先迁移或清空下级数据。</w:t>
      </w:r>
    </w:p>
    <w:p>
      <w:pPr>
        <w:ind w:left="340" w:hanging="255"/>
      </w:pPr>
      <w:r>
        <w:rPr>
          <w:b/>
        </w:rPr>
        <w:t xml:space="preserve">• </w:t>
      </w:r>
      <w:r>
        <w:t>同步失败时，保留原数据并提示“同步失败，请稍后重试”。</w:t>
      </w:r>
    </w:p>
    <w:p>
      <w:pPr>
        <w:pStyle w:val="4"/>
      </w:pPr>
      <w:r>
        <w:t>4.3 系统用户</w:t>
      </w:r>
    </w:p>
    <w:p>
      <w:r>
        <w:drawing>
          <wp:inline distT="0" distB="0" distL="114300" distR="114300">
            <wp:extent cx="5303520" cy="3674110"/>
            <wp:effectExtent l="0" t="0" r="508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7 权限配置弹层（依据原型整理）</w:t>
      </w:r>
    </w:p>
    <w:p>
      <w:pPr>
        <w:pStyle w:val="5"/>
      </w:pPr>
      <w:r>
        <w:t>4.3.1 页面定位</w:t>
      </w:r>
    </w:p>
    <w:p>
      <w:r>
        <w:t>维护系统登录账号、绑定角色身份、控制启停，并通过“权限”按钮对用户的实际功能权限和数据权限进行配置。</w:t>
      </w:r>
    </w:p>
    <w:p>
      <w:pPr>
        <w:pStyle w:val="5"/>
      </w:pPr>
      <w:r>
        <w:t>4.3.2 列表页字段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员工编号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用户在组织中的员工编码。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来源：用户基础信息。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姓名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用户姓名。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来源：用户基础信息。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联系电话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手机号。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来源：账号字段。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部门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用户所属组织。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来源：组织归属。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权限状态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当前用户的权限范围概览。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如“全部数据权限”等；展示口径后续可优化。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任职状态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在职/离职等。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来源：用户人事状态；当前页面仅展示。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账号状态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启用/禁用。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控制是否可登录。</w:t>
            </w:r>
          </w:p>
        </w:tc>
      </w:tr>
    </w:tbl>
    <w:p/>
    <w:p>
      <w:pPr>
        <w:pStyle w:val="5"/>
      </w:pPr>
      <w:r>
        <w:t>4.3.3 新增/编辑页字段（已确认）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角色名称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主角色名称。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用于承载默认权限模板。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账号（手机号）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登录账号。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必填；建议唯一。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状态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启用 / 禁用。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保存后影响登录。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角色身份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超级管理员 / 管理员 / 普通用户。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决定管理边界。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登录密码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账号密码。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新增必填；编辑时可按需修改。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确认密码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再次输入密码。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需与登录密码一致。</w:t>
            </w:r>
          </w:p>
        </w:tc>
      </w:tr>
    </w:tbl>
    <w:p/>
    <w:p>
      <w:pPr>
        <w:pStyle w:val="5"/>
      </w:pPr>
      <w:r>
        <w:t>4.3.4 编辑与权限按钮分工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动作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编辑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维护账号基础信息：角色名称、账号、状态、角色身份、登录密码、确认密码。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权限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进入权限弹层，配置该用户的页面权限、按钮权限和数据权限。</w:t>
            </w:r>
          </w:p>
        </w:tc>
      </w:tr>
    </w:tbl>
    <w:p/>
    <w:p>
      <w:pPr>
        <w:pStyle w:val="5"/>
      </w:pPr>
      <w:r>
        <w:t>4.3.5 权限配置逻辑（融合本轮方案）</w:t>
      </w:r>
    </w:p>
    <w:p>
      <w:pPr>
        <w:ind w:left="340" w:hanging="255"/>
      </w:pPr>
      <w:r>
        <w:rPr>
          <w:b/>
        </w:rPr>
        <w:t xml:space="preserve">• </w:t>
      </w:r>
      <w:r>
        <w:t>系统用户页面中的“权限”按钮用于配置用户的实际权限，不等同于修改角色身份。</w:t>
      </w:r>
    </w:p>
    <w:p>
      <w:pPr>
        <w:ind w:left="340" w:hanging="255"/>
      </w:pPr>
      <w:r>
        <w:rPr>
          <w:b/>
        </w:rPr>
        <w:t xml:space="preserve">• </w:t>
      </w:r>
      <w:r>
        <w:t>角色身份仅决定管理边界：超级管理员可配置管理员；管理员可配置本部门普通用户；普通用户不可配置他人权限。</w:t>
      </w:r>
    </w:p>
    <w:p>
      <w:pPr>
        <w:ind w:left="340" w:hanging="255"/>
      </w:pPr>
      <w:r>
        <w:rPr>
          <w:b/>
        </w:rPr>
        <w:t xml:space="preserve">• </w:t>
      </w:r>
      <w:r>
        <w:t>主角色提供默认权限模板；用户可在模板基础上做有限调整。</w:t>
      </w:r>
    </w:p>
    <w:p>
      <w:pPr>
        <w:ind w:left="340" w:hanging="255"/>
      </w:pPr>
      <w:r>
        <w:rPr>
          <w:b/>
        </w:rPr>
        <w:t xml:space="preserve">• </w:t>
      </w:r>
      <w:r>
        <w:t>功能权限建议分为“页面访问权限 + 按钮权限”；菜单显示由页面权限自动推导。</w:t>
      </w:r>
    </w:p>
    <w:p>
      <w:pPr>
        <w:ind w:left="340" w:hanging="255"/>
      </w:pPr>
      <w:r>
        <w:rPr>
          <w:b/>
        </w:rPr>
        <w:t xml:space="preserve">• </w:t>
      </w:r>
      <w:r>
        <w:t>数据权限建议单独配置，不与菜单/按钮勾选混在一棵树中；一期至少支持全部数据 / 本部门数据 / 本部门及下级 / 仅本人数据。</w:t>
      </w:r>
    </w:p>
    <w:p>
      <w:pPr>
        <w:pBdr>
          <w:top w:val="single" w:color="F4B183" w:sz="8" w:space="6"/>
          <w:left w:val="single" w:color="F4B183" w:sz="8" w:space="6"/>
          <w:bottom w:val="single" w:color="F4B183" w:sz="8" w:space="6"/>
          <w:right w:val="single" w:color="F4B183" w:sz="8" w:space="6"/>
        </w:pBdr>
        <w:shd w:val="clear" w:fill="FFF4E5"/>
        <w:spacing w:before="80" w:after="80"/>
        <w:ind w:left="113" w:right="113"/>
      </w:pPr>
      <w:r>
        <w:rPr>
          <w:b/>
        </w:rPr>
        <w:t>待明确：导入功能当前为预留能力，导入模板字段暂未明确；在接口或页面能力未就绪前，建议入口置灰或显式提示“功能预留中”。</w:t>
      </w:r>
    </w:p>
    <w:p>
      <w:pPr>
        <w:pStyle w:val="5"/>
      </w:pPr>
      <w:r>
        <w:t>4.3.6 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列表数据源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用户主表 + 组织归属 + 主角色 + 权限摘要。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权限弹层数据源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权限项配置表（页面项/按钮项/数据范围项） + 当前用户已有授权数据。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状态更新源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账号启停、角色变更、权限保存等动作均需写入管理日志。</w:t>
            </w:r>
          </w:p>
        </w:tc>
      </w:tr>
    </w:tbl>
    <w:p/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点击“新增”，打开新增页；录入角色名称、账号（手机号）、状态、角色身份、密码、确认密码。</w:t>
      </w:r>
    </w:p>
    <w:p>
      <w:pPr>
        <w:ind w:left="340" w:hanging="255"/>
      </w:pPr>
      <w:r>
        <w:rPr>
          <w:b/>
        </w:rPr>
        <w:t xml:space="preserve">• </w:t>
      </w:r>
      <w:r>
        <w:t>保存成功后，系统新增用户账号，并根据主角色赋予默认功能权限模板。</w:t>
      </w:r>
    </w:p>
    <w:p>
      <w:pPr>
        <w:ind w:left="340" w:hanging="255"/>
      </w:pPr>
      <w:r>
        <w:rPr>
          <w:b/>
        </w:rPr>
        <w:t xml:space="preserve">• </w:t>
      </w:r>
      <w:r>
        <w:t>点击“修改”可编辑基础信息；点击“禁用”后账号状态更新为禁用。</w:t>
      </w:r>
    </w:p>
    <w:p>
      <w:pPr>
        <w:ind w:left="340" w:hanging="255"/>
      </w:pPr>
      <w:r>
        <w:rPr>
          <w:b/>
        </w:rPr>
        <w:t xml:space="preserve">• </w:t>
      </w:r>
      <w:r>
        <w:t>点击“权限”按钮，进入权限弹层，勾选页面权限、按钮权限及数据权限并保存。</w:t>
      </w:r>
    </w:p>
    <w:p>
      <w:pPr>
        <w:ind w:left="340" w:hanging="255"/>
      </w:pPr>
      <w:r>
        <w:rPr>
          <w:b/>
        </w:rPr>
        <w:t xml:space="preserve">• </w:t>
      </w:r>
      <w:r>
        <w:t>点击“删除”后，执行物理删除。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手机号为空、格式不合法或与现有账号重复时，保存失败并提示。</w:t>
      </w:r>
    </w:p>
    <w:p>
      <w:pPr>
        <w:ind w:left="340" w:hanging="255"/>
      </w:pPr>
      <w:r>
        <w:rPr>
          <w:b/>
        </w:rPr>
        <w:t xml:space="preserve">• </w:t>
      </w:r>
      <w:r>
        <w:t>登录密码与确认密码不一致时，保存失败。</w:t>
      </w:r>
    </w:p>
    <w:p>
      <w:pPr>
        <w:ind w:left="340" w:hanging="255"/>
      </w:pPr>
      <w:r>
        <w:rPr>
          <w:b/>
        </w:rPr>
        <w:t xml:space="preserve">• </w:t>
      </w:r>
      <w:r>
        <w:t>当前登录人无管理边界（如普通用户尝试配置他人权限）时，不显示按钮或提交后返回无权限。</w:t>
      </w:r>
    </w:p>
    <w:p>
      <w:pPr>
        <w:ind w:left="340" w:hanging="255"/>
      </w:pPr>
      <w:r>
        <w:rPr>
          <w:b/>
        </w:rPr>
        <w:t xml:space="preserve">• </w:t>
      </w:r>
      <w:r>
        <w:t>用户被禁用后，登录应提示“账号已停用，请联系管理员”。</w:t>
      </w:r>
    </w:p>
    <w:p>
      <w:pPr>
        <w:ind w:left="340" w:hanging="255"/>
      </w:pPr>
      <w:r>
        <w:rPr>
          <w:b/>
        </w:rPr>
        <w:t xml:space="preserve">• </w:t>
      </w:r>
      <w:r>
        <w:t>如用户存在不可删除的强关联业务（后续若引入），需改为阻止删除并提示；当前规则为物理删除。</w:t>
      </w:r>
    </w:p>
    <w:p>
      <w:pPr>
        <w:pStyle w:val="4"/>
      </w:pPr>
      <w:r>
        <w:t>4.4 角色管理</w:t>
      </w:r>
    </w:p>
    <w:p>
      <w:pPr>
        <w:pStyle w:val="5"/>
      </w:pPr>
      <w:r>
        <w:t>4.4.1 页面定位</w:t>
      </w:r>
    </w:p>
    <w:p>
      <w:r>
        <w:t>维护角色模板及其默认页面/按钮权限，是系统用户默认授权的基础层。</w:t>
      </w:r>
    </w:p>
    <w:p>
      <w:pPr>
        <w:pStyle w:val="5"/>
      </w:pPr>
      <w:r>
        <w:t>4.4.2 当前可确认能力</w:t>
      </w:r>
    </w:p>
    <w:p>
      <w:pPr>
        <w:ind w:left="340" w:hanging="255"/>
      </w:pPr>
      <w:r>
        <w:rPr>
          <w:b/>
        </w:rPr>
        <w:t xml:space="preserve">• </w:t>
      </w:r>
      <w:r>
        <w:t>支持角色列表查看。</w:t>
      </w:r>
    </w:p>
    <w:p>
      <w:pPr>
        <w:ind w:left="340" w:hanging="255"/>
      </w:pPr>
      <w:r>
        <w:rPr>
          <w:b/>
        </w:rPr>
        <w:t xml:space="preserve">• </w:t>
      </w:r>
      <w:r>
        <w:t>支持新增、修改、删除。</w:t>
      </w:r>
    </w:p>
    <w:p>
      <w:pPr>
        <w:ind w:left="340" w:hanging="255"/>
      </w:pPr>
      <w:r>
        <w:rPr>
          <w:b/>
        </w:rPr>
        <w:t xml:space="preserve">• </w:t>
      </w:r>
      <w:r>
        <w:t>支持“分配/权限配置”类动作。</w:t>
      </w:r>
    </w:p>
    <w:p>
      <w:pPr>
        <w:ind w:left="340" w:hanging="255"/>
      </w:pPr>
      <w:r>
        <w:rPr>
          <w:b/>
        </w:rPr>
        <w:t xml:space="preserve">• </w:t>
      </w:r>
      <w:r>
        <w:t>角色身份当前先固定为：超级管理员、管理员、普通用户。</w:t>
      </w:r>
    </w:p>
    <w:p>
      <w:pPr>
        <w:pStyle w:val="5"/>
      </w:pPr>
      <w:r>
        <w:t>4.4.3 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角色主表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角色名称、角色身份、状态、创建时间等。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角色权限表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角色对应的页面访问权限与按钮权限集合。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用户角色绑定表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记录用户与主角色的绑定关系。</w:t>
            </w:r>
          </w:p>
        </w:tc>
      </w:tr>
    </w:tbl>
    <w:p/>
    <w:p>
      <w:pPr>
        <w:pStyle w:val="5"/>
      </w:pPr>
      <w:r>
        <w:t>4.4.4 建议实现规则</w:t>
      </w:r>
    </w:p>
    <w:p>
      <w:pPr>
        <w:ind w:left="340" w:hanging="255"/>
      </w:pPr>
      <w:r>
        <w:rPr>
          <w:b/>
        </w:rPr>
        <w:t xml:space="preserve">• </w:t>
      </w:r>
      <w:r>
        <w:t>角色用于承载默认功能权限模板；主角色一旦变更，用户的默认权限模板同步更新。</w:t>
      </w:r>
    </w:p>
    <w:p>
      <w:pPr>
        <w:ind w:left="340" w:hanging="255"/>
      </w:pPr>
      <w:r>
        <w:rPr>
          <w:b/>
        </w:rPr>
        <w:t xml:space="preserve">• </w:t>
      </w:r>
      <w:r>
        <w:t>即便当前只有三类身份，也建议保留“角色模板”概念，以便后续扩展更多岗位角色。</w:t>
      </w:r>
    </w:p>
    <w:p>
      <w:pPr>
        <w:ind w:left="340" w:hanging="255"/>
      </w:pPr>
      <w:r>
        <w:rPr>
          <w:b/>
        </w:rPr>
        <w:t xml:space="preserve">• </w:t>
      </w:r>
      <w:r>
        <w:t>已被用户绑定的角色，建议不允许物理删除；至少应在删除前检查绑定关系。</w:t>
      </w:r>
    </w:p>
    <w:p>
      <w:pPr>
        <w:ind w:left="340" w:hanging="255"/>
      </w:pPr>
      <w:r>
        <w:rPr>
          <w:b/>
        </w:rPr>
        <w:t xml:space="preserve">• </w:t>
      </w:r>
      <w:r>
        <w:t>角色权限保存后，建议即时生效；如有缓存，应同步刷新。</w:t>
      </w:r>
    </w:p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进入角色管理列表，查看已有角色模板。</w:t>
      </w:r>
    </w:p>
    <w:p>
      <w:pPr>
        <w:ind w:left="340" w:hanging="255"/>
      </w:pPr>
      <w:r>
        <w:rPr>
          <w:b/>
        </w:rPr>
        <w:t xml:space="preserve">• </w:t>
      </w:r>
      <w:r>
        <w:t>点击新增，录入角色基本信息并配置默认权限模板后保存。</w:t>
      </w:r>
    </w:p>
    <w:p>
      <w:pPr>
        <w:ind w:left="340" w:hanging="255"/>
      </w:pPr>
      <w:r>
        <w:rPr>
          <w:b/>
        </w:rPr>
        <w:t xml:space="preserve">• </w:t>
      </w:r>
      <w:r>
        <w:t>点击修改，对角色名称、状态及默认权限模板进行调整。</w:t>
      </w:r>
    </w:p>
    <w:p>
      <w:pPr>
        <w:ind w:left="340" w:hanging="255"/>
      </w:pPr>
      <w:r>
        <w:rPr>
          <w:b/>
        </w:rPr>
        <w:t xml:space="preserve">• </w:t>
      </w:r>
      <w:r>
        <w:t>点击分配/权限配置，维护角色的页面访问与按钮权限。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角色名称重复时不允许保存（建议项）。</w:t>
      </w:r>
    </w:p>
    <w:p>
      <w:pPr>
        <w:ind w:left="340" w:hanging="255"/>
      </w:pPr>
      <w:r>
        <w:rPr>
          <w:b/>
        </w:rPr>
        <w:t xml:space="preserve">• </w:t>
      </w:r>
      <w:r>
        <w:t>角色仍被有效用户绑定时，删除失败并提示先解绑或转移。</w:t>
      </w:r>
    </w:p>
    <w:p>
      <w:pPr>
        <w:ind w:left="340" w:hanging="255"/>
      </w:pPr>
      <w:r>
        <w:rPr>
          <w:b/>
        </w:rPr>
        <w:t xml:space="preserve">• </w:t>
      </w:r>
      <w:r>
        <w:t>权限树保存失败时，保留原角色权限模板并提示重试。</w:t>
      </w:r>
    </w:p>
    <w:p>
      <w:pPr>
        <w:pBdr>
          <w:top w:val="single" w:color="F4B183" w:sz="8" w:space="6"/>
          <w:left w:val="single" w:color="F4B183" w:sz="8" w:space="6"/>
          <w:bottom w:val="single" w:color="F4B183" w:sz="8" w:space="6"/>
          <w:right w:val="single" w:color="F4B183" w:sz="8" w:space="6"/>
        </w:pBdr>
        <w:shd w:val="clear" w:fill="FFF4E5"/>
        <w:spacing w:before="80" w:after="80"/>
        <w:ind w:left="113" w:right="113"/>
      </w:pPr>
      <w:r>
        <w:rPr>
          <w:b/>
        </w:rPr>
        <w:t>待明确：角色管理页的完整字段与操作按钮仍需后续补充；本节先按现有截图和用户说明固化为一期建议实现方式。</w:t>
      </w:r>
    </w:p>
    <w:p>
      <w:pPr>
        <w:pStyle w:val="4"/>
      </w:pPr>
      <w:r>
        <w:t>4.5 管理日志</w:t>
      </w:r>
    </w:p>
    <w:p>
      <w:r>
        <w:drawing>
          <wp:inline distT="0" distB="0" distL="114300" distR="114300">
            <wp:extent cx="5760720" cy="3707765"/>
            <wp:effectExtent l="0" t="0" r="508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9 管理日志列表页（实际原型截图）</w:t>
      </w:r>
    </w:p>
    <w:p>
      <w:pPr>
        <w:pStyle w:val="5"/>
      </w:pPr>
      <w:r>
        <w:t>4.5.1 页面定位</w:t>
      </w:r>
    </w:p>
    <w:p>
      <w:r>
        <w:t>记录系统关键操作，满足审计与追溯需要。</w:t>
      </w:r>
    </w:p>
    <w:p>
      <w:pPr>
        <w:pStyle w:val="5"/>
      </w:pPr>
      <w:r>
        <w:t>4.5.2 列表字段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序号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日志顺序号。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列表展示字段。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操作人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执行操作的账号或姓名。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来源：当前登录用户。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登录时间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当前原型字段名称。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建议后续统一为“操作时间”或补充分层。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操作内容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操作描述。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如新增、删除、权限分配等动作摘要。</w:t>
            </w:r>
          </w:p>
        </w:tc>
      </w:tr>
    </w:tbl>
    <w:p/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用户执行新增、修改、删除、权限分配、启停账号等动作后，系统写入日志。</w:t>
      </w:r>
    </w:p>
    <w:p>
      <w:pPr>
        <w:ind w:left="340" w:hanging="255"/>
      </w:pPr>
      <w:r>
        <w:rPr>
          <w:b/>
        </w:rPr>
        <w:t xml:space="preserve">• </w:t>
      </w:r>
      <w:r>
        <w:t>列表页支持搜索查看。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日志写入失败不应阻断主业务成功与否，但需记录系统异常日志（建议项）。</w:t>
      </w:r>
    </w:p>
    <w:p>
      <w:pPr>
        <w:ind w:left="340" w:hanging="255"/>
      </w:pPr>
      <w:r>
        <w:rPr>
          <w:b/>
        </w:rPr>
        <w:t xml:space="preserve">• </w:t>
      </w:r>
      <w:r>
        <w:t>如后续补充导出功能，应对导出权限与时间范围进行额外控制。当前暂不考虑导出。</w:t>
      </w:r>
    </w:p>
    <w:p>
      <w:pPr>
        <w:pStyle w:val="3"/>
      </w:pPr>
      <w:r>
        <w:t>5. 客户管理模块</w:t>
      </w:r>
    </w:p>
    <w:p>
      <w:r>
        <w:t>客户管理模块用于维护客户主档，并围绕客户建立风险评估、负债登记、合同管理、交易订单信息等一组关联数据。</w:t>
      </w:r>
    </w:p>
    <w:p>
      <w:pPr>
        <w:pStyle w:val="4"/>
      </w:pPr>
      <w:r>
        <w:t>5.1 页面结构</w:t>
      </w:r>
    </w:p>
    <w:p>
      <w:r>
        <w:drawing>
          <wp:inline distT="0" distB="0" distL="114300" distR="114300">
            <wp:extent cx="3474720" cy="2049780"/>
            <wp:effectExtent l="0" t="0" r="508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0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10 客户管理菜单结构（依据原型整理）</w:t>
      </w:r>
    </w:p>
    <w:p>
      <w:pPr>
        <w:ind w:left="340" w:hanging="255"/>
      </w:pPr>
      <w:r>
        <w:rPr>
          <w:b/>
        </w:rPr>
        <w:t xml:space="preserve">• </w:t>
      </w:r>
      <w:r>
        <w:t>客户管理：包含客户列表、客户新增、客户基本情况。</w:t>
      </w:r>
    </w:p>
    <w:p>
      <w:pPr>
        <w:ind w:left="340" w:hanging="255"/>
      </w:pPr>
      <w:r>
        <w:rPr>
          <w:b/>
        </w:rPr>
        <w:t xml:space="preserve">• </w:t>
      </w:r>
      <w:r>
        <w:t>客户风险综合评估：独立列表入口；与客户详情页子表为同一份数据。</w:t>
      </w:r>
    </w:p>
    <w:p>
      <w:pPr>
        <w:ind w:left="340" w:hanging="255"/>
      </w:pPr>
      <w:r>
        <w:rPr>
          <w:b/>
        </w:rPr>
        <w:t xml:space="preserve">• </w:t>
      </w:r>
      <w:r>
        <w:t>负债情况登记：独立列表入口；与客户详情页子表为同一份数据，双向同步。</w:t>
      </w:r>
    </w:p>
    <w:p>
      <w:pPr>
        <w:pBdr>
          <w:top w:val="single" w:color="BDD7EE" w:sz="8" w:space="6"/>
          <w:left w:val="single" w:color="BDD7EE" w:sz="8" w:space="6"/>
          <w:bottom w:val="single" w:color="BDD7EE" w:sz="8" w:space="6"/>
          <w:right w:val="single" w:color="BDD7EE" w:sz="8" w:space="6"/>
        </w:pBdr>
        <w:shd w:val="clear" w:fill="EEF5FD"/>
        <w:spacing w:before="80" w:after="80"/>
        <w:ind w:left="113" w:right="113"/>
      </w:pPr>
      <w:r>
        <w:rPr>
          <w:b/>
        </w:rPr>
        <w:t>确认：客户唯一标识已确认：统一社会信用代码 + 客户ID。</w:t>
      </w:r>
    </w:p>
    <w:p>
      <w:pPr>
        <w:pStyle w:val="4"/>
      </w:pPr>
      <w:r>
        <w:t>5.2 关键业务规则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规则项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客户名称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联系人名称。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企业名称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企业具体名称。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客户信息组成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联系人信息 + 企业信息组合。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风险评估来源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人工录入。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负债登记同步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客户详情页子表与独立“负债情况登记”列表为同一份数据，双向同步。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交易订单信息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当前先手工维护。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客户状态历史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当前至少包含：开始借款（具体时间）、已结清（具体时间）。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审核状态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后续补充，暂未明确完整流转口径。</w:t>
            </w:r>
          </w:p>
        </w:tc>
      </w:tr>
    </w:tbl>
    <w:p/>
    <w:p>
      <w:pPr>
        <w:pStyle w:val="4"/>
      </w:pPr>
      <w:r>
        <w:t>5.3 客户列表</w:t>
      </w:r>
    </w:p>
    <w:p>
      <w:r>
        <w:drawing>
          <wp:inline distT="0" distB="0" distL="114300" distR="114300">
            <wp:extent cx="5760720" cy="3491865"/>
            <wp:effectExtent l="0" t="0" r="508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11 客户列表页（依据原型整理）</w:t>
      </w:r>
    </w:p>
    <w:p>
      <w:pPr>
        <w:pStyle w:val="5"/>
      </w:pPr>
      <w:r>
        <w:t>5.3.1 页面定位</w:t>
      </w:r>
    </w:p>
    <w:p>
      <w:r>
        <w:t>作为客户主档的统一入口，支持查询、新增、导入档案、导出和状态历史查看。</w:t>
      </w:r>
    </w:p>
    <w:p>
      <w:pPr>
        <w:pStyle w:val="5"/>
      </w:pPr>
      <w:r>
        <w:t>5.3.2 查询与操作区</w:t>
      </w:r>
    </w:p>
    <w:p>
      <w:pPr>
        <w:ind w:left="340" w:hanging="255"/>
      </w:pPr>
      <w:r>
        <w:rPr>
          <w:b/>
        </w:rPr>
        <w:t xml:space="preserve">• </w:t>
      </w:r>
      <w:r>
        <w:t>搜索</w:t>
      </w:r>
    </w:p>
    <w:p>
      <w:pPr>
        <w:ind w:left="340" w:hanging="255"/>
      </w:pPr>
      <w:r>
        <w:rPr>
          <w:b/>
        </w:rPr>
        <w:t xml:space="preserve">• </w:t>
      </w:r>
      <w:r>
        <w:t>高级</w:t>
      </w:r>
    </w:p>
    <w:p>
      <w:pPr>
        <w:ind w:left="340" w:hanging="255"/>
      </w:pPr>
      <w:r>
        <w:rPr>
          <w:b/>
        </w:rPr>
        <w:t xml:space="preserve">• </w:t>
      </w:r>
      <w:r>
        <w:t>刷新</w:t>
      </w:r>
    </w:p>
    <w:p>
      <w:pPr>
        <w:ind w:left="340" w:hanging="255"/>
      </w:pPr>
      <w:r>
        <w:rPr>
          <w:b/>
        </w:rPr>
        <w:t xml:space="preserve">• </w:t>
      </w:r>
      <w:r>
        <w:t>新增</w:t>
      </w:r>
    </w:p>
    <w:p>
      <w:pPr>
        <w:ind w:left="340" w:hanging="255"/>
      </w:pPr>
      <w:r>
        <w:rPr>
          <w:b/>
        </w:rPr>
        <w:t xml:space="preserve">• </w:t>
      </w:r>
      <w:r>
        <w:t>导入档案</w:t>
      </w:r>
    </w:p>
    <w:p>
      <w:pPr>
        <w:ind w:left="340" w:hanging="255"/>
      </w:pPr>
      <w:r>
        <w:rPr>
          <w:b/>
        </w:rPr>
        <w:t xml:space="preserve">• </w:t>
      </w:r>
      <w:r>
        <w:t>导出</w:t>
      </w:r>
    </w:p>
    <w:p>
      <w:pPr>
        <w:pStyle w:val="5"/>
      </w:pPr>
      <w:r>
        <w:t>5.3.3 列表字段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客户ID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客户编号。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与统一社会信用代码组合唯一。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客户名称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联系人名称。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可点击进入客户基本情况。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联系方式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联系人手机号。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来源：客户主档。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企业名称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企业名称。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来源：客户主档。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统一社会信用代码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企业统一信用代码。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与客户ID组合唯一。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审核状态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当前审核进度。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完整值域待明确。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状态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客户状态。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已知包含开始借款、已结清。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推荐人/推荐人返点/服务费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商务字段。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来源：客户主档。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测试日期/测试额度/流量/综合评分/龙信商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风险评估摘要。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来源：风险评估子表。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垫付情况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垫付相关摘要。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口径待明确。</w:t>
            </w:r>
          </w:p>
        </w:tc>
      </w:tr>
    </w:tbl>
    <w:p/>
    <w:p>
      <w:pPr>
        <w:pStyle w:val="5"/>
      </w:pPr>
      <w:r>
        <w:t>5.3.4 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列表主数据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客户主档表。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风险摘要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客户风险评估表中的最新或汇总值。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状态历史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客户状态变更历史表。</w:t>
            </w:r>
          </w:p>
        </w:tc>
      </w:tr>
    </w:tbl>
    <w:p/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进入客户列表页，系统展示当前数据权限范围内的客户数据。</w:t>
      </w:r>
    </w:p>
    <w:p>
      <w:pPr>
        <w:ind w:left="340" w:hanging="255"/>
      </w:pPr>
      <w:r>
        <w:rPr>
          <w:b/>
        </w:rPr>
        <w:t xml:space="preserve">• </w:t>
      </w:r>
      <w:r>
        <w:t>点击客户名称，进入客户基本情况。</w:t>
      </w:r>
    </w:p>
    <w:p>
      <w:pPr>
        <w:ind w:left="340" w:hanging="255"/>
      </w:pPr>
      <w:r>
        <w:rPr>
          <w:b/>
        </w:rPr>
        <w:t xml:space="preserve">• </w:t>
      </w:r>
      <w:r>
        <w:t>点击“新增”，进入客户新增页。</w:t>
      </w:r>
    </w:p>
    <w:p>
      <w:pPr>
        <w:ind w:left="340" w:hanging="255"/>
      </w:pPr>
      <w:r>
        <w:rPr>
          <w:b/>
        </w:rPr>
        <w:t xml:space="preserve">• </w:t>
      </w:r>
      <w:r>
        <w:t>点击“导入档案”执行导入；点击“导出”导出当前查询结果。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当统一社会信用代码与客户ID组合重复时，不允许新增/导入。</w:t>
      </w:r>
    </w:p>
    <w:p>
      <w:pPr>
        <w:ind w:left="340" w:hanging="255"/>
      </w:pPr>
      <w:r>
        <w:rPr>
          <w:b/>
        </w:rPr>
        <w:t xml:space="preserve">• </w:t>
      </w:r>
      <w:r>
        <w:t>审核状态完整值域尚未明确；若前后端不一致，需以后端枚举为准。</w:t>
      </w:r>
    </w:p>
    <w:p>
      <w:pPr>
        <w:ind w:left="340" w:hanging="255"/>
      </w:pPr>
      <w:r>
        <w:rPr>
          <w:b/>
        </w:rPr>
        <w:t xml:space="preserve">• </w:t>
      </w:r>
      <w:r>
        <w:t>导入模板尚未明确，导入能力在未落地前建议标记为预留。</w:t>
      </w:r>
    </w:p>
    <w:p>
      <w:pPr>
        <w:pStyle w:val="4"/>
      </w:pPr>
      <w:r>
        <w:t>5.4 客户新增</w:t>
      </w:r>
    </w:p>
    <w:p>
      <w:r>
        <w:drawing>
          <wp:inline distT="0" distB="0" distL="114300" distR="114300">
            <wp:extent cx="5760720" cy="3780155"/>
            <wp:effectExtent l="0" t="0" r="508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12 客户新增页（依据原型整理）</w:t>
      </w:r>
    </w:p>
    <w:p>
      <w:pPr>
        <w:pStyle w:val="5"/>
      </w:pPr>
      <w:r>
        <w:t>5.4.1 页面定位</w:t>
      </w:r>
    </w:p>
    <w:p>
      <w:r>
        <w:t>在一个页面内完成客户主档、风险评估、负债情况和合同信息的初始录入。</w:t>
      </w:r>
    </w:p>
    <w:p>
      <w:pPr>
        <w:pStyle w:val="5"/>
      </w:pPr>
      <w:r>
        <w:t>5.4.2 区块结构</w:t>
      </w:r>
    </w:p>
    <w:p>
      <w:pPr>
        <w:ind w:left="340" w:hanging="255"/>
      </w:pPr>
      <w:r>
        <w:rPr>
          <w:b/>
        </w:rPr>
        <w:t xml:space="preserve">• </w:t>
      </w:r>
      <w:r>
        <w:t>基本信息</w:t>
      </w:r>
    </w:p>
    <w:p>
      <w:pPr>
        <w:ind w:left="340" w:hanging="255"/>
      </w:pPr>
      <w:r>
        <w:rPr>
          <w:b/>
        </w:rPr>
        <w:t xml:space="preserve">• </w:t>
      </w:r>
      <w:r>
        <w:t>客户风险综合评估</w:t>
      </w:r>
    </w:p>
    <w:p>
      <w:pPr>
        <w:ind w:left="340" w:hanging="255"/>
      </w:pPr>
      <w:r>
        <w:rPr>
          <w:b/>
        </w:rPr>
        <w:t xml:space="preserve">• </w:t>
      </w:r>
      <w:r>
        <w:t>负债情况登记</w:t>
      </w:r>
    </w:p>
    <w:p>
      <w:pPr>
        <w:ind w:left="340" w:hanging="255"/>
      </w:pPr>
      <w:r>
        <w:rPr>
          <w:b/>
        </w:rPr>
        <w:t xml:space="preserve">• </w:t>
      </w:r>
      <w:r>
        <w:t>合同管理</w:t>
      </w:r>
    </w:p>
    <w:p>
      <w:pPr>
        <w:pStyle w:val="5"/>
      </w:pPr>
      <w:r>
        <w:t>5.4.3 基本信息字段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姓名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联系人姓名。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联系人信息。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性别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男/女。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联系人信息。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客户资料原件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上传文件。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附件。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身份证号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联系人身份证号。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联系人信息。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出生年月/年龄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联系人信息。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年龄可自动计算。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税务登记是否正常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是/否。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企业信息。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企业名称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企业名称。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企业信息。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统一社会信用代码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企业唯一代码。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主键组成部分。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成立日期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企业成立时间。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企业信息。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手机号码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联系人手机号。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联系人信息。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经营地址/行业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企业经营信息。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企业信息。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开户行/银行开户账号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企业账户信息。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企业信息。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推荐人/推荐人返点/服务费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商务字段。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企业/商务信息。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客户状态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客户当前状态。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状态历史写入来源之一。</w:t>
            </w:r>
          </w:p>
        </w:tc>
      </w:tr>
    </w:tbl>
    <w:p/>
    <w:p>
      <w:pPr>
        <w:pStyle w:val="5"/>
      </w:pPr>
      <w:r>
        <w:t>5.4.4 子表区块字段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子表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风险评估子表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测试日期、测试额度、综合评分、龙信商。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人工录入；与独立风险评估列表同源。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负债情况子表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负债类型、负载总额、已垫还、剩余需还额度、每期金额、还款日、备注。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与独立负债登记列表同源。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合同管理子表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客户名称、公司名称、统一社会信用代码、合同编号、合同名称、合同附件、备注。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由客户页维护。</w:t>
            </w:r>
          </w:p>
        </w:tc>
      </w:tr>
    </w:tbl>
    <w:p/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点击“新增”进入页面，填写基本信息并按需新增风险评估、负债、合同子表记录。</w:t>
      </w:r>
    </w:p>
    <w:p>
      <w:pPr>
        <w:ind w:left="340" w:hanging="255"/>
      </w:pPr>
      <w:r>
        <w:rPr>
          <w:b/>
        </w:rPr>
        <w:t xml:space="preserve">• </w:t>
      </w:r>
      <w:r>
        <w:t>点击“保存”仅保存当前页面，点击“保存关闭”保存后返回列表。</w:t>
      </w:r>
    </w:p>
    <w:p>
      <w:pPr>
        <w:ind w:left="340" w:hanging="255"/>
      </w:pPr>
      <w:r>
        <w:rPr>
          <w:b/>
        </w:rPr>
        <w:t xml:space="preserve">• </w:t>
      </w:r>
      <w:r>
        <w:t>保存成功后生成客户主档，并同步写入相关子表数据。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必填字段缺失、主键重复、手机号或统一社会信用代码格式不合法时，保存失败。</w:t>
      </w:r>
    </w:p>
    <w:p>
      <w:pPr>
        <w:ind w:left="340" w:hanging="255"/>
      </w:pPr>
      <w:r>
        <w:rPr>
          <w:b/>
        </w:rPr>
        <w:t xml:space="preserve">• </w:t>
      </w:r>
      <w:r>
        <w:t>风险评估或负债子表明细填写不完整时，应定位到子表行并提示。</w:t>
      </w:r>
    </w:p>
    <w:p>
      <w:pPr>
        <w:ind w:left="340" w:hanging="255"/>
      </w:pPr>
      <w:r>
        <w:rPr>
          <w:b/>
        </w:rPr>
        <w:t xml:space="preserve">• </w:t>
      </w:r>
      <w:r>
        <w:t>附件上传失败时，不影响页面继续编辑，但不应提交成功。</w:t>
      </w:r>
    </w:p>
    <w:p>
      <w:pPr>
        <w:pStyle w:val="4"/>
      </w:pPr>
      <w:r>
        <w:t>5.5 客户基本情况</w:t>
      </w:r>
    </w:p>
    <w:p>
      <w:r>
        <w:drawing>
          <wp:inline distT="0" distB="0" distL="114300" distR="114300">
            <wp:extent cx="5760720" cy="4284345"/>
            <wp:effectExtent l="0" t="0" r="508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13 客户基本情况页（依据原型整理）</w:t>
      </w:r>
    </w:p>
    <w:p>
      <w:pPr>
        <w:pStyle w:val="5"/>
      </w:pPr>
      <w:r>
        <w:t>5.5.1 页面定位</w:t>
      </w:r>
    </w:p>
    <w:p>
      <w:r>
        <w:t>用于查看和维护客户完整档案信息，是客户主档的详情/编辑入口。</w:t>
      </w:r>
    </w:p>
    <w:p>
      <w:pPr>
        <w:pStyle w:val="5"/>
      </w:pPr>
      <w:r>
        <w:t>5.5.2 区块结构</w:t>
      </w:r>
    </w:p>
    <w:p>
      <w:pPr>
        <w:ind w:left="340" w:hanging="255"/>
      </w:pPr>
      <w:r>
        <w:rPr>
          <w:b/>
        </w:rPr>
        <w:t xml:space="preserve">• </w:t>
      </w:r>
      <w:r>
        <w:t>基本信息</w:t>
      </w:r>
    </w:p>
    <w:p>
      <w:pPr>
        <w:ind w:left="340" w:hanging="255"/>
      </w:pPr>
      <w:r>
        <w:rPr>
          <w:b/>
        </w:rPr>
        <w:t xml:space="preserve">• </w:t>
      </w:r>
      <w:r>
        <w:t>客户风险综合评估</w:t>
      </w:r>
    </w:p>
    <w:p>
      <w:pPr>
        <w:ind w:left="340" w:hanging="255"/>
      </w:pPr>
      <w:r>
        <w:rPr>
          <w:b/>
        </w:rPr>
        <w:t xml:space="preserve">• </w:t>
      </w:r>
      <w:r>
        <w:t>负债情况登记</w:t>
      </w:r>
    </w:p>
    <w:p>
      <w:pPr>
        <w:ind w:left="340" w:hanging="255"/>
      </w:pPr>
      <w:r>
        <w:rPr>
          <w:b/>
        </w:rPr>
        <w:t xml:space="preserve">• </w:t>
      </w:r>
      <w:r>
        <w:t>合同管理</w:t>
      </w:r>
    </w:p>
    <w:p>
      <w:pPr>
        <w:ind w:left="340" w:hanging="255"/>
      </w:pPr>
      <w:r>
        <w:rPr>
          <w:b/>
        </w:rPr>
        <w:t xml:space="preserve">• </w:t>
      </w:r>
      <w:r>
        <w:t>交易订单信息</w:t>
      </w:r>
    </w:p>
    <w:p>
      <w:pPr>
        <w:pStyle w:val="5"/>
      </w:pPr>
      <w:r>
        <w:t>5.5.3 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>
        <w:trPr>
          <w:jc w:val="center"/>
        </w:trPr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区块</w:t>
            </w:r>
          </w:p>
        </w:tc>
        <w:tc>
          <w:tcPr>
            <w:tcW w:w="4986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数据源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基本信息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客户主档表。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风险评估子表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客户风险评估表；与独立风险评估列表同源。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负债情况登记子表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客户负债表；与独立负债列表同源并双向同步。</w:t>
            </w:r>
          </w:p>
        </w:tc>
      </w:tr>
      <w:tr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合同管理子表</w:t>
            </w:r>
          </w:p>
        </w:tc>
        <w:tc>
          <w:tcPr>
            <w:tcW w:w="6048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客户合同表。</w:t>
            </w:r>
          </w:p>
        </w:tc>
      </w:tr>
      <w:tr>
        <w:trPr>
          <w:jc w:val="center"/>
        </w:trPr>
        <w:tc>
          <w:tcPr>
            <w:tcW w:w="3168" w:type="dxa"/>
            <w:vAlign w:val="center"/>
          </w:tcPr>
          <w:p>
            <w:pPr>
              <w:spacing w:before="40" w:after="40"/>
            </w:pPr>
            <w:r>
              <w:t>交易订单信息子表</w:t>
            </w:r>
          </w:p>
        </w:tc>
        <w:tc>
          <w:tcPr>
            <w:tcW w:w="6048" w:type="dxa"/>
            <w:vAlign w:val="center"/>
          </w:tcPr>
          <w:p>
            <w:pPr>
              <w:spacing w:before="40" w:after="40"/>
            </w:pPr>
            <w:r>
              <w:t>当前先手工维护；后续是否接入经营/订单模块待明确。</w:t>
            </w:r>
          </w:p>
        </w:tc>
      </w:tr>
    </w:tbl>
    <w:p/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从客户列表点击客户名称，进入客户基本情况页。</w:t>
      </w:r>
    </w:p>
    <w:p>
      <w:pPr>
        <w:ind w:left="340" w:hanging="255"/>
      </w:pPr>
      <w:r>
        <w:rPr>
          <w:b/>
        </w:rPr>
        <w:t xml:space="preserve">• </w:t>
      </w:r>
      <w:r>
        <w:t>点击“修改”进入编辑态，对基本信息和各子表进行维护。</w:t>
      </w:r>
    </w:p>
    <w:p>
      <w:pPr>
        <w:ind w:left="340" w:hanging="255"/>
      </w:pPr>
      <w:r>
        <w:rPr>
          <w:b/>
        </w:rPr>
        <w:t xml:space="preserve">• </w:t>
      </w:r>
      <w:r>
        <w:t>点击“导出”导出当前客户档案信息。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若客户已被其他业务模块引用，涉及主键修改时需校验关联关系；具体规则待后续补充。</w:t>
      </w:r>
    </w:p>
    <w:p>
      <w:pPr>
        <w:ind w:left="340" w:hanging="255"/>
      </w:pPr>
      <w:r>
        <w:rPr>
          <w:b/>
        </w:rPr>
        <w:t xml:space="preserve">• </w:t>
      </w:r>
      <w:r>
        <w:t>交易订单信息当前为手工维护，如后续接入订单模块，应停止手工修改并改为只读展示。</w:t>
      </w:r>
    </w:p>
    <w:p>
      <w:pPr>
        <w:pStyle w:val="4"/>
      </w:pPr>
      <w:r>
        <w:t>5.6 客户风险综合评估</w:t>
      </w:r>
    </w:p>
    <w:p>
      <w:r>
        <w:drawing>
          <wp:inline distT="0" distB="0" distL="114300" distR="114300">
            <wp:extent cx="5760720" cy="3491865"/>
            <wp:effectExtent l="0" t="0" r="508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14 客户风险综合评估列表页（依据原型整理）</w:t>
      </w:r>
    </w:p>
    <w:p>
      <w:pPr>
        <w:pStyle w:val="5"/>
      </w:pPr>
      <w:r>
        <w:t>5.6.1 页面定位</w:t>
      </w:r>
    </w:p>
    <w:p>
      <w:r>
        <w:t>统一管理客户风险评估数据，便于独立检索和维护。</w:t>
      </w:r>
    </w:p>
    <w:p>
      <w:pPr>
        <w:pStyle w:val="5"/>
      </w:pPr>
      <w:r>
        <w:t>5.6.2 列表字段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客户ID/客户名称/联系电话/公司名称/统一社会信用代码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客户关联信息。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来源：客户主档。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所属行业/经营地址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客户经营信息。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来源：客户主档。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测试日期/测试额度/流量/综合评分/龙信商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风险评估信息。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人工录入。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操作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编辑、删除等。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具体按钮后续可继续细化。</w:t>
            </w:r>
          </w:p>
        </w:tc>
      </w:tr>
    </w:tbl>
    <w:p/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进入列表页后，展示当前权限范围内的风险评估记录。</w:t>
      </w:r>
    </w:p>
    <w:p>
      <w:pPr>
        <w:ind w:left="340" w:hanging="255"/>
      </w:pPr>
      <w:r>
        <w:rPr>
          <w:b/>
        </w:rPr>
        <w:t xml:space="preserve">• </w:t>
      </w:r>
      <w:r>
        <w:t>点击新增/编辑后，保存的记录需同步到对应客户详情页子表。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如果客户不存在，不允许新增风险评估记录。</w:t>
      </w:r>
    </w:p>
    <w:p>
      <w:pPr>
        <w:ind w:left="340" w:hanging="255"/>
      </w:pPr>
      <w:r>
        <w:rPr>
          <w:b/>
        </w:rPr>
        <w:t xml:space="preserve">• </w:t>
      </w:r>
      <w:r>
        <w:t>测试日期、测试额度等关键字段缺失时不允许保存。</w:t>
      </w:r>
    </w:p>
    <w:p>
      <w:pPr>
        <w:pStyle w:val="4"/>
      </w:pPr>
      <w:r>
        <w:t>5.7 负债情况登记</w:t>
      </w:r>
    </w:p>
    <w:p>
      <w:r>
        <w:drawing>
          <wp:inline distT="0" distB="0" distL="114300" distR="114300">
            <wp:extent cx="5760720" cy="3491865"/>
            <wp:effectExtent l="0" t="0" r="508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15 负债情况登记列表页（依据原型整理）</w:t>
      </w:r>
    </w:p>
    <w:p>
      <w:pPr>
        <w:pStyle w:val="5"/>
      </w:pPr>
      <w:r>
        <w:t>5.7.1 页面定位</w:t>
      </w:r>
    </w:p>
    <w:p>
      <w:r>
        <w:t>统一管理客户负债台账，并与客户详情页的负债情况子表保持同源双向同步。</w:t>
      </w:r>
    </w:p>
    <w:p>
      <w:pPr>
        <w:pStyle w:val="5"/>
      </w:pPr>
      <w:r>
        <w:t>5.7.2 查询区与字段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744"/>
        <w:gridCol w:w="2880"/>
      </w:tblGrid>
      <w:tr>
        <w:trPr>
          <w:jc w:val="center"/>
        </w:trPr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3324" w:type="dxa"/>
            <w:shd w:val="clear" w:color="auto" w:fill="D9E7F7"/>
          </w:tcPr>
          <w:p>
            <w:pPr>
              <w:jc w:val="center"/>
            </w:pPr>
            <w:r>
              <w:rPr>
                <w:b/>
              </w:rPr>
              <w:t>来源/规则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查询条件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客户名称、联系电话、负债类型、公司名称。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支持重置、检索。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列表主字段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客户ID、客户名称、联系电话、公司名称、统一社会信用代码。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来源：客户主档。</w:t>
            </w:r>
          </w:p>
        </w:tc>
      </w:tr>
      <w:tr>
        <w:trPr>
          <w:jc w:val="center"/>
        </w:trPr>
        <w:tc>
          <w:tcPr>
            <w:tcW w:w="2592" w:type="dxa"/>
            <w:vAlign w:val="center"/>
          </w:tcPr>
          <w:p>
            <w:pPr>
              <w:spacing w:before="40" w:after="40"/>
            </w:pPr>
            <w:r>
              <w:t>负债字段</w:t>
            </w:r>
          </w:p>
        </w:tc>
        <w:tc>
          <w:tcPr>
            <w:tcW w:w="3744" w:type="dxa"/>
            <w:vAlign w:val="center"/>
          </w:tcPr>
          <w:p>
            <w:pPr>
              <w:spacing w:before="40" w:after="40"/>
            </w:pPr>
            <w:r>
              <w:t>负债类型、负载总额、总需还、已垫还、剩余需还额度、每期金额、还款日、备注。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40"/>
            </w:pPr>
            <w:r>
              <w:t>来源：负债表。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操作</w:t>
            </w:r>
          </w:p>
        </w:tc>
        <w:tc>
          <w:tcPr>
            <w:tcW w:w="3744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编辑、删除。</w:t>
            </w:r>
          </w:p>
        </w:tc>
        <w:tc>
          <w:tcPr>
            <w:tcW w:w="2880" w:type="dxa"/>
            <w:shd w:val="clear" w:color="auto" w:fill="F7FBFF"/>
            <w:vAlign w:val="center"/>
          </w:tcPr>
          <w:p>
            <w:pPr>
              <w:spacing w:before="40" w:after="40"/>
            </w:pPr>
            <w:r>
              <w:t>与客户详情子表同源。</w:t>
            </w:r>
          </w:p>
        </w:tc>
      </w:tr>
    </w:tbl>
    <w:p/>
    <w:p>
      <w:pPr>
        <w:pStyle w:val="5"/>
      </w:pPr>
      <w:r>
        <w:t>5.7.3 同步规则</w:t>
      </w:r>
    </w:p>
    <w:p>
      <w:pPr>
        <w:ind w:left="340" w:hanging="255"/>
      </w:pPr>
      <w:r>
        <w:rPr>
          <w:b/>
        </w:rPr>
        <w:t xml:space="preserve">• </w:t>
      </w:r>
      <w:r>
        <w:t>在负债情况登记独立列表页新增/编辑/删除记录后，客户基本情况页对应子表需实时可见。</w:t>
      </w:r>
    </w:p>
    <w:p>
      <w:pPr>
        <w:ind w:left="340" w:hanging="255"/>
      </w:pPr>
      <w:r>
        <w:rPr>
          <w:b/>
        </w:rPr>
        <w:t xml:space="preserve">• </w:t>
      </w:r>
      <w:r>
        <w:t>在客户基本情况页子表中新增/编辑/删除记录后，负债情况登记独立列表需实时可见。</w:t>
      </w:r>
    </w:p>
    <w:p>
      <w:pPr>
        <w:ind w:left="340" w:hanging="255"/>
      </w:pPr>
      <w:r>
        <w:rPr>
          <w:b/>
        </w:rPr>
        <w:t xml:space="preserve">• </w:t>
      </w:r>
      <w:r>
        <w:t>两个入口本质操作同一份数据，禁止出现“双份数据、手工合并”的实现方式。</w:t>
      </w:r>
    </w:p>
    <w:p>
      <w:pPr>
        <w:pStyle w:val="6"/>
      </w:pPr>
      <w:r>
        <w:t>正常流</w:t>
      </w:r>
    </w:p>
    <w:p>
      <w:pPr>
        <w:ind w:left="340" w:hanging="255"/>
      </w:pPr>
      <w:r>
        <w:rPr>
          <w:b/>
        </w:rPr>
        <w:t xml:space="preserve">• </w:t>
      </w:r>
      <w:r>
        <w:t>在列表页按客户名称、联系电话、负债类型、公司名称检索后查看负债台账。</w:t>
      </w:r>
    </w:p>
    <w:p>
      <w:pPr>
        <w:ind w:left="340" w:hanging="255"/>
      </w:pPr>
      <w:r>
        <w:rPr>
          <w:b/>
        </w:rPr>
        <w:t xml:space="preserve">• </w:t>
      </w:r>
      <w:r>
        <w:t>点击新增/编辑保存后，写入统一的客户负债表。</w:t>
      </w:r>
    </w:p>
    <w:p>
      <w:pPr>
        <w:pStyle w:val="6"/>
      </w:pPr>
      <w:r>
        <w:t>异常流</w:t>
      </w:r>
    </w:p>
    <w:p>
      <w:pPr>
        <w:ind w:left="340" w:hanging="255"/>
      </w:pPr>
      <w:r>
        <w:rPr>
          <w:b/>
        </w:rPr>
        <w:t xml:space="preserve">• </w:t>
      </w:r>
      <w:r>
        <w:t>若客户不存在，则不允许保存负债记录。</w:t>
      </w:r>
    </w:p>
    <w:p>
      <w:pPr>
        <w:ind w:left="340" w:hanging="255"/>
      </w:pPr>
      <w:r>
        <w:rPr>
          <w:b/>
        </w:rPr>
        <w:t xml:space="preserve">• </w:t>
      </w:r>
      <w:r>
        <w:t>若总需还、已垫还、剩余需还额度存在逻辑不一致，建议后端按公式校验并返回错误。</w:t>
      </w:r>
    </w:p>
    <w:p>
      <w:pPr>
        <w:pStyle w:val="3"/>
      </w:pPr>
      <w:r>
        <w:t>6. 待明确清单（系统管理 / 客户管理）</w:t>
      </w:r>
    </w:p>
    <w:p>
      <w:pPr>
        <w:ind w:left="340" w:hanging="255"/>
      </w:pPr>
      <w:r>
        <w:rPr>
          <w:b/>
        </w:rPr>
        <w:t xml:space="preserve">• </w:t>
      </w:r>
      <w:r>
        <w:t>系统用户导入模板字段与校验规则。</w:t>
      </w:r>
    </w:p>
    <w:p>
      <w:pPr>
        <w:ind w:left="340" w:hanging="255"/>
      </w:pPr>
      <w:r>
        <w:rPr>
          <w:b/>
        </w:rPr>
        <w:t xml:space="preserve">• </w:t>
      </w:r>
      <w:r>
        <w:t>角色管理页的完整字段、完整按钮清单和删除限制细则。</w:t>
      </w:r>
    </w:p>
    <w:p>
      <w:pPr>
        <w:ind w:left="340" w:hanging="255"/>
      </w:pPr>
      <w:r>
        <w:rPr>
          <w:b/>
        </w:rPr>
        <w:t xml:space="preserve">• </w:t>
      </w:r>
      <w:r>
        <w:t>组织同步的上游来源与同步策略。</w:t>
      </w:r>
    </w:p>
    <w:p>
      <w:pPr>
        <w:ind w:left="340" w:hanging="255"/>
      </w:pPr>
      <w:r>
        <w:rPr>
          <w:b/>
        </w:rPr>
        <w:t xml:space="preserve">• </w:t>
      </w:r>
      <w:r>
        <w:t>客户审核状态的完整枚举值与流转规则。</w:t>
      </w:r>
    </w:p>
    <w:p>
      <w:pPr>
        <w:ind w:left="340" w:hanging="255"/>
      </w:pPr>
      <w:r>
        <w:rPr>
          <w:b/>
        </w:rPr>
        <w:t xml:space="preserve">• </w:t>
      </w:r>
      <w:r>
        <w:t>客户导入模板字段与校验规则。</w:t>
      </w:r>
    </w:p>
    <w:p>
      <w:pPr>
        <w:ind w:left="340" w:hanging="255"/>
      </w:pPr>
      <w:r>
        <w:rPr>
          <w:b/>
        </w:rPr>
        <w:t xml:space="preserve">• </w:t>
      </w:r>
      <w:r>
        <w:t>交易订单信息是否在后续对接经营/订单模块。</w:t>
      </w:r>
    </w:p>
    <w:p>
      <w:pPr>
        <w:ind w:left="340" w:hanging="255"/>
      </w:pPr>
      <w:r>
        <w:rPr>
          <w:b/>
        </w:rPr>
        <w:t xml:space="preserve">• </w:t>
      </w:r>
      <w:r>
        <w:t>垫付情况、流量、龙信商等字段的精确定义与计算口径。</w:t>
      </w:r>
    </w:p>
    <w:p>
      <w:pPr>
        <w:ind w:left="340" w:hanging="255"/>
      </w:pPr>
      <w:r>
        <w:rPr>
          <w:b/>
        </w:rPr>
        <w:t xml:space="preserve">• </w:t>
      </w:r>
      <w:r>
        <w:t>若后续接入更多模块，需补充按模块维度的数据权限范围定义。</w:t>
      </w:r>
    </w:p>
    <w:p>
      <w:pPr>
        <w:pBdr>
          <w:top w:val="single" w:color="BDD7EE" w:sz="8" w:space="6"/>
          <w:left w:val="single" w:color="BDD7EE" w:sz="8" w:space="6"/>
          <w:bottom w:val="single" w:color="BDD7EE" w:sz="8" w:space="6"/>
          <w:right w:val="single" w:color="BDD7EE" w:sz="8" w:space="6"/>
        </w:pBdr>
        <w:shd w:val="clear" w:fill="EEF5FD"/>
        <w:spacing w:before="80" w:after="80"/>
        <w:ind w:left="113" w:right="113"/>
      </w:pPr>
      <w:r>
        <w:rPr>
          <w:b w:val="0"/>
        </w:rPr>
        <w:t>建议：本文已尽量基于现有原型和确认信息做到“可落地表达”；待明确项未拍板前，建议开发预留扩展字段和权限接口。</w:t>
      </w:r>
    </w:p>
    <w:p>
      <w:r>
        <w:br w:type="page"/>
      </w:r>
    </w:p>
    <w:p>
      <w:pPr>
        <w:pStyle w:val="3"/>
      </w:pPr>
      <w:r>
        <w:t>7. 人事管理模块</w:t>
      </w:r>
    </w:p>
    <w:p>
      <w:r>
        <w:rPr>
          <w:rFonts w:ascii="Noto Sans CJK SC" w:hAnsi="Noto Sans CJK SC" w:eastAsia="Noto Sans CJK SC"/>
        </w:rPr>
        <w:t>本章基于当前原型截图，仅先覆盖人事管理中的三个二级模块：人事异动-转正、人事异动-调薪、工资管理。对于原型未完整体现、但开发实现必须明确的规则，文中以“建议”或“待明确”标注。</w:t>
      </w:r>
    </w:p>
    <w:p>
      <w:pPr>
        <w:pStyle w:val="4"/>
      </w:pPr>
      <w:r>
        <w:t>7.1 模块定位与范围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人事异动-转正：用于承接员工转正申请、审批、档案同步、预警提醒与记录留痕。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人事异动-调薪：用于发起并审批员工调薪申请，沉淀调薪依据、审批意见与附件材料。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工资管理：当前原型更像“工资标准配置 / 工资规则台账”，用于维护薪资标准记录，供调薪及员工工资信息引用。</w:t>
      </w:r>
    </w:p>
    <w:p>
      <w:pPr>
        <w:pStyle w:val="4"/>
      </w:pPr>
      <w:r>
        <w:t>7.2 当前菜单结构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rPr>
          <w:jc w:val="center"/>
        </w:trPr>
        <w:tc>
          <w:tcPr>
            <w:tcW w:w="3324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rPr>
                <w:b/>
              </w:rPr>
              <w:t>一级模块</w:t>
            </w:r>
          </w:p>
        </w:tc>
        <w:tc>
          <w:tcPr>
            <w:tcW w:w="3324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rPr>
                <w:b/>
              </w:rPr>
              <w:t>二级模块</w:t>
            </w:r>
          </w:p>
        </w:tc>
        <w:tc>
          <w:tcPr>
            <w:tcW w:w="3324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rPr>
          <w:jc w:val="center"/>
        </w:trPr>
        <w:tc>
          <w:tcPr>
            <w:tcW w:w="3324" w:type="dxa"/>
          </w:tcPr>
          <w:p>
            <w:r>
              <w:t>人事管理</w:t>
            </w:r>
          </w:p>
        </w:tc>
        <w:tc>
          <w:tcPr>
            <w:tcW w:w="3324" w:type="dxa"/>
          </w:tcPr>
          <w:p>
            <w:r>
              <w:t>人事异动-转正</w:t>
            </w:r>
          </w:p>
        </w:tc>
        <w:tc>
          <w:tcPr>
            <w:tcW w:w="3324" w:type="dxa"/>
          </w:tcPr>
          <w:p>
            <w:r>
              <w:t>转正申请列表 + 转正申请表单（处理单）</w:t>
            </w:r>
          </w:p>
        </w:tc>
      </w:tr>
      <w:tr>
        <w:trPr>
          <w:jc w:val="center"/>
        </w:trPr>
        <w:tc>
          <w:tcPr>
            <w:tcW w:w="3324" w:type="dxa"/>
          </w:tcPr>
          <w:p>
            <w:r>
              <w:t>人事管理</w:t>
            </w:r>
          </w:p>
        </w:tc>
        <w:tc>
          <w:tcPr>
            <w:tcW w:w="3324" w:type="dxa"/>
          </w:tcPr>
          <w:p>
            <w:r>
              <w:t>人事异动-调薪</w:t>
            </w:r>
          </w:p>
        </w:tc>
        <w:tc>
          <w:tcPr>
            <w:tcW w:w="3324" w:type="dxa"/>
          </w:tcPr>
          <w:p>
            <w:r>
              <w:t>调薪申请列表 + 调薪申请表单（处理单）</w:t>
            </w:r>
          </w:p>
        </w:tc>
      </w:tr>
      <w:tr>
        <w:trPr>
          <w:jc w:val="center"/>
        </w:trPr>
        <w:tc>
          <w:tcPr>
            <w:tcW w:w="3324" w:type="dxa"/>
          </w:tcPr>
          <w:p>
            <w:r>
              <w:t>人事管理</w:t>
            </w:r>
          </w:p>
        </w:tc>
        <w:tc>
          <w:tcPr>
            <w:tcW w:w="3324" w:type="dxa"/>
          </w:tcPr>
          <w:p>
            <w:r>
              <w:t>工资管理</w:t>
            </w:r>
          </w:p>
        </w:tc>
        <w:tc>
          <w:tcPr>
            <w:tcW w:w="3324" w:type="dxa"/>
          </w:tcPr>
          <w:p>
            <w:r>
              <w:t>工资标准列表；新增/编辑原型待补齐</w:t>
            </w:r>
          </w:p>
        </w:tc>
      </w:tr>
    </w:tbl>
    <w:p>
      <w:pPr>
        <w:pStyle w:val="4"/>
      </w:pPr>
      <w:r>
        <w:t>7.3 人事异动-转正</w:t>
      </w:r>
    </w:p>
    <w:p>
      <w:pPr>
        <w:pStyle w:val="5"/>
      </w:pPr>
      <w:r>
        <w:t>7.3.1 页面结构与原型配图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入口页面：转正申请列表，分为“我创建的 / 全部”两个视角。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详情页面：人事转正申请处理单，支持关闭、保存、保存并关闭、提交。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侧边区：提交路径、部门审核、辅助办文（待办通知 / 保持关注）。</w:t>
      </w:r>
    </w:p>
    <w:p>
      <w:pPr>
        <w:jc w:val="center"/>
      </w:pPr>
      <w:r>
        <w:drawing>
          <wp:inline distT="0" distB="0" distL="114300" distR="114300">
            <wp:extent cx="6309360" cy="3434715"/>
            <wp:effectExtent l="0" t="0" r="15240" b="196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10 转正申请列表（依据原型截图整理的结构示意）</w:t>
      </w:r>
    </w:p>
    <w:p>
      <w:pPr>
        <w:jc w:val="center"/>
      </w:pPr>
      <w:r>
        <w:drawing>
          <wp:inline distT="0" distB="0" distL="114300" distR="114300">
            <wp:extent cx="6309360" cy="4150360"/>
            <wp:effectExtent l="0" t="0" r="15240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11 人事转正申请表（依据原型截图整理的结构示意）</w:t>
      </w:r>
    </w:p>
    <w:p>
      <w:pPr>
        <w:pStyle w:val="5"/>
      </w:pPr>
      <w:r>
        <w:t>7.3.2 列表页（转正申请）</w:t>
      </w:r>
    </w:p>
    <w:p>
      <w:r>
        <w:rPr>
          <w:rFonts w:ascii="Noto Sans CJK SC" w:hAnsi="Noto Sans CJK SC" w:eastAsia="Noto Sans CJK SC"/>
        </w:rPr>
        <w:t>页面定位：承接转正申请单据的创建、查看、筛选与导出。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页签：我创建的、全部。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顶部动作：搜索、高级、刷新、视图切换、新增、导出。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列表字段：序号、申请事由、转正人员、职位、入职日期、预计转正日期、申请人、申请部门、申请日期、状态。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默认视图建议：进入页面后默认落在“我创建的”；具备管理权限的用户可切换到“全部”。</w:t>
      </w:r>
    </w:p>
    <w:p>
      <w:pPr>
        <w:pStyle w:val="6"/>
      </w:pPr>
      <w:r>
        <w:t>列表页关键要素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rPr>
          <w:jc w:val="center"/>
        </w:trPr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字段/要素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当前原型表现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数据来源 / 回填逻辑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备注 / 风险点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我创建的</w:t>
            </w:r>
          </w:p>
        </w:tc>
        <w:tc>
          <w:tcPr>
            <w:tcW w:w="2493" w:type="dxa"/>
          </w:tcPr>
          <w:p>
            <w:r>
              <w:t>仅查看当前登录人发起的转正申请</w:t>
            </w:r>
          </w:p>
        </w:tc>
        <w:tc>
          <w:tcPr>
            <w:tcW w:w="2493" w:type="dxa"/>
          </w:tcPr>
          <w:p>
            <w:r>
              <w:t>流程实例表按发起人=user_id过滤</w:t>
            </w:r>
          </w:p>
        </w:tc>
        <w:tc>
          <w:tcPr>
            <w:tcW w:w="2493" w:type="dxa"/>
          </w:tcPr>
          <w:p>
            <w:r>
              <w:t>与数据权限无冲突时优先使用本人过滤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全部</w:t>
            </w:r>
          </w:p>
        </w:tc>
        <w:tc>
          <w:tcPr>
            <w:tcW w:w="2493" w:type="dxa"/>
          </w:tcPr>
          <w:p>
            <w:r>
              <w:t>查看当前权限范围内全部转正申请</w:t>
            </w:r>
          </w:p>
        </w:tc>
        <w:tc>
          <w:tcPr>
            <w:tcW w:w="2493" w:type="dxa"/>
          </w:tcPr>
          <w:p>
            <w:r>
              <w:t>流程实例表 + 数据权限范围</w:t>
            </w:r>
          </w:p>
        </w:tc>
        <w:tc>
          <w:tcPr>
            <w:tcW w:w="2493" w:type="dxa"/>
          </w:tcPr>
          <w:p>
            <w:r>
              <w:t>部门管理员可看本部门；超级管理员可看全部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新增</w:t>
            </w:r>
          </w:p>
        </w:tc>
        <w:tc>
          <w:tcPr>
            <w:tcW w:w="2493" w:type="dxa"/>
          </w:tcPr>
          <w:p>
            <w:r>
              <w:t>进入转正申请表单</w:t>
            </w:r>
          </w:p>
        </w:tc>
        <w:tc>
          <w:tcPr>
            <w:tcW w:w="2493" w:type="dxa"/>
          </w:tcPr>
          <w:p>
            <w:r>
              <w:t>新建流程实例 + 表单主表</w:t>
            </w:r>
          </w:p>
        </w:tc>
        <w:tc>
          <w:tcPr>
            <w:tcW w:w="2493" w:type="dxa"/>
          </w:tcPr>
          <w:p>
            <w:r>
              <w:t>单号建议系统生成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导出</w:t>
            </w:r>
          </w:p>
        </w:tc>
        <w:tc>
          <w:tcPr>
            <w:tcW w:w="2493" w:type="dxa"/>
          </w:tcPr>
          <w:p>
            <w:r>
              <w:t>导出当前筛选结果</w:t>
            </w:r>
          </w:p>
        </w:tc>
        <w:tc>
          <w:tcPr>
            <w:tcW w:w="2493" w:type="dxa"/>
          </w:tcPr>
          <w:p>
            <w:r>
              <w:t>列表查询结果集</w:t>
            </w:r>
          </w:p>
        </w:tc>
        <w:tc>
          <w:tcPr>
            <w:tcW w:w="2493" w:type="dxa"/>
          </w:tcPr>
          <w:p>
            <w:r>
              <w:t>导出模板字段待与业务方确认</w:t>
            </w:r>
          </w:p>
        </w:tc>
      </w:tr>
    </w:tbl>
    <w:p>
      <w:pPr>
        <w:pStyle w:val="5"/>
      </w:pPr>
      <w:r>
        <w:t>7.3.3 处理单（人事转正申请表）</w:t>
      </w:r>
    </w:p>
    <w:p>
      <w:r>
        <w:rPr>
          <w:rFonts w:ascii="Noto Sans CJK SC" w:hAnsi="Noto Sans CJK SC" w:eastAsia="Noto Sans CJK SC"/>
        </w:rPr>
        <w:t>页面定位：发起转正申请并承接全流程审批意见留痕。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头部状态区：当前状态、业务单编号、关闭、保存、保存并关闭、提交。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基础信息区：申请部门、申请时间、申请人、联系电话、申请事由、转正人员、职位、入职日期、预计转正日期。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正文区：自我评价 / 成长 / 不足 / 发展建议等文本域。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审批意见区：拟稿意见、人事审批意见、公司审批意见、行政审批意见。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附件区：添加文件、删除文件、另存文件，附件表字段包含序号、文件名、文件大小、上传时间、上传人、操作。</w:t>
      </w:r>
    </w:p>
    <w:p>
      <w:pPr>
        <w:pStyle w:val="6"/>
      </w:pPr>
      <w:r>
        <w:t>处理单关键字段与回填关系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rPr>
          <w:jc w:val="center"/>
        </w:trPr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字段/要素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当前原型表现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数据来源 / 回填逻辑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备注 / 风险点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申请部门</w:t>
            </w:r>
          </w:p>
        </w:tc>
        <w:tc>
          <w:tcPr>
            <w:tcW w:w="2493" w:type="dxa"/>
          </w:tcPr>
          <w:p>
            <w:r>
              <w:t>只读回显</w:t>
            </w:r>
          </w:p>
        </w:tc>
        <w:tc>
          <w:tcPr>
            <w:tcW w:w="2493" w:type="dxa"/>
          </w:tcPr>
          <w:p>
            <w:r>
              <w:t>当前登录用户对应的员工档案 / 组织管理</w:t>
            </w:r>
          </w:p>
        </w:tc>
        <w:tc>
          <w:tcPr>
            <w:tcW w:w="2493" w:type="dxa"/>
          </w:tcPr>
          <w:p>
            <w:r>
              <w:t>建议发起时自动带出，不允许手工修改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申请时间</w:t>
            </w:r>
          </w:p>
        </w:tc>
        <w:tc>
          <w:tcPr>
            <w:tcW w:w="2493" w:type="dxa"/>
          </w:tcPr>
          <w:p>
            <w:r>
              <w:t>只读回显</w:t>
            </w:r>
          </w:p>
        </w:tc>
        <w:tc>
          <w:tcPr>
            <w:tcW w:w="2493" w:type="dxa"/>
          </w:tcPr>
          <w:p>
            <w:r>
              <w:t>系统当前时间</w:t>
            </w:r>
          </w:p>
        </w:tc>
        <w:tc>
          <w:tcPr>
            <w:tcW w:w="2493" w:type="dxa"/>
          </w:tcPr>
          <w:p>
            <w:r>
              <w:t>保存草稿后固定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申请人</w:t>
            </w:r>
          </w:p>
        </w:tc>
        <w:tc>
          <w:tcPr>
            <w:tcW w:w="2493" w:type="dxa"/>
          </w:tcPr>
          <w:p>
            <w:r>
              <w:t>只读回显</w:t>
            </w:r>
          </w:p>
        </w:tc>
        <w:tc>
          <w:tcPr>
            <w:tcW w:w="2493" w:type="dxa"/>
          </w:tcPr>
          <w:p>
            <w:r>
              <w:t>当前登录用户对应员工名称</w:t>
            </w:r>
          </w:p>
        </w:tc>
        <w:tc>
          <w:tcPr>
            <w:tcW w:w="2493" w:type="dxa"/>
          </w:tcPr>
          <w:p>
            <w:r>
              <w:t>与登录账号绑定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联系电话</w:t>
            </w:r>
          </w:p>
        </w:tc>
        <w:tc>
          <w:tcPr>
            <w:tcW w:w="2493" w:type="dxa"/>
          </w:tcPr>
          <w:p>
            <w:r>
              <w:t>只读回显</w:t>
            </w:r>
          </w:p>
        </w:tc>
        <w:tc>
          <w:tcPr>
            <w:tcW w:w="2493" w:type="dxa"/>
          </w:tcPr>
          <w:p>
            <w:r>
              <w:t>员工档案手机号</w:t>
            </w:r>
          </w:p>
        </w:tc>
        <w:tc>
          <w:tcPr>
            <w:tcW w:w="2493" w:type="dxa"/>
          </w:tcPr>
          <w:p>
            <w:r>
              <w:t>无手机号时允许人工补录或提示完善档案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申请事由</w:t>
            </w:r>
          </w:p>
        </w:tc>
        <w:tc>
          <w:tcPr>
            <w:tcW w:w="2493" w:type="dxa"/>
          </w:tcPr>
          <w:p>
            <w:r>
              <w:t>文本输入</w:t>
            </w:r>
          </w:p>
        </w:tc>
        <w:tc>
          <w:tcPr>
            <w:tcW w:w="2493" w:type="dxa"/>
          </w:tcPr>
          <w:p>
            <w:r>
              <w:t>表单主表人工填写</w:t>
            </w:r>
          </w:p>
        </w:tc>
        <w:tc>
          <w:tcPr>
            <w:tcW w:w="2493" w:type="dxa"/>
          </w:tcPr>
          <w:p>
            <w:r>
              <w:t>原型为大文本框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转正人员</w:t>
            </w:r>
          </w:p>
        </w:tc>
        <w:tc>
          <w:tcPr>
            <w:tcW w:w="2493" w:type="dxa"/>
          </w:tcPr>
          <w:p>
            <w:r>
              <w:t>默认带入申请人，可修改</w:t>
            </w:r>
          </w:p>
        </w:tc>
        <w:tc>
          <w:tcPr>
            <w:tcW w:w="2493" w:type="dxa"/>
          </w:tcPr>
          <w:p>
            <w:r>
              <w:t>员工档案</w:t>
            </w:r>
          </w:p>
        </w:tc>
        <w:tc>
          <w:tcPr>
            <w:tcW w:w="2493" w:type="dxa"/>
          </w:tcPr>
          <w:p>
            <w:r>
              <w:t>截图便签明确“自动读取申请人，可修改”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职位</w:t>
            </w:r>
          </w:p>
        </w:tc>
        <w:tc>
          <w:tcPr>
            <w:tcW w:w="2493" w:type="dxa"/>
          </w:tcPr>
          <w:p>
            <w:r>
              <w:t>自动读取，可重新选择</w:t>
            </w:r>
          </w:p>
        </w:tc>
        <w:tc>
          <w:tcPr>
            <w:tcW w:w="2493" w:type="dxa"/>
          </w:tcPr>
          <w:p>
            <w:r>
              <w:t>员工档案职位 / 岗位主数据</w:t>
            </w:r>
          </w:p>
        </w:tc>
        <w:tc>
          <w:tcPr>
            <w:tcW w:w="2493" w:type="dxa"/>
          </w:tcPr>
          <w:p>
            <w:r>
              <w:t>员工切换时同步刷新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入职日期</w:t>
            </w:r>
          </w:p>
        </w:tc>
        <w:tc>
          <w:tcPr>
            <w:tcW w:w="2493" w:type="dxa"/>
          </w:tcPr>
          <w:p>
            <w:r>
              <w:t>日期字段</w:t>
            </w:r>
          </w:p>
        </w:tc>
        <w:tc>
          <w:tcPr>
            <w:tcW w:w="2493" w:type="dxa"/>
          </w:tcPr>
          <w:p>
            <w:r>
              <w:t>员工档案</w:t>
            </w:r>
          </w:p>
        </w:tc>
        <w:tc>
          <w:tcPr>
            <w:tcW w:w="2493" w:type="dxa"/>
          </w:tcPr>
          <w:p>
            <w:r>
              <w:t>原型便签明确：转正流程通过后需同步入职日期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预计转正日期</w:t>
            </w:r>
          </w:p>
        </w:tc>
        <w:tc>
          <w:tcPr>
            <w:tcW w:w="2493" w:type="dxa"/>
          </w:tcPr>
          <w:p>
            <w:r>
              <w:t>日期字段</w:t>
            </w:r>
          </w:p>
        </w:tc>
        <w:tc>
          <w:tcPr>
            <w:tcW w:w="2493" w:type="dxa"/>
          </w:tcPr>
          <w:p>
            <w:r>
              <w:t>表单人工录入</w:t>
            </w:r>
          </w:p>
        </w:tc>
        <w:tc>
          <w:tcPr>
            <w:tcW w:w="2493" w:type="dxa"/>
          </w:tcPr>
          <w:p>
            <w:r>
              <w:t>审批通过后同步至员工档案，并用于预警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自我评价类文本域</w:t>
            </w:r>
          </w:p>
        </w:tc>
        <w:tc>
          <w:tcPr>
            <w:tcW w:w="2493" w:type="dxa"/>
          </w:tcPr>
          <w:p>
            <w:r>
              <w:t>多段文本</w:t>
            </w:r>
          </w:p>
        </w:tc>
        <w:tc>
          <w:tcPr>
            <w:tcW w:w="2493" w:type="dxa"/>
          </w:tcPr>
          <w:p>
            <w:r>
              <w:t>表单主表</w:t>
            </w:r>
          </w:p>
        </w:tc>
        <w:tc>
          <w:tcPr>
            <w:tcW w:w="2493" w:type="dxa"/>
          </w:tcPr>
          <w:p>
            <w:r>
              <w:t>字段长度与是否必填需业务确认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审批意见字段</w:t>
            </w:r>
          </w:p>
        </w:tc>
        <w:tc>
          <w:tcPr>
            <w:tcW w:w="2493" w:type="dxa"/>
          </w:tcPr>
          <w:p>
            <w:r>
              <w:t>按节点写入</w:t>
            </w:r>
          </w:p>
        </w:tc>
        <w:tc>
          <w:tcPr>
            <w:tcW w:w="2493" w:type="dxa"/>
          </w:tcPr>
          <w:p>
            <w:r>
              <w:t>流程任务意见</w:t>
            </w:r>
          </w:p>
        </w:tc>
        <w:tc>
          <w:tcPr>
            <w:tcW w:w="2493" w:type="dxa"/>
          </w:tcPr>
          <w:p>
            <w:r>
              <w:t>未轮到当前节点时默认只读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附件</w:t>
            </w:r>
          </w:p>
        </w:tc>
        <w:tc>
          <w:tcPr>
            <w:tcW w:w="2493" w:type="dxa"/>
          </w:tcPr>
          <w:p>
            <w:r>
              <w:t>多附件上传</w:t>
            </w:r>
          </w:p>
        </w:tc>
        <w:tc>
          <w:tcPr>
            <w:tcW w:w="2493" w:type="dxa"/>
          </w:tcPr>
          <w:p>
            <w:r>
              <w:t>附件表 / 文件存储服务</w:t>
            </w:r>
          </w:p>
        </w:tc>
        <w:tc>
          <w:tcPr>
            <w:tcW w:w="2493" w:type="dxa"/>
          </w:tcPr>
          <w:p>
            <w:r>
              <w:t>限制格式与大小待明确</w:t>
            </w:r>
          </w:p>
        </w:tc>
      </w:tr>
    </w:tbl>
    <w:p>
      <w:pPr>
        <w:pStyle w:val="5"/>
      </w:pPr>
      <w:r>
        <w:t>7.3.4 数据源与同步规则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员工基础信息源：员工档案。申请人、联系电话、职位、入职日期、所属部门等字段应从员工档案或组织管理自动带入。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组织数据源：系统管理 &gt; 组织管理。用于生成申请部门、部门审核人范围、数据权限边界。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流程数据源：审批流引擎 / 流程实例表。用于记录当前状态、提交路径、节点意见、处理人、处理时间。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附件数据源：文件存储服务 + 附件关系表。用于上传、预览、删除与留痕。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原型已明确的同步规则：流程通过后需同步“入职日期、预计转正日期、转正备注”至员工档案与管理记录；同时根据预计转正日期进行风险预警。</w:t>
      </w:r>
    </w:p>
    <w:p>
      <w:pPr>
        <w:pStyle w:val="5"/>
      </w:pPr>
      <w:r>
        <w:t>7.3.5 状态流转（按当前原型可确认 / 可推定）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发起申请：用户填写表单并点击提交，生成流程实例，状态建议记为“待部门审核”。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部门审核：由发起人所属部门的审核角色处理；通过后流转至人事审核。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人事审核：人事审核通过后进入公司审批；驳回则退回申请人。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公司审批 / 行政审批：根据原型意见区字段可确认至少存在公司审批、行政审批节点；具体顺序待业务最终确认。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办结：审批通过后更新档案与管理记录，状态置为“已通过”或“已转正处理完成”。</w:t>
      </w:r>
    </w:p>
    <w:p>
      <w:pPr>
        <w:pStyle w:val="6"/>
      </w:pPr>
      <w:r>
        <w:t>7.3.6 正常流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申请人进入“我创建的”页签，点击新增。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系统自动带出申请人、申请部门、联系电话等基础信息。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申请人补充申请事由、自我评价、预计转正日期、转正备注并上传附件。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点击提交后进入审批流程，审核人按节点依次处理。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流程全部通过后，同步更新员工档案和管理记录，并触发预计转正日期预警任务。</w:t>
      </w:r>
    </w:p>
    <w:p>
      <w:pPr>
        <w:pStyle w:val="6"/>
      </w:pPr>
      <w:r>
        <w:t>7.3.7 异常流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员工档案缺失：若申请人无员工档案或档案字段不完整，系统应阻止提交并提示先完善档案。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预计转正日期为空：若该字段为必填，提交时应阻断并提示。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审批节点无可选处理人：提交前或流转时校验，若部门审核人未配置则提示管理员维护流程参与人。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流程驳回：单据退回申请人，可在“我创建的”中继续修改后再次提交；需保留驳回意见。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同步失败：若审批通过后档案回写失败，系统需记录异常日志并支持补偿重试，避免流程状态与档案状态不一致。</w:t>
      </w:r>
    </w:p>
    <w:p>
      <w:pPr>
        <w:pStyle w:val="6"/>
      </w:pPr>
      <w:r>
        <w:t>7.3.8 校验与控制要求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申请人、申请部门、联系电话、转正人员、职位、入职日期应优先自动带出，减少手工录入。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预计转正日期不得早于入职日期；建议增加日期前后关系校验。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同一员工存在未结束的转正申请时，建议限制重复发起或弹窗提示。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附件上传应具备大小、格式校验，并记录上传人和时间。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审批意见区应按节点只读 / 可编辑切换，避免后续节点覆盖前序节点意见。</w:t>
      </w:r>
    </w:p>
    <w:p>
      <w:pPr>
        <w:pStyle w:val="4"/>
      </w:pPr>
      <w:r>
        <w:t>7.4 人事异动-调薪</w:t>
      </w:r>
    </w:p>
    <w:p>
      <w:pPr>
        <w:pStyle w:val="5"/>
      </w:pPr>
      <w:r>
        <w:t>7.4.1 页面结构与原型配图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入口页面：调薪申请列表，分为“我创建的 / 全部”两个视角。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详情页面：华彩职工调薪申请表，支持关闭、保存、保存并关闭、提交。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侧边区：提交路径、部门审核、辅助办文。</w:t>
      </w:r>
    </w:p>
    <w:p>
      <w:pPr>
        <w:jc w:val="center"/>
      </w:pPr>
      <w:r>
        <w:drawing>
          <wp:inline distT="0" distB="0" distL="114300" distR="114300">
            <wp:extent cx="6309360" cy="3434715"/>
            <wp:effectExtent l="0" t="0" r="15240" b="196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12 调薪申请列表（依据原型截图整理的结构示意）</w:t>
      </w:r>
    </w:p>
    <w:p>
      <w:pPr>
        <w:jc w:val="center"/>
      </w:pPr>
      <w:r>
        <w:drawing>
          <wp:inline distT="0" distB="0" distL="114300" distR="114300">
            <wp:extent cx="6309360" cy="4150360"/>
            <wp:effectExtent l="0" t="0" r="15240" b="15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13 华彩职工调薪申请表（依据原型截图整理的结构示意）</w:t>
      </w:r>
    </w:p>
    <w:p>
      <w:pPr>
        <w:pStyle w:val="5"/>
      </w:pPr>
      <w:r>
        <w:t>7.4.2 列表页（调薪申请）</w:t>
      </w:r>
    </w:p>
    <w:p>
      <w:r>
        <w:rPr>
          <w:rFonts w:ascii="Noto Sans CJK SC" w:hAnsi="Noto Sans CJK SC" w:eastAsia="Noto Sans CJK SC"/>
        </w:rPr>
        <w:t>页面定位：统一承接调薪申请的创建、查看、导出与流转跟踪。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页签：我创建的、全部。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顶部动作：搜索、高级、刷新、视图切换、新增、导出。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列表字段：序号、调薪理由、申请人、申请部门、申请时间、当前薪资、申请调薪幅度、调薪后薪资、拟稿意见、流转状态。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原型存在一处文案疑点：列表中间有一列疑似写成“加班人员”；结合模块语义更可能应为“调薪人员”，建议正式版统一。</w:t>
      </w:r>
    </w:p>
    <w:p>
      <w:pPr>
        <w:pStyle w:val="6"/>
      </w:pPr>
      <w:r>
        <w:t>列表页关键要素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rPr>
          <w:jc w:val="center"/>
        </w:trPr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字段/要素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当前原型表现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数据来源 / 回填逻辑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备注 / 风险点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我创建的 / 全部</w:t>
            </w:r>
          </w:p>
        </w:tc>
        <w:tc>
          <w:tcPr>
            <w:tcW w:w="2493" w:type="dxa"/>
          </w:tcPr>
          <w:p>
            <w:r>
              <w:t>与转正申请一致</w:t>
            </w:r>
          </w:p>
        </w:tc>
        <w:tc>
          <w:tcPr>
            <w:tcW w:w="2493" w:type="dxa"/>
          </w:tcPr>
          <w:p>
            <w:r>
              <w:t>流程实例表按发起人或数据权限过滤</w:t>
            </w:r>
          </w:p>
        </w:tc>
        <w:tc>
          <w:tcPr>
            <w:tcW w:w="2493" w:type="dxa"/>
          </w:tcPr>
          <w:p>
            <w:r>
              <w:t>建议沿用统一审批中心过滤逻辑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当前薪资</w:t>
            </w:r>
          </w:p>
        </w:tc>
        <w:tc>
          <w:tcPr>
            <w:tcW w:w="2493" w:type="dxa"/>
          </w:tcPr>
          <w:p>
            <w:r>
              <w:t>列表回显</w:t>
            </w:r>
          </w:p>
        </w:tc>
        <w:tc>
          <w:tcPr>
            <w:tcW w:w="2493" w:type="dxa"/>
          </w:tcPr>
          <w:p>
            <w:r>
              <w:t>调薪申请主表</w:t>
            </w:r>
          </w:p>
        </w:tc>
        <w:tc>
          <w:tcPr>
            <w:tcW w:w="2493" w:type="dxa"/>
          </w:tcPr>
          <w:p>
            <w:r>
              <w:t>来源待明确，建议保存提交时固化快照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申请调薪幅度</w:t>
            </w:r>
          </w:p>
        </w:tc>
        <w:tc>
          <w:tcPr>
            <w:tcW w:w="2493" w:type="dxa"/>
          </w:tcPr>
          <w:p>
            <w:r>
              <w:t>列表回显</w:t>
            </w:r>
          </w:p>
        </w:tc>
        <w:tc>
          <w:tcPr>
            <w:tcW w:w="2493" w:type="dxa"/>
          </w:tcPr>
          <w:p>
            <w:r>
              <w:t>调薪申请主表</w:t>
            </w:r>
          </w:p>
        </w:tc>
        <w:tc>
          <w:tcPr>
            <w:tcW w:w="2493" w:type="dxa"/>
          </w:tcPr>
          <w:p>
            <w:r>
              <w:t>建议数值型，支持正负数或仅正数需确认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调薪后薪资</w:t>
            </w:r>
          </w:p>
        </w:tc>
        <w:tc>
          <w:tcPr>
            <w:tcW w:w="2493" w:type="dxa"/>
          </w:tcPr>
          <w:p>
            <w:r>
              <w:t>列表回显</w:t>
            </w:r>
          </w:p>
        </w:tc>
        <w:tc>
          <w:tcPr>
            <w:tcW w:w="2493" w:type="dxa"/>
          </w:tcPr>
          <w:p>
            <w:r>
              <w:t>调薪申请主表</w:t>
            </w:r>
          </w:p>
        </w:tc>
        <w:tc>
          <w:tcPr>
            <w:tcW w:w="2493" w:type="dxa"/>
          </w:tcPr>
          <w:p>
            <w:r>
              <w:t>建议由“当前薪资 + 调薪幅度”自动计算并只读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拟稿意见 / 流转状态</w:t>
            </w:r>
          </w:p>
        </w:tc>
        <w:tc>
          <w:tcPr>
            <w:tcW w:w="2493" w:type="dxa"/>
          </w:tcPr>
          <w:p>
            <w:r>
              <w:t>流程展示</w:t>
            </w:r>
          </w:p>
        </w:tc>
        <w:tc>
          <w:tcPr>
            <w:tcW w:w="2493" w:type="dxa"/>
          </w:tcPr>
          <w:p>
            <w:r>
              <w:t>流程实例与任务记录</w:t>
            </w:r>
          </w:p>
        </w:tc>
        <w:tc>
          <w:tcPr>
            <w:tcW w:w="2493" w:type="dxa"/>
          </w:tcPr>
          <w:p>
            <w:r>
              <w:t>列表仅展示摘要，详情查看完整意见</w:t>
            </w:r>
          </w:p>
        </w:tc>
      </w:tr>
    </w:tbl>
    <w:p>
      <w:pPr>
        <w:pStyle w:val="5"/>
      </w:pPr>
      <w:r>
        <w:t>7.4.3 处理单（华彩职工调薪申请表）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头部区：申请人、申请部门、申请时间、当前薪资、申请调薪幅度、调薪后薪资。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正文区：申请事由。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审批意见区：部门审核意见、人事审核意见、分管领导意见、校领导意见、财务办理意见。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附件区：添加文件、删除文件、另存文件；附件列表字段与转正申请保持一致。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侧边提交区：提交路径、部门审核、辅助办文。</w:t>
      </w:r>
    </w:p>
    <w:p>
      <w:pPr>
        <w:pStyle w:val="6"/>
      </w:pPr>
      <w:r>
        <w:t>处理单关键字段与回填关系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rPr>
          <w:jc w:val="center"/>
        </w:trPr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字段/要素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当前原型表现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数据来源 / 回填逻辑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备注 / 风险点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申请人 / 申请部门</w:t>
            </w:r>
          </w:p>
        </w:tc>
        <w:tc>
          <w:tcPr>
            <w:tcW w:w="2493" w:type="dxa"/>
          </w:tcPr>
          <w:p>
            <w:r>
              <w:t>只读回显</w:t>
            </w:r>
          </w:p>
        </w:tc>
        <w:tc>
          <w:tcPr>
            <w:tcW w:w="2493" w:type="dxa"/>
          </w:tcPr>
          <w:p>
            <w:r>
              <w:t>当前登录用户 + 员工档案 + 组织管理</w:t>
            </w:r>
          </w:p>
        </w:tc>
        <w:tc>
          <w:tcPr>
            <w:tcW w:w="2493" w:type="dxa"/>
          </w:tcPr>
          <w:p>
            <w:r>
              <w:t>发起后固化快照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申请时间</w:t>
            </w:r>
          </w:p>
        </w:tc>
        <w:tc>
          <w:tcPr>
            <w:tcW w:w="2493" w:type="dxa"/>
          </w:tcPr>
          <w:p>
            <w:r>
              <w:t>只读回显</w:t>
            </w:r>
          </w:p>
        </w:tc>
        <w:tc>
          <w:tcPr>
            <w:tcW w:w="2493" w:type="dxa"/>
          </w:tcPr>
          <w:p>
            <w:r>
              <w:t>系统时间</w:t>
            </w:r>
          </w:p>
        </w:tc>
        <w:tc>
          <w:tcPr>
            <w:tcW w:w="2493" w:type="dxa"/>
          </w:tcPr>
          <w:p>
            <w:r>
              <w:t>保存草稿后固定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当前薪资</w:t>
            </w:r>
          </w:p>
        </w:tc>
        <w:tc>
          <w:tcPr>
            <w:tcW w:w="2493" w:type="dxa"/>
          </w:tcPr>
          <w:p>
            <w:r>
              <w:t>数值回显</w:t>
            </w:r>
          </w:p>
        </w:tc>
        <w:tc>
          <w:tcPr>
            <w:tcW w:w="2493" w:type="dxa"/>
          </w:tcPr>
          <w:p>
            <w:r>
              <w:t>来源待明确；建议读取当前员工生效工资标准</w:t>
            </w:r>
          </w:p>
        </w:tc>
        <w:tc>
          <w:tcPr>
            <w:tcW w:w="2493" w:type="dxa"/>
          </w:tcPr>
          <w:p>
            <w:r>
              <w:t>若无工资标准，需提示维护工资管理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申请调薪幅度</w:t>
            </w:r>
          </w:p>
        </w:tc>
        <w:tc>
          <w:tcPr>
            <w:tcW w:w="2493" w:type="dxa"/>
          </w:tcPr>
          <w:p>
            <w:r>
              <w:t>数值输入</w:t>
            </w:r>
          </w:p>
        </w:tc>
        <w:tc>
          <w:tcPr>
            <w:tcW w:w="2493" w:type="dxa"/>
          </w:tcPr>
          <w:p>
            <w:r>
              <w:t>表单主表人工填写</w:t>
            </w:r>
          </w:p>
        </w:tc>
        <w:tc>
          <w:tcPr>
            <w:tcW w:w="2493" w:type="dxa"/>
          </w:tcPr>
          <w:p>
            <w:r>
              <w:t>需定义是否允许负数、最大精度、小数位数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调薪后薪资</w:t>
            </w:r>
          </w:p>
        </w:tc>
        <w:tc>
          <w:tcPr>
            <w:tcW w:w="2493" w:type="dxa"/>
          </w:tcPr>
          <w:p>
            <w:r>
              <w:t>数值回显</w:t>
            </w:r>
          </w:p>
        </w:tc>
        <w:tc>
          <w:tcPr>
            <w:tcW w:w="2493" w:type="dxa"/>
          </w:tcPr>
          <w:p>
            <w:r>
              <w:t>当前薪资 + 申请调薪幅度</w:t>
            </w:r>
          </w:p>
        </w:tc>
        <w:tc>
          <w:tcPr>
            <w:tcW w:w="2493" w:type="dxa"/>
          </w:tcPr>
          <w:p>
            <w:r>
              <w:t>建议自动计算，默认只读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申请事由</w:t>
            </w:r>
          </w:p>
        </w:tc>
        <w:tc>
          <w:tcPr>
            <w:tcW w:w="2493" w:type="dxa"/>
          </w:tcPr>
          <w:p>
            <w:r>
              <w:t>文本输入</w:t>
            </w:r>
          </w:p>
        </w:tc>
        <w:tc>
          <w:tcPr>
            <w:tcW w:w="2493" w:type="dxa"/>
          </w:tcPr>
          <w:p>
            <w:r>
              <w:t>表单主表人工填写</w:t>
            </w:r>
          </w:p>
        </w:tc>
        <w:tc>
          <w:tcPr>
            <w:tcW w:w="2493" w:type="dxa"/>
          </w:tcPr>
          <w:p>
            <w:r>
              <w:t>建议必填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审批意见区</w:t>
            </w:r>
          </w:p>
        </w:tc>
        <w:tc>
          <w:tcPr>
            <w:tcW w:w="2493" w:type="dxa"/>
          </w:tcPr>
          <w:p>
            <w:r>
              <w:t>按节点写入</w:t>
            </w:r>
          </w:p>
        </w:tc>
        <w:tc>
          <w:tcPr>
            <w:tcW w:w="2493" w:type="dxa"/>
          </w:tcPr>
          <w:p>
            <w:r>
              <w:t>流程任务意见</w:t>
            </w:r>
          </w:p>
        </w:tc>
        <w:tc>
          <w:tcPr>
            <w:tcW w:w="2493" w:type="dxa"/>
          </w:tcPr>
          <w:p>
            <w:r>
              <w:t>应保留各节点处理痕迹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附件</w:t>
            </w:r>
          </w:p>
        </w:tc>
        <w:tc>
          <w:tcPr>
            <w:tcW w:w="2493" w:type="dxa"/>
          </w:tcPr>
          <w:p>
            <w:r>
              <w:t>多附件上传</w:t>
            </w:r>
          </w:p>
        </w:tc>
        <w:tc>
          <w:tcPr>
            <w:tcW w:w="2493" w:type="dxa"/>
          </w:tcPr>
          <w:p>
            <w:r>
              <w:t>附件表 / 文件存储服务</w:t>
            </w:r>
          </w:p>
        </w:tc>
        <w:tc>
          <w:tcPr>
            <w:tcW w:w="2493" w:type="dxa"/>
          </w:tcPr>
          <w:p>
            <w:r>
              <w:t>限制条件待明确</w:t>
            </w:r>
          </w:p>
        </w:tc>
      </w:tr>
    </w:tbl>
    <w:p>
      <w:pPr>
        <w:pStyle w:val="5"/>
      </w:pPr>
      <w:r>
        <w:t>7.4.4 数据源与生效规则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人员与组织信息：来源于员工档案与组织管理。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当前薪资：当前原型未明确来源。建议优先读取工资管理中该员工对应的当前生效工资标准，若不存在则禁止提交并提示维护。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调薪申请数据：保存于调薪申请主表；提交后与流程实例绑定。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审批意见与流转信息：来源于流程任务记录。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若调薪流程通过，建议形成调薪生效记录，并可选择回写员工工资信息 / 工资管理（具体回写策略待明确）。</w:t>
      </w:r>
    </w:p>
    <w:p>
      <w:pPr>
        <w:pStyle w:val="5"/>
      </w:pPr>
      <w:r>
        <w:t>7.4.5 状态流转（按原型字段推定）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发起申请：状态建议记为“待部门审核”或“待部门领导审核”。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部门审核：原型列表已出现“部门领导审核”状态，可确认存在部门审核节点。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人事审核：表单中存在“人事审核意见”字段，可确认存在人事审核节点。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分管领导 / 校领导 / 财务办理：依据表单意见区字段可推定后续节点顺序为分管领导、校领导、财务办理。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办结：审批通过后形成调薪生效结果；驳回则退回申请人修改或终止。</w:t>
      </w:r>
    </w:p>
    <w:p>
      <w:pPr>
        <w:pStyle w:val="6"/>
      </w:pPr>
      <w:r>
        <w:t>7.4.6 正常流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申请人进入调薪申请列表，点击新增。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系统带出申请人、申请部门、申请时间与当前薪资。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申请人录入申请调薪幅度与申请事由，系统自动计算调薪后薪资。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提交后依次流转至部门审核、人事审核、分管领导、校领导、财务办理。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流程办结后保留完整审批意见、附件与调薪结果。</w:t>
      </w:r>
    </w:p>
    <w:p>
      <w:pPr>
        <w:pStyle w:val="6"/>
      </w:pPr>
      <w:r>
        <w:t>7.4.7 异常流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当前薪资缺失：若系统无法带出当前薪资，应阻止提交并提示先维护工资标准。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调薪幅度非法：若为非数值、超出允许范围或精度不符合规则，应实时拦截。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调薪后薪资为负数或低于下限：应阻止保存 / 提交并提示检查。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审批节点未配置：无部门审核人、分管领导或财务办理人时不得流转。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流程通过但工资未生效：需记录异常并进入补偿处理，避免申请结果与工资台账不一致。</w:t>
      </w:r>
    </w:p>
    <w:p>
      <w:pPr>
        <w:pStyle w:val="6"/>
      </w:pPr>
      <w:r>
        <w:t>7.4.8 校验与控制要求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申请调薪幅度建议仅允许数值输入，并限定小数位数。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调薪后薪资建议由系统自动计算，不允许手工覆盖，以避免错填。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同一员工存在未完成调薪申请时，建议限制重复发起。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审批通过后的生效日期、是否影响历史工资记录、是否保留版本，需在下一轮业务规则中明确。</w:t>
      </w:r>
    </w:p>
    <w:p>
      <w:pPr>
        <w:pStyle w:val="4"/>
      </w:pPr>
      <w:r>
        <w:t>7.5 工资管理</w:t>
      </w:r>
    </w:p>
    <w:p>
      <w:pPr>
        <w:pStyle w:val="5"/>
      </w:pPr>
      <w:r>
        <w:t>7.5.1 页面结构与原型配图</w:t>
      </w:r>
    </w:p>
    <w:p>
      <w:r>
        <w:rPr>
          <w:rFonts w:ascii="Noto Sans CJK SC" w:hAnsi="Noto Sans CJK SC" w:eastAsia="Noto Sans CJK SC"/>
        </w:rPr>
        <w:t>当前原型已明确工资管理列表页，未看到新增/编辑弹窗，因此本节先按列表页与可推定表单字段整理。</w:t>
      </w:r>
    </w:p>
    <w:p>
      <w:pPr>
        <w:jc w:val="center"/>
      </w:pPr>
      <w:r>
        <w:drawing>
          <wp:inline distT="0" distB="0" distL="114300" distR="114300">
            <wp:extent cx="6309360" cy="3434715"/>
            <wp:effectExtent l="0" t="0" r="15240" b="196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14 工资管理列表（依据原型截图整理的结构示意）</w:t>
      </w:r>
    </w:p>
    <w:p>
      <w:pPr>
        <w:pStyle w:val="5"/>
      </w:pPr>
      <w:r>
        <w:t>7.5.2 列表页字段与操作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顶部动作：刷新、视图切换、新增、同步。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列表字段：序号、工资名称、工资金额、所属岗位、所属部门、工资描述、排序、状态、操作。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行级操作：修改、删除。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页面定位：更接近“工资标准配置 / 薪资规则台账”，而非工资发放流水。</w:t>
      </w:r>
    </w:p>
    <w:p>
      <w:pPr>
        <w:pStyle w:val="6"/>
      </w:pPr>
      <w:r>
        <w:t>工资管理关键字段与数据来源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rPr>
          <w:jc w:val="center"/>
        </w:trPr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字段/要素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当前原型表现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数据来源 / 回填逻辑</w:t>
            </w:r>
          </w:p>
        </w:tc>
        <w:tc>
          <w:tcPr>
            <w:tcW w:w="2493" w:type="dxa"/>
            <w:shd w:val="clear" w:color="auto" w:fill="D9E6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备注 / 风险点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工资名称</w:t>
            </w:r>
          </w:p>
        </w:tc>
        <w:tc>
          <w:tcPr>
            <w:tcW w:w="2493" w:type="dxa"/>
          </w:tcPr>
          <w:p>
            <w:r>
              <w:t>列表字段</w:t>
            </w:r>
          </w:p>
        </w:tc>
        <w:tc>
          <w:tcPr>
            <w:tcW w:w="2493" w:type="dxa"/>
          </w:tcPr>
          <w:p>
            <w:r>
              <w:t>工资标准主表</w:t>
            </w:r>
          </w:p>
        </w:tc>
        <w:tc>
          <w:tcPr>
            <w:tcW w:w="2493" w:type="dxa"/>
          </w:tcPr>
          <w:p>
            <w:r>
              <w:t>建议唯一性规则：工资名称 + 所属部门 + 所属岗位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工资金额</w:t>
            </w:r>
          </w:p>
        </w:tc>
        <w:tc>
          <w:tcPr>
            <w:tcW w:w="2493" w:type="dxa"/>
          </w:tcPr>
          <w:p>
            <w:r>
              <w:t>列表字段</w:t>
            </w:r>
          </w:p>
        </w:tc>
        <w:tc>
          <w:tcPr>
            <w:tcW w:w="2493" w:type="dxa"/>
          </w:tcPr>
          <w:p>
            <w:r>
              <w:t>工资标准主表</w:t>
            </w:r>
          </w:p>
        </w:tc>
        <w:tc>
          <w:tcPr>
            <w:tcW w:w="2493" w:type="dxa"/>
          </w:tcPr>
          <w:p>
            <w:r>
              <w:t>建议正数金额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所属岗位</w:t>
            </w:r>
          </w:p>
        </w:tc>
        <w:tc>
          <w:tcPr>
            <w:tcW w:w="2493" w:type="dxa"/>
          </w:tcPr>
          <w:p>
            <w:r>
              <w:t>列表字段</w:t>
            </w:r>
          </w:p>
        </w:tc>
        <w:tc>
          <w:tcPr>
            <w:tcW w:w="2493" w:type="dxa"/>
          </w:tcPr>
          <w:p>
            <w:r>
              <w:t>岗位主数据</w:t>
            </w:r>
          </w:p>
        </w:tc>
        <w:tc>
          <w:tcPr>
            <w:tcW w:w="2493" w:type="dxa"/>
          </w:tcPr>
          <w:p>
            <w:r>
              <w:t>当前原型列值呈现不够清晰，需进一步确认是否为岗位启用标记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所属部门</w:t>
            </w:r>
          </w:p>
        </w:tc>
        <w:tc>
          <w:tcPr>
            <w:tcW w:w="2493" w:type="dxa"/>
          </w:tcPr>
          <w:p>
            <w:r>
              <w:t>列表字段</w:t>
            </w:r>
          </w:p>
        </w:tc>
        <w:tc>
          <w:tcPr>
            <w:tcW w:w="2493" w:type="dxa"/>
          </w:tcPr>
          <w:p>
            <w:r>
              <w:t>组织管理</w:t>
            </w:r>
          </w:p>
        </w:tc>
        <w:tc>
          <w:tcPr>
            <w:tcW w:w="2493" w:type="dxa"/>
          </w:tcPr>
          <w:p>
            <w:r>
              <w:t>当前原型示例值为“部门级 / 科室级 / 班组级”等，语义需明确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工资描述</w:t>
            </w:r>
          </w:p>
        </w:tc>
        <w:tc>
          <w:tcPr>
            <w:tcW w:w="2493" w:type="dxa"/>
          </w:tcPr>
          <w:p>
            <w:r>
              <w:t>列表字段</w:t>
            </w:r>
          </w:p>
        </w:tc>
        <w:tc>
          <w:tcPr>
            <w:tcW w:w="2493" w:type="dxa"/>
          </w:tcPr>
          <w:p>
            <w:r>
              <w:t>工资标准主表</w:t>
            </w:r>
          </w:p>
        </w:tc>
        <w:tc>
          <w:tcPr>
            <w:tcW w:w="2493" w:type="dxa"/>
          </w:tcPr>
          <w:p>
            <w:r>
              <w:t>可为空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排序</w:t>
            </w:r>
          </w:p>
        </w:tc>
        <w:tc>
          <w:tcPr>
            <w:tcW w:w="2493" w:type="dxa"/>
          </w:tcPr>
          <w:p>
            <w:r>
              <w:t>列表字段</w:t>
            </w:r>
          </w:p>
        </w:tc>
        <w:tc>
          <w:tcPr>
            <w:tcW w:w="2493" w:type="dxa"/>
          </w:tcPr>
          <w:p>
            <w:r>
              <w:t>工资标准主表</w:t>
            </w:r>
          </w:p>
        </w:tc>
        <w:tc>
          <w:tcPr>
            <w:tcW w:w="2493" w:type="dxa"/>
          </w:tcPr>
          <w:p>
            <w:r>
              <w:t>用于前端展示顺序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状态</w:t>
            </w:r>
          </w:p>
        </w:tc>
        <w:tc>
          <w:tcPr>
            <w:tcW w:w="2493" w:type="dxa"/>
          </w:tcPr>
          <w:p>
            <w:r>
              <w:t>列表字段</w:t>
            </w:r>
          </w:p>
        </w:tc>
        <w:tc>
          <w:tcPr>
            <w:tcW w:w="2493" w:type="dxa"/>
          </w:tcPr>
          <w:p>
            <w:r>
              <w:t>工资标准主表</w:t>
            </w:r>
          </w:p>
        </w:tc>
        <w:tc>
          <w:tcPr>
            <w:tcW w:w="2493" w:type="dxa"/>
          </w:tcPr>
          <w:p>
            <w:r>
              <w:t>有效 / 无效</w:t>
            </w:r>
          </w:p>
        </w:tc>
      </w:tr>
      <w:tr>
        <w:trPr>
          <w:jc w:val="center"/>
        </w:trPr>
        <w:tc>
          <w:tcPr>
            <w:tcW w:w="2493" w:type="dxa"/>
          </w:tcPr>
          <w:p>
            <w:r>
              <w:t>同步</w:t>
            </w:r>
          </w:p>
        </w:tc>
        <w:tc>
          <w:tcPr>
            <w:tcW w:w="2493" w:type="dxa"/>
          </w:tcPr>
          <w:p>
            <w:r>
              <w:t>顶部动作</w:t>
            </w:r>
          </w:p>
        </w:tc>
        <w:tc>
          <w:tcPr>
            <w:tcW w:w="2493" w:type="dxa"/>
          </w:tcPr>
          <w:p>
            <w:r>
              <w:t>来源待明确</w:t>
            </w:r>
          </w:p>
        </w:tc>
        <w:tc>
          <w:tcPr>
            <w:tcW w:w="2493" w:type="dxa"/>
          </w:tcPr>
          <w:p>
            <w:r>
              <w:t>若无外部薪资系统，可先保留为预留能力</w:t>
            </w:r>
          </w:p>
        </w:tc>
      </w:tr>
    </w:tbl>
    <w:p>
      <w:pPr>
        <w:pStyle w:val="5"/>
      </w:pPr>
      <w:r>
        <w:t>7.5.3 新增/编辑（按当前原型可推定）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当前原型未提供新增 / 编辑弹窗截图，但结合列表字段，可推定表单至少需要：工资名称、工资金额、所属岗位、所属部门、工资描述、排序、状态。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若工资管理要作为调薪的上游数据源，建议新增字段：生效日期、失效日期、版本号、适用人员范围。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若工资管理仅作为“薪资标准模板”，则建议与员工实际工资生效记录分离存储。</w:t>
      </w:r>
    </w:p>
    <w:p>
      <w:pPr>
        <w:pStyle w:val="5"/>
      </w:pPr>
      <w:r>
        <w:t>7.5.4 数据源与模块关系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组织数据：来源于组织管理，决定工资标准适用部门。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岗位数据：来源于员工档案 / 岗位主数据，决定工资标准适用岗位。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调薪申请：建议读取工资管理中的当前生效标准作为“当前薪资”默认值；审批通过后是否反写工资管理需明确。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员工档案：若员工档案中维护工资信息，需定义工资管理与员工档案之间的优先级与同步策略。</w:t>
      </w:r>
    </w:p>
    <w:p>
      <w:pPr>
        <w:pStyle w:val="6"/>
      </w:pPr>
      <w:r>
        <w:t>7.5.5 正常流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人事管理员进入工资管理页面查看或维护工资标准。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点击新增，录入工资名称、金额、所属岗位、所属部门等信息并保存。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列表可通过状态、排序等规则展示当前有效工资标准。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需要与外部系统对齐时，可执行同步（若后续启用）。</w:t>
      </w:r>
    </w:p>
    <w:p>
      <w:pPr>
        <w:pStyle w:val="6"/>
      </w:pPr>
      <w:r>
        <w:t>7.5.6 异常流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工资名称重复：若命中唯一性规则，应阻止保存并提示。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所属部门 / 所属岗位不存在：若引用主数据已失效，禁止保存并要求重新选择。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同步失败：记录失败原因并允许手工重试，不应覆盖现有有效记录。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删除受限：若工资标准已被员工或调薪申请引用，建议不允许物理删除，改为禁用。</w:t>
      </w:r>
    </w:p>
    <w:p>
      <w:pPr>
        <w:pStyle w:val="6"/>
      </w:pPr>
      <w:r>
        <w:t>7.5.7 控制与建议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工资管理建议采用“状态禁用优先，物理删除谨慎”的策略，以保障历史申请可追溯。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若后续需要支持一人多薪资结构（基本工资、岗位工资、绩效工资等），建议拆分“工资项目”和“工资标准”两层模型。</w:t>
      </w:r>
    </w:p>
    <w:p>
      <w:pPr>
        <w:pStyle w:val="16"/>
      </w:pPr>
      <w:r>
        <w:rPr>
          <w:rFonts w:ascii="Noto Sans CJK SC" w:hAnsi="Noto Sans CJK SC" w:eastAsia="Noto Sans CJK SC"/>
          <w:sz w:val="21"/>
        </w:rPr>
        <w:t>当前原型字段语义存在少量模糊项，正式开发前需补一版新增/编辑原型。</w:t>
      </w:r>
    </w:p>
    <w:p>
      <w:pPr>
        <w:pStyle w:val="4"/>
      </w:pPr>
      <w:r>
        <w:t>7.6 员工档案</w:t>
      </w:r>
    </w:p>
    <w:p>
      <w:r>
        <w:t>员工档案模块用于建立员工全生命周期主档，覆盖员工档案列表、管理员维护页与员工自助“我的档案”三类页面，并与系统用户、组织管理、工资管理、人事异动、考核导入等能力联动。</w:t>
      </w:r>
    </w:p>
    <w:p>
      <w:pPr>
        <w:pStyle w:val="5"/>
      </w:pPr>
      <w:r>
        <w:t>7.6.1 页面结构与原型配图</w:t>
      </w:r>
    </w:p>
    <w:p>
      <w:r>
        <w:t>按当前原型，员工档案至少包含以下三个页面：① 员工档案列表页；② 人员档案信息（管理员维护页）；③ 我的档案（员工自助查看/修改页）。</w:t>
      </w:r>
    </w:p>
    <w:p>
      <w:pPr>
        <w:jc w:val="center"/>
      </w:pPr>
      <w:r>
        <w:drawing>
          <wp:inline distT="0" distB="0" distL="114300" distR="114300">
            <wp:extent cx="5669280" cy="2440940"/>
            <wp:effectExtent l="0" t="0" r="20320" b="228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12080" cy="7008495"/>
            <wp:effectExtent l="0" t="0" r="2032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0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486400" cy="29114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t>7.6.2 列表页（员工档案）</w:t>
      </w:r>
    </w:p>
    <w:p>
      <w:r>
        <w:t>员工档案列表页是人事主档台账入口，用于查看在职/全部员工、发起新增、导入档案、导入考核、同步数据、导出台账，并进入人员档案维护页。</w:t>
      </w:r>
    </w:p>
    <w:p>
      <w:pPr>
        <w:pStyle w:val="6"/>
      </w:pPr>
      <w:r>
        <w:t>列表页关键要素</w:t>
      </w:r>
    </w:p>
    <w:p>
      <w:pPr>
        <w:pStyle w:val="16"/>
      </w:pPr>
      <w:r>
        <w:t>页签：在职、全部。按当前原型，默认展示“在职”页签。</w:t>
      </w:r>
    </w:p>
    <w:p>
      <w:pPr>
        <w:pStyle w:val="16"/>
      </w:pPr>
      <w:r>
        <w:t>操作区：刷新、视图切换、新增、导入档案、快速处理、导入考核、同步、导出。</w:t>
      </w:r>
    </w:p>
    <w:p>
      <w:pPr>
        <w:pStyle w:val="16"/>
      </w:pPr>
      <w:r>
        <w:t>原型备注：全部页签无“快速处理”操作。</w:t>
      </w:r>
    </w:p>
    <w:p>
      <w:pPr>
        <w:pStyle w:val="16"/>
      </w:pPr>
      <w:r>
        <w:t>列表字段：序号、员工编号、姓名、性别、出生年月、手机号、参加工作时间、籍贯、政治面貌、部门、职位、人员状态、操作。</w:t>
      </w:r>
    </w:p>
    <w:p>
      <w:pPr>
        <w:pStyle w:val="16"/>
      </w:pPr>
      <w:r>
        <w:t>行操作：修改、删除。</w:t>
      </w:r>
    </w:p>
    <w:p>
      <w:pPr>
        <w:pStyle w:val="5"/>
      </w:pPr>
      <w:r>
        <w:t>7.6.3 人员档案信息（管理员维护页）</w:t>
      </w:r>
    </w:p>
    <w:p>
      <w:r>
        <w:t>该页面用于管理员维护员工主档，页面顶部按页签组织为：档案信息、任职信息、调离信息、资格证书、考核记录、工作成长记录、家庭成员、变动信息、人事合同、工资信息、请休假情况。</w:t>
      </w:r>
    </w:p>
    <w:p>
      <w:pPr>
        <w:pStyle w:val="6"/>
      </w:pPr>
      <w:r>
        <w:t>基础字段与子表结构</w:t>
      </w:r>
    </w:p>
    <w:p>
      <w:pPr>
        <w:pStyle w:val="16"/>
      </w:pPr>
      <w:r>
        <w:t>基本信息：姓名、性别、证件照片、身份证号、出生年月、年龄、婚姻情况、政治面貌、民族、籍贯、手机号码、邮箱、毕业学校、最高学历、参加工作时间、家庭住址、紧急联系人、紧急联系人电话、银行卡号、人员状态、人才标识、是否开通系统账号、账号、系统密码。</w:t>
      </w:r>
    </w:p>
    <w:p>
      <w:pPr>
        <w:pStyle w:val="16"/>
      </w:pPr>
      <w:r>
        <w:t>任职信息：员工编号、入职日期、转正日期、所属单位、工作方式（借调/外派）、借调/外派日期。</w:t>
      </w:r>
    </w:p>
    <w:p>
      <w:pPr>
        <w:pStyle w:val="16"/>
      </w:pPr>
      <w:r>
        <w:t>任职信息一：部门、职级、任职类别、职位、排序编号、编制部门（是/否），并支持“添加任职信息”。</w:t>
      </w:r>
    </w:p>
    <w:p>
      <w:pPr>
        <w:pStyle w:val="16"/>
      </w:pPr>
      <w:r>
        <w:t>调离信息：调离类型、辞职/辞退/退休时间、预计退休时间。</w:t>
      </w:r>
    </w:p>
    <w:p>
      <w:pPr>
        <w:pStyle w:val="16"/>
      </w:pPr>
      <w:r>
        <w:t>资格证书子表：证书名称、证书号码、发证日期、证书类型、发证单位、是否永久、到期日期、证书文件、操作。</w:t>
      </w:r>
    </w:p>
    <w:p>
      <w:pPr>
        <w:pStyle w:val="16"/>
      </w:pPr>
      <w:r>
        <w:t>考核记录子表：考核年月、考核分数、考核等级、备注、操作。</w:t>
      </w:r>
    </w:p>
    <w:p>
      <w:pPr>
        <w:pStyle w:val="16"/>
      </w:pPr>
      <w:r>
        <w:t>工作简历/成长记录子表：开始时间、结束时间、工作（学习）名称、操作。</w:t>
      </w:r>
    </w:p>
    <w:p>
      <w:pPr>
        <w:pStyle w:val="16"/>
      </w:pPr>
      <w:r>
        <w:t>家庭成员子表：称谓、姓名、出生年月、身份证号码、政治面貌、工作单位及职务、操作。</w:t>
      </w:r>
    </w:p>
    <w:p>
      <w:pPr>
        <w:pStyle w:val="16"/>
      </w:pPr>
      <w:r>
        <w:t>变动信息子表：现任部门、现任职务、现任职级、原部门、原职务、原职级、报到日期、变动性质、变动原因、操作。</w:t>
      </w:r>
    </w:p>
    <w:p>
      <w:pPr>
        <w:pStyle w:val="16"/>
      </w:pPr>
      <w:r>
        <w:t>人事合同子表：员工姓名、合同名称、合同编号、合同开始日期、合同结束日期、附件、备注、操作。</w:t>
      </w:r>
    </w:p>
    <w:p>
      <w:pPr>
        <w:pStyle w:val="16"/>
      </w:pPr>
      <w:r>
        <w:t>工资信息、请休假情况：当前原型顶部已存在页签，但本轮截图未展开全部字段，后续需结合对应模块继续补充。</w:t>
      </w:r>
    </w:p>
    <w:p>
      <w:pPr>
        <w:pStyle w:val="6"/>
      </w:pPr>
      <w:r>
        <w:t>管理员维护页关键规则（按原型备注可确认）</w:t>
      </w:r>
    </w:p>
    <w:p>
      <w:pPr>
        <w:pStyle w:val="16"/>
      </w:pPr>
      <w:r>
        <w:t>该维护页仅供管理员修改；普通用户需通过“我的档案”进行查看或维护可编辑字段。</w:t>
      </w:r>
    </w:p>
    <w:p>
      <w:pPr>
        <w:pStyle w:val="16"/>
      </w:pPr>
      <w:r>
        <w:t>出生年月可从身份证号自动提取，但允许手动修改；年龄可根据出生年月自动计算。</w:t>
      </w:r>
    </w:p>
    <w:p>
      <w:pPr>
        <w:pStyle w:val="16"/>
      </w:pPr>
      <w:r>
        <w:t>当“是否开通系统账号=是”时，页面需展示并填写“账号、系统密码”两个字段；按原型备注，该字段仅支持人事管理页填写，开通后默认角色为普通用户。</w:t>
      </w:r>
    </w:p>
    <w:p>
      <w:pPr>
        <w:pStyle w:val="5"/>
      </w:pPr>
      <w:r>
        <w:t>7.6.4 我的档案（员工自助页）</w:t>
      </w:r>
    </w:p>
    <w:p>
      <w:r>
        <w:t>我的档案页为员工自助入口，顶部展示头像、姓名、员工编号、部门、职位、手机号、邮箱、出生日期、在职状态；页签至少包括：基本信息、任职信息、资格证书、考核记录、工作成长记录、家庭成员、人事合同。</w:t>
      </w:r>
    </w:p>
    <w:p>
      <w:pPr>
        <w:pStyle w:val="6"/>
      </w:pPr>
      <w:r>
        <w:t>自助查看与编辑边界</w:t>
      </w:r>
    </w:p>
    <w:p>
      <w:pPr>
        <w:pStyle w:val="16"/>
      </w:pPr>
      <w:r>
        <w:t>姓名不可修改。</w:t>
      </w:r>
    </w:p>
    <w:p>
      <w:pPr>
        <w:pStyle w:val="16"/>
      </w:pPr>
      <w:r>
        <w:t>任职信息、人事合同模块不可修改。</w:t>
      </w:r>
    </w:p>
    <w:p>
      <w:pPr>
        <w:pStyle w:val="16"/>
      </w:pPr>
      <w:r>
        <w:t>基本信息、资格证书、考核记录、工作简历/工作成长记录、家庭成员可修改。</w:t>
      </w:r>
    </w:p>
    <w:p>
      <w:pPr>
        <w:pStyle w:val="16"/>
      </w:pPr>
      <w:r>
        <w:t>我的档案保存后需直接回写员工档案主数据，不应形成第二套独立档案数据。</w:t>
      </w:r>
    </w:p>
    <w:p>
      <w:pPr>
        <w:pStyle w:val="5"/>
      </w:pPr>
      <w:r>
        <w:t>7.6.5 数据源与联动规则</w:t>
      </w:r>
    </w:p>
    <w:p>
      <w:pPr>
        <w:pStyle w:val="16"/>
      </w:pPr>
      <w:r>
        <w:t>员工档案主表：作为员工基础信息、任职信息及档案主键索引的核心数据源；按当前页面表现，员工编号为业务索引字段，最终唯一性规则待明确。</w:t>
      </w:r>
    </w:p>
    <w:p>
      <w:pPr>
        <w:pStyle w:val="16"/>
      </w:pPr>
      <w:r>
        <w:t>组织管理：所属单位、部门等组织字段来源于组织管理模块。</w:t>
      </w:r>
    </w:p>
    <w:p>
      <w:pPr>
        <w:pStyle w:val="16"/>
      </w:pPr>
      <w:r>
        <w:t>系统用户：当员工档案中选择“开通系统账号=是”并保存成功后，需与系统管理模块中的系统用户联动创建或更新账号信息。</w:t>
      </w:r>
    </w:p>
    <w:p>
      <w:pPr>
        <w:pStyle w:val="16"/>
      </w:pPr>
      <w:r>
        <w:t>工资管理：工资信息页签与工资管理模块关联，调薪审批通过后如发生薪资变更，应可回写或同步到员工档案相关薪资信息。</w:t>
      </w:r>
    </w:p>
    <w:p>
      <w:pPr>
        <w:pStyle w:val="16"/>
      </w:pPr>
      <w:r>
        <w:t>人事异动：转正、调薪、调离/变动等信息应与员工档案中的转正日期、调离信息、变动信息形成联动。</w:t>
      </w:r>
    </w:p>
    <w:p>
      <w:pPr>
        <w:pStyle w:val="16"/>
      </w:pPr>
      <w:r>
        <w:t>考核记录：支持从列表页“导入考核”进入批量导入，导入结果写入员工档案中的考核记录子表。</w:t>
      </w:r>
    </w:p>
    <w:p>
      <w:pPr>
        <w:pStyle w:val="16"/>
      </w:pPr>
      <w:r>
        <w:t>我的档案：员工自助页读取员工档案同一套主数据及子表数据，仅在权限边界内允许修改。</w:t>
      </w:r>
    </w:p>
    <w:p>
      <w:pPr>
        <w:pStyle w:val="6"/>
      </w:pPr>
      <w:r>
        <w:t>7.6.6 正常流</w:t>
      </w:r>
    </w:p>
    <w:p>
      <w:pPr>
        <w:pStyle w:val="14"/>
      </w:pPr>
      <w:r>
        <w:t>人事管理员进入员工档案列表页，默认查看“在职”员工。</w:t>
      </w:r>
    </w:p>
    <w:p>
      <w:pPr>
        <w:pStyle w:val="14"/>
      </w:pPr>
      <w:r>
        <w:t>点击“新增”进入人员档案信息页，填写基本信息、任职信息及相关子表内容。</w:t>
      </w:r>
    </w:p>
    <w:p>
      <w:pPr>
        <w:pStyle w:val="14"/>
      </w:pPr>
      <w:r>
        <w:t>若需要创建登录账号，则在档案页勾选“是否开通系统账号=是”，并填写账号、系统密码后保存。</w:t>
      </w:r>
    </w:p>
    <w:p>
      <w:pPr>
        <w:pStyle w:val="14"/>
      </w:pPr>
      <w:r>
        <w:t>保存成功后回写员工档案主表；如涉及系统账号，则同步创建或更新系统用户。</w:t>
      </w:r>
    </w:p>
    <w:p>
      <w:pPr>
        <w:pStyle w:val="14"/>
      </w:pPr>
      <w:r>
        <w:t>管理员可通过列表页对既有员工执行修改、删除、导入档案、导入考核、同步、导出等操作。</w:t>
      </w:r>
    </w:p>
    <w:p>
      <w:pPr>
        <w:pStyle w:val="14"/>
      </w:pPr>
      <w:r>
        <w:t>员工本人通过“我的档案”查看主档，并在允许范围内修改可编辑字段后保存。</w:t>
      </w:r>
    </w:p>
    <w:p>
      <w:pPr>
        <w:pStyle w:val="6"/>
      </w:pPr>
      <w:r>
        <w:t>7.6.7 异常流</w:t>
      </w:r>
    </w:p>
    <w:p>
      <w:pPr>
        <w:pStyle w:val="14"/>
      </w:pPr>
      <w:r>
        <w:t>必填字段缺失：如姓名、身份证号、手机号、员工编号、入职日期等未填写，保存时阻断并提示具体缺失字段。</w:t>
      </w:r>
    </w:p>
    <w:p>
      <w:pPr>
        <w:pStyle w:val="14"/>
      </w:pPr>
      <w:r>
        <w:t>开启系统账号但未填写账号/系统密码：不允许保存，并提示补全账号开通信息。</w:t>
      </w:r>
    </w:p>
    <w:p>
      <w:pPr>
        <w:pStyle w:val="14"/>
      </w:pPr>
      <w:r>
        <w:t>账号、员工编号、身份证号、手机号存在重复：按系统唯一性规则阻断保存；当前具体唯一性口径待最终确认。</w:t>
      </w:r>
    </w:p>
    <w:p>
      <w:pPr>
        <w:pStyle w:val="14"/>
      </w:pPr>
      <w:r>
        <w:t>普通用户尝试在“我的档案”修改受限字段（如姓名、任职信息、人事合同）时，应禁用编辑或提示无权限。</w:t>
      </w:r>
    </w:p>
    <w:p>
      <w:pPr>
        <w:pStyle w:val="14"/>
      </w:pPr>
      <w:r>
        <w:t>全部页签下尝试使用“快速处理”时，不应展示或不允许执行该操作。</w:t>
      </w:r>
    </w:p>
    <w:p>
      <w:pPr>
        <w:pStyle w:val="14"/>
      </w:pPr>
      <w:r>
        <w:t>导入档案/导入考核文件格式错误、字段缺失或映射失败时，应给出失败原因并允许下载错误明细。</w:t>
      </w:r>
    </w:p>
    <w:p>
      <w:pPr>
        <w:pStyle w:val="6"/>
      </w:pPr>
      <w:r>
        <w:t>7.6.8 校验与控制要求</w:t>
      </w:r>
    </w:p>
    <w:p>
      <w:pPr>
        <w:pStyle w:val="16"/>
      </w:pPr>
      <w:r>
        <w:t>出生年月可从身份证号自动提取，但需支持人工修正；年龄需随出生年月变更自动刷新。</w:t>
      </w:r>
    </w:p>
    <w:p>
      <w:pPr>
        <w:pStyle w:val="16"/>
      </w:pPr>
      <w:r>
        <w:t>“是否开通系统账号=是”时，账号与系统密码为必填项，且默认角色为普通用户。</w:t>
      </w:r>
    </w:p>
    <w:p>
      <w:pPr>
        <w:pStyle w:val="16"/>
      </w:pPr>
      <w:r>
        <w:t>管理员维护页与“我的档案”页必须共用同一套员工档案数据，避免形成双份数据。</w:t>
      </w:r>
    </w:p>
    <w:p>
      <w:pPr>
        <w:pStyle w:val="16"/>
      </w:pPr>
      <w:r>
        <w:t>快速处理仅应在符合条件的页签/状态下展示，按当前原型“全部”页签不展示该能力。</w:t>
      </w:r>
    </w:p>
    <w:p>
      <w:pPr>
        <w:pStyle w:val="16"/>
      </w:pPr>
      <w:r>
        <w:t>导入、同步、删除、修改等关键操作应写入管理日志，便于审计追溯。</w:t>
      </w:r>
    </w:p>
    <w:p>
      <w:pPr>
        <w:pStyle w:val="3"/>
      </w:pPr>
      <w:r>
        <w:t>8. 本轮新增待明确清单（人事管理）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转正申请的精确审批路线与节点顺序：当前可确认存在部门审核、人事审核、公司审批、行政审批，但具体先后仍需业务确认。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转正申请表中哪些自评类文本为必填、最大字数、是否允许空值。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调薪申请列表中“加班人员”字段文案是否应更名为“调薪人员”。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调薪申请中“当前</w:t>
      </w:r>
      <w:bookmarkStart w:id="0" w:name="_GoBack"/>
      <w:bookmarkEnd w:id="0"/>
      <w:r>
        <w:rPr>
          <w:rFonts w:ascii="Noto Sans CJK SC" w:hAnsi="Noto Sans CJK SC" w:eastAsia="Noto Sans CJK SC"/>
          <w:sz w:val="21"/>
        </w:rPr>
        <w:t>薪资”的最终数据来源：工资管理、员工档案还是人工录入。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调薪审批通过后是否直接回写工资管理 / 员工工资信息，以及何时生效。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工资管理新增/编辑表单原型、唯一性规则、生效失效机制、同步来源。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工资管理中“所属岗位”“所属部门”列的确切业务语义。</w:t>
      </w:r>
    </w:p>
    <w:p>
      <w:pPr>
        <w:pStyle w:val="14"/>
      </w:pPr>
      <w:r>
        <w:rPr>
          <w:rFonts w:ascii="Noto Sans CJK SC" w:hAnsi="Noto Sans CJK SC" w:eastAsia="Noto Sans CJK SC"/>
          <w:sz w:val="21"/>
        </w:rPr>
        <w:t>导出模板、导入模板、同步能力的数据字段与约束。</w:t>
      </w:r>
    </w:p>
    <w:p>
      <w:pPr>
        <w:pStyle w:val="14"/>
      </w:pPr>
      <w:r>
        <w:t>员工档案的唯一性规则：员工编号、身份证号、手机号、系统账号分别是否唯一，以及冲突时的处理口径。</w:t>
      </w:r>
    </w:p>
    <w:p>
      <w:pPr>
        <w:pStyle w:val="14"/>
      </w:pPr>
      <w:r>
        <w:t>列表页“快速处理”具体包含哪些动作、触发条件是什么、是否与在职/全部页签联动。</w:t>
      </w:r>
    </w:p>
    <w:p>
      <w:pPr>
        <w:pStyle w:val="14"/>
      </w:pPr>
      <w:r>
        <w:t>导入档案、导入考核、同步能力的模板字段、校验规则、失败反馈机制。</w:t>
      </w:r>
    </w:p>
    <w:p>
      <w:pPr>
        <w:pStyle w:val="14"/>
      </w:pPr>
      <w:r>
        <w:t>调离信息、工资信息、请休假情况页签的完整字段与业务规则。</w:t>
      </w:r>
    </w:p>
    <w:p>
      <w:pPr>
        <w:pStyle w:val="14"/>
      </w:pPr>
      <w:r>
        <w:t>我的档案保存后是否直接生效，还是需要管理员复核/审批。</w:t>
      </w:r>
    </w:p>
    <w:sectPr>
      <w:pgSz w:w="12240" w:h="15840"/>
      <w:pgMar w:top="1020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Kaku Gothic Pr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Kaku Gothic Pro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F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2385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50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A5A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2385C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WPS_1559616127</cp:lastModifiedBy>
  <dcterms:modified xsi:type="dcterms:W3CDTF">2026-04-18T15:25:53Z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E707C050594F1E840132E369367D7565_42</vt:lpwstr>
  </property>
</Properties>
</file>