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91130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96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  <w:u w:val="single"/>
        </w:rPr>
        <w:t>Recommandations sur l'utilisation de la téléphonie mobile</w:t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270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>Numéro de téléphone : {{Numéro_de_téléphone}}</w:t>
      </w:r>
    </w:p>
    <w:p>
      <w:pPr>
        <w:autoSpaceDN w:val="0"/>
        <w:autoSpaceDE w:val="0"/>
        <w:widowControl/>
        <w:spacing w:line="240" w:lineRule="auto" w:before="322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Appareil : {{Appareil}} </w:t>
      </w:r>
    </w:p>
    <w:p>
      <w:pPr>
        <w:autoSpaceDN w:val="0"/>
        <w:autoSpaceDE w:val="0"/>
        <w:widowControl/>
        <w:spacing w:line="240" w:lineRule="auto" w:before="126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Numéro de série : {{Numéro_de_série}} </w:t>
      </w:r>
    </w:p>
    <w:p>
      <w:pPr>
        <w:autoSpaceDN w:val="0"/>
        <w:autoSpaceDE w:val="0"/>
        <w:widowControl/>
        <w:spacing w:line="240" w:lineRule="auto" w:before="588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IMEI : {{IMEI}} </w:t>
      </w:r>
    </w:p>
    <w:p>
      <w:pPr>
        <w:autoSpaceDN w:val="0"/>
        <w:autoSpaceDE w:val="0"/>
        <w:widowControl/>
        <w:spacing w:line="240" w:lineRule="auto" w:before="1124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Num. PIN. (ne pas changer) : {{PIN}} </w:t>
      </w:r>
    </w:p>
    <w:p>
      <w:pPr>
        <w:autoSpaceDN w:val="0"/>
        <w:autoSpaceDE w:val="0"/>
        <w:widowControl/>
        <w:spacing w:line="240" w:lineRule="auto" w:before="92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Num. PUK. (ne pas changer) : {{PUK}} </w:t>
      </w:r>
    </w:p>
    <w:p>
      <w:pPr>
        <w:autoSpaceDN w:val="0"/>
        <w:autoSpaceDE w:val="0"/>
        <w:widowControl/>
        <w:spacing w:line="240" w:lineRule="auto" w:before="116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Lock : {{Lock}} </w:t>
      </w:r>
    </w:p>
    <w:p>
      <w:pPr>
        <w:autoSpaceDN w:val="0"/>
        <w:autoSpaceDE w:val="0"/>
        <w:widowControl/>
        <w:spacing w:line="240" w:lineRule="auto" w:before="416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Consignes (voir politique téléphonie PRO) : </w:t>
      </w:r>
    </w:p>
    <w:p>
      <w:pPr>
        <w:autoSpaceDN w:val="0"/>
        <w:autoSpaceDE w:val="0"/>
        <w:widowControl/>
        <w:spacing w:line="240" w:lineRule="auto" w:before="322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Règles d'utilisation des téléphones mobiles professionnels : </w:t>
      </w:r>
    </w:p>
    <w:p>
      <w:pPr>
        <w:autoSpaceDN w:val="0"/>
        <w:autoSpaceDE w:val="0"/>
        <w:widowControl/>
        <w:spacing w:line="247" w:lineRule="auto" w:before="92" w:after="0"/>
        <w:ind w:left="720" w:right="129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Les téléphones mobiles professionnels sont réservés uniquement à un usage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professionnel ; ils ne peuvent pas être utilisés à des fins privées. </w:t>
      </w:r>
    </w:p>
    <w:p>
      <w:pPr>
        <w:autoSpaceDN w:val="0"/>
        <w:autoSpaceDE w:val="0"/>
        <w:widowControl/>
        <w:spacing w:line="240" w:lineRule="auto" w:before="12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Les abonnements sont bloqués pour les appels surtaxés. </w:t>
      </w:r>
    </w:p>
    <w:p>
      <w:pPr>
        <w:autoSpaceDN w:val="0"/>
        <w:autoSpaceDE w:val="0"/>
        <w:widowControl/>
        <w:spacing w:line="254" w:lineRule="auto" w:before="20" w:after="0"/>
        <w:ind w:left="72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Les frais de roaming (téléphonie ou data à l'étranger), appels surtaxés ainsi que les frais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liés à des achats intégrés d'applications qui engendreraient des frais hors abonnement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pourront être refacturés aux collaborateurs par PRO. </w:t>
      </w:r>
    </w:p>
    <w:p>
      <w:pPr>
        <w:autoSpaceDN w:val="0"/>
        <w:autoSpaceDE w:val="0"/>
        <w:widowControl/>
        <w:spacing w:line="254" w:lineRule="auto" w:before="18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En cas de départ de l'entreprise (licenciement, démission, etc.), le téléphone professionnel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doit être restitué à PRO ainsi que la carte SIM correspondante. En cas de manque de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discernement de l'employé, PRO pourra convenir des modalités de restitution du téléphone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et de la carte SIM avec le tuteur légal. </w:t>
      </w:r>
    </w:p>
    <w:p>
      <w:pPr>
        <w:autoSpaceDN w:val="0"/>
        <w:autoSpaceDE w:val="0"/>
        <w:widowControl/>
        <w:spacing w:line="254" w:lineRule="auto" w:before="24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Sur les Iphones, des comptes Itunes PRO individuels sont créés à des fins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professionnelles. L'employé est responsable de l'état de son téléphone. Les éventuels frais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liés à la casse, perte ou vol de son téléphone pourront lui être refacturés par PRO. Il est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fortement conseillé de se procurer une fourre pour protéger le téléphone. </w:t>
      </w:r>
    </w:p>
    <w:p>
      <w:pPr>
        <w:autoSpaceDN w:val="0"/>
        <w:autoSpaceDE w:val="0"/>
        <w:widowControl/>
        <w:spacing w:line="240" w:lineRule="auto" w:before="22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Les comptes personnels ne sont pas autorisés sur les appareils. </w:t>
      </w:r>
    </w:p>
    <w:p>
      <w:pPr>
        <w:autoSpaceDN w:val="0"/>
        <w:autoSpaceDE w:val="0"/>
        <w:widowControl/>
        <w:spacing w:line="245" w:lineRule="auto" w:before="694" w:after="0"/>
        <w:ind w:left="0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Par la présente, je déclare avoir lu et compris les conseils et directives contenus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dans ce document, et m'engage à les respecter le temps de mon engagement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chez PRO. </w:t>
      </w:r>
    </w:p>
    <w:p>
      <w:pPr>
        <w:autoSpaceDN w:val="0"/>
        <w:tabs>
          <w:tab w:pos="3240" w:val="left"/>
        </w:tabs>
        <w:autoSpaceDE w:val="0"/>
        <w:widowControl/>
        <w:spacing w:line="240" w:lineRule="auto" w:before="756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Date : {{Date}}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Signature de l'utilisateur : {{Nom}} </w:t>
      </w:r>
    </w:p>
    <w:sectPr w:rsidR="00FC693F" w:rsidRPr="0006063C" w:rsidSect="00034616">
      <w:pgSz w:w="11904" w:h="16840"/>
      <w:pgMar w:top="432" w:right="1440" w:bottom="900" w:left="13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