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220" w:before="0" w:after="212"/>
        <w:ind w:left="0" w:right="0"/>
        <w:rPr/>
      </w:pPr>
      <w:r>
        <w:rPr/>
      </w:r>
    </w:p>
    <w:p>
      <w:pPr>
        <w:pStyle w:val="Normal"/>
        <w:widowControl/>
        <w:spacing w:lineRule="auto" w:line="240" w:before="0" w:after="0"/>
        <w:ind w:hanging="0" w:left="0" w:right="0"/>
        <w:jc w:val="left"/>
        <w:rPr/>
      </w:pPr>
      <w:r>
        <w:rPr/>
        <w:drawing>
          <wp:inline distT="0" distB="0" distL="0" distR="0">
            <wp:extent cx="2691130" cy="7467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91130" cy="746760"/>
                    </a:xfrm>
                    <a:prstGeom prst="rect">
                      <a:avLst/>
                    </a:prstGeom>
                  </pic:spPr>
                </pic:pic>
              </a:graphicData>
            </a:graphic>
          </wp:inline>
        </w:drawing>
      </w:r>
    </w:p>
    <w:p>
      <w:pPr>
        <w:pStyle w:val="Normal"/>
        <w:widowControl/>
        <w:spacing w:lineRule="auto" w:line="240" w:before="567" w:after="0"/>
        <w:ind w:hanging="0" w:left="0" w:right="0"/>
        <w:jc w:val="left"/>
        <w:rPr/>
      </w:pPr>
      <w:r>
        <w:rPr>
          <w:rFonts w:eastAsia="Verdana" w:ascii="Verdana" w:hAnsi="Verdana"/>
          <w:b/>
          <w:i w:val="false"/>
          <w:color w:val="000000"/>
          <w:sz w:val="22"/>
          <w:u w:val="single"/>
        </w:rPr>
        <w:t>Recommandations sur l'utilisation de la téléphonie mobile</w:t>
      </w:r>
      <w:r>
        <w:rPr>
          <w:rFonts w:eastAsia="Verdana" w:ascii="Verdana" w:hAnsi="Verdana"/>
          <w:b/>
          <w:i w:val="false"/>
          <w:color w:val="000000"/>
          <w:sz w:val="22"/>
        </w:rPr>
        <w:t xml:space="preserve"> </w:t>
      </w:r>
    </w:p>
    <w:p>
      <w:pPr>
        <w:pStyle w:val="Normal"/>
        <w:widowControl/>
        <w:spacing w:lineRule="auto" w:line="240" w:before="270" w:after="0"/>
        <w:ind w:hanging="0" w:left="0" w:right="0"/>
        <w:jc w:val="left"/>
        <w:rPr/>
      </w:pPr>
      <w:r>
        <w:rPr>
          <w:rFonts w:eastAsia="Verdana" w:ascii="Verdana" w:hAnsi="Verdana"/>
          <w:b w:val="false"/>
          <w:i w:val="false"/>
          <w:color w:val="000000"/>
          <w:sz w:val="22"/>
        </w:rPr>
        <w:t>Numéro de téléphone : {{Numéro_de_téléphone}}</w:t>
      </w:r>
    </w:p>
    <w:p>
      <w:pPr>
        <w:pStyle w:val="Normal"/>
        <w:widowControl/>
        <w:spacing w:lineRule="auto" w:line="240" w:before="322" w:after="0"/>
        <w:ind w:hanging="0" w:left="0" w:right="0"/>
        <w:jc w:val="left"/>
        <w:rPr/>
      </w:pPr>
      <w:r>
        <w:rPr>
          <w:rFonts w:eastAsia="Verdana" w:ascii="Verdana" w:hAnsi="Verdana"/>
          <w:b w:val="false"/>
          <w:i w:val="false"/>
          <w:color w:val="000000"/>
          <w:sz w:val="22"/>
        </w:rPr>
        <w:t xml:space="preserve">Balise de l’actif : {{Asset_tag}} </w:t>
      </w:r>
    </w:p>
    <w:p>
      <w:pPr>
        <w:pStyle w:val="Normal"/>
        <w:widowControl/>
        <w:spacing w:lineRule="auto" w:line="240" w:before="126" w:after="0"/>
        <w:ind w:hanging="0" w:left="0" w:right="0"/>
        <w:jc w:val="left"/>
        <w:rPr/>
      </w:pPr>
      <w:r>
        <w:rPr>
          <w:rFonts w:eastAsia="Verdana" w:ascii="Verdana" w:hAnsi="Verdana"/>
          <w:b w:val="false"/>
          <w:i w:val="false"/>
          <w:color w:val="000000"/>
          <w:sz w:val="22"/>
        </w:rPr>
        <w:t xml:space="preserve">Numéro de série : {{Numéro_de_série}} </w:t>
      </w:r>
    </w:p>
    <w:p>
      <w:pPr>
        <w:pStyle w:val="Normal"/>
        <w:widowControl/>
        <w:spacing w:lineRule="auto" w:line="240" w:before="283" w:after="0"/>
        <w:ind w:hanging="0" w:left="0" w:right="0"/>
        <w:jc w:val="left"/>
        <w:rPr/>
      </w:pPr>
      <w:r>
        <w:rPr>
          <w:rFonts w:eastAsia="Verdana" w:ascii="Verdana" w:hAnsi="Verdana"/>
          <w:b w:val="false"/>
          <w:i w:val="false"/>
          <w:color w:val="000000"/>
          <w:sz w:val="22"/>
        </w:rPr>
        <w:t xml:space="preserve">IMEI : {{IMEI}} </w:t>
      </w:r>
    </w:p>
    <w:p>
      <w:pPr>
        <w:pStyle w:val="Normal"/>
        <w:widowControl/>
        <w:spacing w:lineRule="auto" w:line="240" w:before="283" w:after="0"/>
        <w:ind w:hanging="0" w:left="0" w:right="0"/>
        <w:jc w:val="left"/>
        <w:rPr/>
      </w:pPr>
      <w:r>
        <w:rPr>
          <w:rFonts w:eastAsia="Verdana" w:ascii="Verdana" w:hAnsi="Verdana"/>
          <w:b w:val="false"/>
          <w:i w:val="false"/>
          <w:color w:val="000000"/>
          <w:sz w:val="22"/>
        </w:rPr>
        <w:t>PIN : {{PIN}} (</w:t>
      </w:r>
      <w:r>
        <w:rPr>
          <w:rFonts w:eastAsia="Verdana" w:ascii="Verdana" w:hAnsi="Verdana"/>
          <w:b/>
          <w:bCs/>
          <w:i w:val="false"/>
          <w:color w:val="C9211E"/>
          <w:sz w:val="22"/>
        </w:rPr>
        <w:t>ne pas changer</w:t>
      </w:r>
      <w:r>
        <w:rPr>
          <w:rFonts w:eastAsia="Verdana" w:ascii="Verdana" w:hAnsi="Verdana"/>
          <w:b w:val="false"/>
          <w:i w:val="false"/>
          <w:color w:val="000000"/>
          <w:sz w:val="22"/>
        </w:rPr>
        <w:t xml:space="preserve">) </w:t>
      </w:r>
    </w:p>
    <w:p>
      <w:pPr>
        <w:pStyle w:val="Normal"/>
        <w:widowControl/>
        <w:spacing w:lineRule="auto" w:line="240" w:before="92" w:after="0"/>
        <w:ind w:hanging="0" w:left="0" w:right="0"/>
        <w:jc w:val="left"/>
        <w:rPr/>
      </w:pPr>
      <w:r>
        <w:rPr>
          <w:rFonts w:eastAsia="Verdana" w:ascii="Verdana" w:hAnsi="Verdana"/>
          <w:b w:val="false"/>
          <w:i w:val="false"/>
          <w:color w:val="000000"/>
          <w:sz w:val="22"/>
        </w:rPr>
        <w:t>PUK : {{PUK}} (</w:t>
      </w:r>
      <w:r>
        <w:rPr>
          <w:rFonts w:eastAsia="Verdana" w:ascii="Verdana" w:hAnsi="Verdana"/>
          <w:b/>
          <w:bCs/>
          <w:i w:val="false"/>
          <w:color w:val="C9211E"/>
          <w:sz w:val="22"/>
        </w:rPr>
        <w:t>ne pas changer</w:t>
      </w:r>
      <w:r>
        <w:rPr>
          <w:rFonts w:eastAsia="Verdana" w:ascii="Verdana" w:hAnsi="Verdana"/>
          <w:b w:val="false"/>
          <w:i w:val="false"/>
          <w:color w:val="000000"/>
          <w:sz w:val="22"/>
        </w:rPr>
        <w:t xml:space="preserve">) </w:t>
      </w:r>
    </w:p>
    <w:p>
      <w:pPr>
        <w:pStyle w:val="Normal"/>
        <w:widowControl/>
        <w:spacing w:lineRule="auto" w:line="240" w:before="116" w:after="0"/>
        <w:ind w:hanging="0" w:left="0" w:right="0"/>
        <w:jc w:val="left"/>
        <w:rPr/>
      </w:pPr>
      <w:r>
        <w:rPr>
          <w:rFonts w:eastAsia="Verdana" w:ascii="Verdana" w:hAnsi="Verdana"/>
          <w:b w:val="false"/>
          <w:i w:val="false"/>
          <w:color w:val="000000"/>
          <w:sz w:val="22"/>
        </w:rPr>
        <w:t xml:space="preserve">Lock : {{Lock}} </w:t>
      </w:r>
    </w:p>
    <w:p>
      <w:pPr>
        <w:pStyle w:val="Normal"/>
        <w:widowControl/>
        <w:spacing w:lineRule="auto" w:line="240" w:before="850" w:after="0"/>
        <w:ind w:hanging="0" w:left="0" w:right="0"/>
        <w:jc w:val="left"/>
        <w:rPr/>
      </w:pPr>
      <w:r>
        <w:rPr>
          <w:rFonts w:eastAsia="Verdana" w:ascii="Verdana" w:hAnsi="Verdana"/>
          <w:b/>
          <w:i w:val="false"/>
          <w:color w:val="000000"/>
          <w:sz w:val="22"/>
        </w:rPr>
        <w:t xml:space="preserve">Consignes (voir politique téléphonie PRO) : </w:t>
      </w:r>
    </w:p>
    <w:p>
      <w:pPr>
        <w:pStyle w:val="Normal"/>
        <w:widowControl/>
        <w:spacing w:lineRule="auto" w:line="240" w:before="322" w:after="0"/>
        <w:ind w:hanging="0" w:left="0" w:right="0"/>
        <w:jc w:val="left"/>
        <w:rPr/>
      </w:pPr>
      <w:r>
        <w:rPr>
          <w:rFonts w:eastAsia="Verdana" w:ascii="Verdana" w:hAnsi="Verdana"/>
          <w:b w:val="false"/>
          <w:i w:val="false"/>
          <w:color w:val="000000"/>
          <w:sz w:val="22"/>
        </w:rPr>
        <w:t xml:space="preserve">Règles d'utilisation des téléphones mobiles professionnels : </w:t>
      </w:r>
    </w:p>
    <w:p>
      <w:pPr>
        <w:pStyle w:val="Normal"/>
        <w:widowControl/>
        <w:spacing w:lineRule="auto" w:line="247" w:before="92" w:after="0"/>
        <w:ind w:hanging="0" w:left="720" w:right="1296"/>
        <w:jc w:val="left"/>
        <w:rPr/>
      </w:pPr>
      <w:r>
        <w:rPr>
          <w:rFonts w:eastAsia="Verdana" w:ascii="Verdana" w:hAnsi="Verdana"/>
          <w:b w:val="false"/>
          <w:i w:val="false"/>
          <w:color w:val="000000"/>
          <w:sz w:val="18"/>
        </w:rPr>
        <w:t xml:space="preserve">Les téléphones mobiles professionnels sont réservés uniquement à un usage professionnel ; ils ne peuvent pas être utilisés à des fins privées. </w:t>
      </w:r>
    </w:p>
    <w:p>
      <w:pPr>
        <w:pStyle w:val="Normal"/>
        <w:widowControl/>
        <w:spacing w:lineRule="auto" w:line="240" w:before="12" w:after="0"/>
        <w:ind w:hanging="0" w:left="720" w:right="0"/>
        <w:jc w:val="left"/>
        <w:rPr/>
      </w:pPr>
      <w:r>
        <w:rPr>
          <w:rFonts w:eastAsia="Verdana" w:ascii="Verdana" w:hAnsi="Verdana"/>
          <w:b w:val="false"/>
          <w:i w:val="false"/>
          <w:color w:val="000000"/>
          <w:sz w:val="18"/>
        </w:rPr>
        <w:t xml:space="preserve">Les abonnements sont bloqués pour les appels surtaxés. </w:t>
      </w:r>
    </w:p>
    <w:p>
      <w:pPr>
        <w:pStyle w:val="Normal"/>
        <w:widowControl/>
        <w:spacing w:lineRule="auto" w:line="252" w:before="20" w:after="0"/>
        <w:ind w:hanging="0" w:left="720" w:right="288"/>
        <w:jc w:val="left"/>
        <w:rPr/>
      </w:pPr>
      <w:r>
        <w:rPr>
          <w:rFonts w:eastAsia="Verdana" w:ascii="Verdana" w:hAnsi="Verdana"/>
          <w:b w:val="false"/>
          <w:i w:val="false"/>
          <w:color w:val="000000"/>
          <w:sz w:val="18"/>
        </w:rPr>
        <w:t xml:space="preserve">Les frais de roaming (téléphonie ou data à l'étranger), appels surtaxés ainsi que les frais liés à des achats intégrés d'applications qui engendreraient des frais hors abonnement pourront être refacturés aux collaborateurs par PRO. </w:t>
      </w:r>
    </w:p>
    <w:p>
      <w:pPr>
        <w:pStyle w:val="Normal"/>
        <w:widowControl/>
        <w:spacing w:lineRule="auto" w:line="252" w:before="18" w:after="0"/>
        <w:ind w:hanging="0" w:left="720" w:right="0"/>
        <w:jc w:val="left"/>
        <w:rPr/>
      </w:pPr>
      <w:r>
        <w:rPr>
          <w:rFonts w:eastAsia="Verdana" w:ascii="Verdana" w:hAnsi="Verdana"/>
          <w:b w:val="false"/>
          <w:i w:val="false"/>
          <w:color w:val="000000"/>
          <w:sz w:val="18"/>
        </w:rPr>
        <w:t xml:space="preserve">En cas de départ de l'entreprise (licenciement, démission, etc.), le téléphone professionnel doit être restitué à PRO ainsi que la carte SIM correspondante. En cas de manque de discernement de l'employé, PRO pourra convenir des modalités de restitution du téléphone et de la carte SIM avec le tuteur légal. </w:t>
      </w:r>
    </w:p>
    <w:p>
      <w:pPr>
        <w:pStyle w:val="Normal"/>
        <w:widowControl/>
        <w:spacing w:lineRule="auto" w:line="252" w:before="24" w:after="0"/>
        <w:ind w:hanging="0" w:left="720" w:right="0"/>
        <w:jc w:val="left"/>
        <w:rPr/>
      </w:pPr>
      <w:r>
        <w:rPr>
          <w:rFonts w:eastAsia="Verdana" w:ascii="Verdana" w:hAnsi="Verdana"/>
          <w:b w:val="false"/>
          <w:i w:val="false"/>
          <w:color w:val="000000"/>
          <w:sz w:val="18"/>
        </w:rPr>
        <w:t xml:space="preserve">Sur les Iphones, des comptes Itunes PRO individuels sont créés à des fins </w:t>
      </w:r>
      <w:r>
        <w:rPr/>
        <w:br/>
      </w:r>
      <w:r>
        <w:rPr>
          <w:rFonts w:eastAsia="Verdana" w:ascii="Verdana" w:hAnsi="Verdana"/>
          <w:b w:val="false"/>
          <w:i w:val="false"/>
          <w:color w:val="000000"/>
          <w:sz w:val="18"/>
        </w:rPr>
        <w:t xml:space="preserve">professionnelles. L'employé est responsable de l'état de son téléphone. Les éventuels frais liés à la casse, perte ou vol de son téléphone pourront lui être refacturés par PRO. Il est fortement conseillé de se procurer une fourre pour protéger le téléphone. </w:t>
      </w:r>
    </w:p>
    <w:p>
      <w:pPr>
        <w:pStyle w:val="Normal"/>
        <w:widowControl/>
        <w:spacing w:lineRule="auto" w:line="240" w:before="22" w:after="0"/>
        <w:ind w:hanging="0" w:left="720" w:right="0"/>
        <w:jc w:val="left"/>
        <w:rPr/>
      </w:pPr>
      <w:r>
        <w:rPr>
          <w:rFonts w:eastAsia="Verdana" w:ascii="Verdana" w:hAnsi="Verdana"/>
          <w:b w:val="false"/>
          <w:i w:val="false"/>
          <w:color w:val="000000"/>
          <w:sz w:val="18"/>
        </w:rPr>
        <w:t xml:space="preserve">Les comptes personnels ne sont pas autorisés sur les appareils. </w:t>
      </w:r>
    </w:p>
    <w:p>
      <w:pPr>
        <w:pStyle w:val="Normal"/>
        <w:widowControl/>
        <w:spacing w:lineRule="auto" w:line="240" w:before="1417" w:after="0"/>
        <w:ind w:hanging="0" w:left="0" w:right="144"/>
        <w:jc w:val="left"/>
        <w:rPr/>
      </w:pPr>
      <w:r>
        <w:rPr>
          <w:rFonts w:eastAsia="Verdana" w:ascii="Verdana" w:hAnsi="Verdana"/>
          <w:b w:val="false"/>
          <w:i w:val="false"/>
          <w:color w:val="000000"/>
          <w:sz w:val="22"/>
        </w:rPr>
        <w:t xml:space="preserve">Par la présente, je déclare avoir lu et compris les conseils et directives contenus dans ce document, et m'engage à les respecter le temps de mon engagement chez PRO. </w:t>
      </w:r>
    </w:p>
    <w:p>
      <w:pPr>
        <w:pStyle w:val="Normal"/>
        <w:widowControl/>
        <w:tabs>
          <w:tab w:val="clear" w:pos="720"/>
          <w:tab w:val="left" w:pos="3240" w:leader="none"/>
        </w:tabs>
        <w:spacing w:lineRule="auto" w:line="240" w:before="756" w:after="0"/>
        <w:ind w:hanging="0" w:left="0" w:right="0"/>
        <w:jc w:val="left"/>
        <w:rPr/>
      </w:pPr>
      <w:r>
        <w:rPr>
          <w:rFonts w:eastAsia="Verdana" w:ascii="Verdana" w:hAnsi="Verdana"/>
          <w:b w:val="false"/>
          <w:i w:val="false"/>
          <w:color w:val="000000"/>
          <w:sz w:val="22"/>
        </w:rPr>
        <w:t xml:space="preserve">Date : {{Date}} </w:t>
      </w:r>
      <w:r>
        <w:rPr/>
        <w:tab/>
      </w:r>
      <w:r>
        <w:rPr>
          <w:rFonts w:eastAsia="Verdana" w:ascii="Verdana" w:hAnsi="Verdana"/>
          <w:b w:val="false"/>
          <w:i w:val="false"/>
          <w:color w:val="000000"/>
          <w:sz w:val="22"/>
        </w:rPr>
        <w:t xml:space="preserve">Signature de l'utilisateur : {{Utilise_par}} </w:t>
      </w:r>
    </w:p>
    <w:sectPr>
      <w:type w:val="nextPage"/>
      <w:pgSz w:w="11906" w:h="16838"/>
      <w:pgMar w:left="1334" w:right="1440" w:gutter="0" w:header="0" w:top="432" w:footer="0" w:bottom="90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LibreOffice/24.2.5.2$Linux_X86_64 LibreOffice_project/420$Build-2</Application>
  <AppVersion>15.0000</AppVersion>
  <Pages>1</Pages>
  <Words>267</Words>
  <Characters>1469</Characters>
  <CharactersWithSpaces>1737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2024-10-24T13:44:16Z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