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81" w:rsidRDefault="00E82A77" w:rsidP="0067751F">
      <w:pPr>
        <w:pStyle w:val="Paragrafoelenco"/>
        <w:numPr>
          <w:ilvl w:val="0"/>
          <w:numId w:val="1"/>
        </w:numPr>
      </w:pPr>
      <w:r>
        <w:t xml:space="preserve">La </w:t>
      </w:r>
      <w:r w:rsidR="0067751F" w:rsidRPr="0067751F">
        <w:t>politica e i suoi limiti: diritto parlamentare e diritto costituzionale</w:t>
      </w:r>
    </w:p>
    <w:p w:rsidR="00E82A77" w:rsidRDefault="0067751F" w:rsidP="0067751F">
      <w:pPr>
        <w:pStyle w:val="Paragrafoelenco"/>
        <w:numPr>
          <w:ilvl w:val="1"/>
          <w:numId w:val="1"/>
        </w:numPr>
      </w:pPr>
      <w:r w:rsidRPr="0067751F">
        <w:t>Una definizione del diritto parlamentare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Il diritto parlamentare come avanguardia del diritto costituzionale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Il sistema parlamentare euronazionale nella Costituzione «composita»</w:t>
      </w:r>
    </w:p>
    <w:p w:rsidR="0067751F" w:rsidRDefault="0067751F" w:rsidP="0067751F">
      <w:pPr>
        <w:pStyle w:val="Paragrafoelenco"/>
        <w:numPr>
          <w:ilvl w:val="0"/>
          <w:numId w:val="1"/>
        </w:numPr>
      </w:pPr>
      <w:r w:rsidRPr="0067751F">
        <w:t>La storia dei regolamenti parlamentari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Un'evoluzione nel segno della continuità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L'epoca statutaria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La fase transitoria e l'avvio (con i regolamenti vecchi) del Parlamento</w:t>
      </w:r>
      <w:r>
        <w:t xml:space="preserve"> repubblicano</w:t>
      </w:r>
    </w:p>
    <w:p w:rsidR="00E82A77" w:rsidRDefault="0067751F" w:rsidP="0067751F">
      <w:pPr>
        <w:pStyle w:val="Paragrafoelenco"/>
        <w:numPr>
          <w:ilvl w:val="1"/>
          <w:numId w:val="1"/>
        </w:numPr>
      </w:pPr>
      <w:r w:rsidRPr="0067751F">
        <w:t>I nuovi regolamenti del 197</w:t>
      </w:r>
      <w:r>
        <w:t>1 e le loro successive modifiche</w:t>
      </w:r>
    </w:p>
    <w:p w:rsidR="0067751F" w:rsidRDefault="0067751F" w:rsidP="0067751F">
      <w:pPr>
        <w:pStyle w:val="Paragrafoelenco"/>
        <w:numPr>
          <w:ilvl w:val="0"/>
          <w:numId w:val="1"/>
        </w:numPr>
      </w:pPr>
      <w:r w:rsidRPr="0067751F">
        <w:t>Le fonti del diritto parlamentare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La Costituzione e le leggi costituzionali (e i trattati europei)</w:t>
      </w:r>
    </w:p>
    <w:p w:rsidR="0067751F" w:rsidRDefault="0067751F" w:rsidP="0067751F">
      <w:pPr>
        <w:pStyle w:val="Paragrafoelenco"/>
        <w:numPr>
          <w:ilvl w:val="1"/>
          <w:numId w:val="1"/>
        </w:numPr>
      </w:pPr>
      <w:r w:rsidRPr="0067751F">
        <w:t>I regolamenti di Camera e Senato</w:t>
      </w:r>
    </w:p>
    <w:p w:rsidR="0067751F" w:rsidRDefault="0067751F" w:rsidP="0067751F">
      <w:pPr>
        <w:pStyle w:val="Paragrafoelenco"/>
        <w:numPr>
          <w:ilvl w:val="2"/>
          <w:numId w:val="1"/>
        </w:numPr>
      </w:pPr>
      <w:r w:rsidRPr="0067751F">
        <w:t>Fonti dell'ordinamento generale</w:t>
      </w:r>
    </w:p>
    <w:p w:rsidR="0067751F" w:rsidRDefault="0067751F" w:rsidP="00D10A93">
      <w:pPr>
        <w:pStyle w:val="Paragrafoelenco"/>
        <w:numPr>
          <w:ilvl w:val="2"/>
          <w:numId w:val="1"/>
        </w:numPr>
        <w:ind w:left="1077" w:hanging="357"/>
        <w:jc w:val="left"/>
      </w:pPr>
      <w:r w:rsidRPr="0067751F">
        <w:t>Fonti primarie, ma prive di forza di legge e non utilizzabili come norme</w:t>
      </w:r>
      <w:r>
        <w:t xml:space="preserve"> </w:t>
      </w:r>
      <w:r w:rsidRPr="0067751F">
        <w:t>interposte nel giudizio di costituzionalità</w:t>
      </w:r>
      <w:bookmarkStart w:id="0" w:name="_GoBack"/>
      <w:bookmarkEnd w:id="0"/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La riserva di regolamento parlamentare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Il procedimento di formazione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I regolamenti parlamentari speciali, minori e secondari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leggi ordinarie e il loro «intarsio» con i regolamenti parlamentari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Gli statuti o regolamenti dei gruppi: fonti del diritto parlamentare?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fonti-fatto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Le consuetudini costituzionali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Le convenzioni costituzionali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Le regole di correttezza costituzionale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La prassi e la formazione dei precedenti</w:t>
      </w:r>
    </w:p>
    <w:p w:rsidR="0067751F" w:rsidRDefault="0067751F" w:rsidP="0067751F">
      <w:pPr>
        <w:pStyle w:val="Paragrafoelenco"/>
        <w:numPr>
          <w:ilvl w:val="0"/>
          <w:numId w:val="1"/>
        </w:numPr>
        <w:jc w:val="left"/>
      </w:pPr>
      <w:r w:rsidRPr="0067751F">
        <w:t>Lo status dei parlamentari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Una serie di garanzie a tutela della funzione parlamentare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immunità parlamentari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Le origini, tra Inghilterra e Francia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L'insindacabilità delle opinioni espresse nell'esercizio delle funzioni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L'inviolabilità, salvo autorizzazione al provvedimento (all'arresto</w:t>
      </w:r>
      <w:r>
        <w:t xml:space="preserve"> </w:t>
      </w:r>
      <w:r w:rsidRPr="0067751F">
        <w:t>e alle intercettazioni telefoniche)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L'indennità parlamentare, la diaria e il dovere di partecipare alle sedute</w:t>
      </w:r>
    </w:p>
    <w:p w:rsidR="00E82A77" w:rsidRDefault="0067751F" w:rsidP="0067751F">
      <w:pPr>
        <w:pStyle w:val="Paragrafoelenco"/>
        <w:numPr>
          <w:ilvl w:val="1"/>
          <w:numId w:val="1"/>
        </w:numPr>
        <w:jc w:val="left"/>
      </w:pPr>
      <w:r>
        <w:t>L'anagrafe patrimoniale e le spese elettorali. Le prerogative cosiddette</w:t>
      </w:r>
      <w:r>
        <w:t xml:space="preserve"> </w:t>
      </w:r>
      <w:r w:rsidRPr="0067751F">
        <w:t>«minori»</w:t>
      </w:r>
    </w:p>
    <w:p w:rsidR="0067751F" w:rsidRDefault="0067751F" w:rsidP="0067751F">
      <w:pPr>
        <w:pStyle w:val="Paragrafoelenco"/>
        <w:numPr>
          <w:ilvl w:val="0"/>
          <w:numId w:val="1"/>
        </w:numPr>
        <w:jc w:val="left"/>
      </w:pPr>
      <w:r w:rsidRPr="0067751F">
        <w:t>I parlamentari e la rappresentanza politica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La rappresentatività dei Parlamenti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I sistemi elettorali di Camera e Senato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L'evoluzione del sistema elettorale: dal proporzionale al maggioritario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La legge elettorale vigente: un sistema «misto» con voto unico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La verifica delle elezioni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L'accertamento delle cause di ineleggibilità e di incompatibilità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I gruppi parlamentari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La formazione dei gruppi (ordinari e autorizzati)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Il gruppo misto e le sue componenti politiche</w:t>
      </w:r>
    </w:p>
    <w:p w:rsidR="0067751F" w:rsidRDefault="0067751F" w:rsidP="0067751F">
      <w:pPr>
        <w:pStyle w:val="Paragrafoelenco"/>
        <w:numPr>
          <w:ilvl w:val="2"/>
          <w:numId w:val="1"/>
        </w:numPr>
        <w:jc w:val="left"/>
      </w:pPr>
      <w:r w:rsidRPr="0067751F">
        <w:t>Le funzioni dei gruppi parlamentari</w:t>
      </w:r>
    </w:p>
    <w:p w:rsidR="0067751F" w:rsidRDefault="0067751F" w:rsidP="0067751F">
      <w:pPr>
        <w:pStyle w:val="Paragrafoelenco"/>
        <w:numPr>
          <w:ilvl w:val="0"/>
          <w:numId w:val="1"/>
        </w:numPr>
        <w:jc w:val="left"/>
      </w:pPr>
      <w:r w:rsidRPr="0067751F">
        <w:t>L'organizzazione del Parlamento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Il bicameralismo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Il Parlamento in seduta comune e le commissioni bicamerali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commissioni permanenti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commissioni speciali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giunte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Il Presidente d'Assemblea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La Conferenza dei capigruppo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L'ufficio di Presidenza</w:t>
      </w:r>
    </w:p>
    <w:p w:rsidR="0067751F" w:rsidRDefault="0067751F" w:rsidP="0067751F">
      <w:pPr>
        <w:pStyle w:val="Paragrafoelenco"/>
        <w:numPr>
          <w:ilvl w:val="1"/>
          <w:numId w:val="1"/>
        </w:numPr>
        <w:jc w:val="left"/>
      </w:pPr>
      <w:r w:rsidRPr="0067751F">
        <w:t>Le strutture di supporto e l'autodichia</w:t>
      </w:r>
    </w:p>
    <w:p w:rsidR="0067751F" w:rsidRDefault="003310AC" w:rsidP="003310AC">
      <w:pPr>
        <w:pStyle w:val="Paragrafoelenco"/>
        <w:numPr>
          <w:ilvl w:val="0"/>
          <w:numId w:val="1"/>
        </w:numPr>
        <w:jc w:val="left"/>
      </w:pPr>
      <w:r w:rsidRPr="003310AC">
        <w:t>Le funzioni del Parlamento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La classificazione delle funzioni parlamentari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Le funzioni di indirizzo politico, legislativa, di controllo, di garanzia</w:t>
      </w:r>
      <w:r>
        <w:t xml:space="preserve"> </w:t>
      </w:r>
      <w:r w:rsidRPr="003310AC">
        <w:t>costituzionale e di coordinamento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Il principio della polifunzionalità dei procedimenti parlamentari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La decisione parlamentare: le votazioni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regole sulle votazioni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L'ordine delle votazioni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dichiarazioni di voto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Il numero legale e la sua verifica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modalità di votazione: voto palese e voto segreto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Lo scrutinio e il calcolo delle maggioranze (e degli astenuti)</w:t>
      </w:r>
    </w:p>
    <w:p w:rsidR="003310AC" w:rsidRDefault="003310AC" w:rsidP="003310AC">
      <w:pPr>
        <w:pStyle w:val="Paragrafoelenco"/>
        <w:numPr>
          <w:ilvl w:val="0"/>
          <w:numId w:val="1"/>
        </w:numPr>
        <w:jc w:val="left"/>
      </w:pPr>
      <w:r>
        <w:t xml:space="preserve"> </w:t>
      </w:r>
      <w:r w:rsidRPr="003310AC">
        <w:t>I procedimenti parlamentari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 procedimenti organizzatori: la programmazione dei lavori in aula</w:t>
      </w:r>
      <w:r>
        <w:t xml:space="preserve"> e in commissione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origini e le evoluzioni della programmazione dei lavori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Gli strumenti della programmazione dei lavori nella disciplina</w:t>
      </w:r>
      <w:r>
        <w:t xml:space="preserve"> vigente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lastRenderedPageBreak/>
        <w:t>Il contingentamento dei tempi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I rapporti tra la programmazione in Assemblea</w:t>
      </w:r>
      <w:r>
        <w:t xml:space="preserve"> e in Commissione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 procedimenti conoscitivi e ispettivi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L'informazione parlamentare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commissioni d'inchiesta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indagini conoscitive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audizioni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interrogazioni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 interpellanze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 procedimenti di indirizzo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Indirizzo politico e programma di governo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L'origine storica e l'efficacia degli atti di indirizzo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mozione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risoluzione, in Assemblea e in commissione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L'ordine del giorno (di istruzione al Governo)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 procedimenti fiduciari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Il rapporto fiduciario e la debole «razionalizzazione» della forma</w:t>
      </w:r>
      <w:r>
        <w:t xml:space="preserve"> di governo parlamentare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mozione di fiducia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mozione di sfiducia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mozione di sfiducia al singolo ministro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questione di fiducia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Il procedimento legislativo ordinario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L'iniziativa legislativa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L'esame in commissione (in sede referente)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L'esame in Assemblea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I procedimenti in sede legislativa (o deliberante) e in sede redigente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La promulgazione e la pubblicazione</w:t>
      </w:r>
    </w:p>
    <w:p w:rsidR="003310AC" w:rsidRDefault="003310AC" w:rsidP="003310AC">
      <w:pPr>
        <w:pStyle w:val="Paragrafoelenco"/>
        <w:numPr>
          <w:ilvl w:val="1"/>
          <w:numId w:val="1"/>
        </w:numPr>
        <w:jc w:val="left"/>
      </w:pPr>
      <w:r w:rsidRPr="003310AC">
        <w:t>I procedimenti legislativi «speciali»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costituzionali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amnistia e indulto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autorizzazione alla ratifica dei trattati internazionali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approvazione delle intese con le confessioni acattoliche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conversione dei decreti-legge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delega (e di delegificazione)</w:t>
      </w:r>
    </w:p>
    <w:p w:rsidR="003310AC" w:rsidRDefault="003310AC" w:rsidP="003310AC">
      <w:pPr>
        <w:pStyle w:val="Paragrafoelenco"/>
        <w:numPr>
          <w:ilvl w:val="2"/>
          <w:numId w:val="1"/>
        </w:numPr>
        <w:jc w:val="left"/>
      </w:pPr>
      <w:r w:rsidRPr="003310AC">
        <w:t>Leggi di bilancio, rendiconto e assestamento</w:t>
      </w:r>
    </w:p>
    <w:p w:rsidR="003310AC" w:rsidRDefault="00C51104" w:rsidP="00C51104">
      <w:pPr>
        <w:pStyle w:val="Paragrafoelenco"/>
        <w:numPr>
          <w:ilvl w:val="0"/>
          <w:numId w:val="1"/>
        </w:numPr>
        <w:jc w:val="left"/>
      </w:pPr>
      <w:r w:rsidRPr="00C51104">
        <w:t>Il Parlamento italiano nell'Unione Europea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Il primato delle fonti dell'Unione Europea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I Parlamenti nazionali dopo il trattato di Lisbona</w:t>
      </w:r>
    </w:p>
    <w:p w:rsidR="00C51104" w:rsidRDefault="00C51104" w:rsidP="00C51104">
      <w:pPr>
        <w:pStyle w:val="Paragrafoelenco"/>
        <w:numPr>
          <w:ilvl w:val="2"/>
          <w:numId w:val="1"/>
        </w:numPr>
        <w:jc w:val="left"/>
      </w:pPr>
      <w:r w:rsidRPr="00C51104">
        <w:t>I poteri europei dei Parlamenti nazionali</w:t>
      </w:r>
    </w:p>
    <w:p w:rsidR="00C51104" w:rsidRDefault="00C51104" w:rsidP="00C51104">
      <w:pPr>
        <w:pStyle w:val="Paragrafoelenco"/>
        <w:numPr>
          <w:ilvl w:val="2"/>
          <w:numId w:val="1"/>
        </w:numPr>
        <w:jc w:val="left"/>
      </w:pPr>
      <w:r w:rsidRPr="00C51104">
        <w:t>La vigilanza sul rispetto del principio di sussidiarietà (e il</w:t>
      </w:r>
      <w:r>
        <w:t xml:space="preserve"> </w:t>
      </w:r>
      <w:r w:rsidRPr="00C51104">
        <w:t>cosiddetto «dialogo politico»)</w:t>
      </w:r>
    </w:p>
    <w:p w:rsidR="00C51104" w:rsidRDefault="00C51104" w:rsidP="00C51104">
      <w:pPr>
        <w:pStyle w:val="Paragrafoelenco"/>
        <w:numPr>
          <w:ilvl w:val="2"/>
          <w:numId w:val="1"/>
        </w:numPr>
        <w:jc w:val="left"/>
      </w:pPr>
      <w:r w:rsidRPr="00C51104">
        <w:t>I Parlamenti nazionali nelle procedure di revisione dei trattati</w:t>
      </w:r>
    </w:p>
    <w:p w:rsidR="00C51104" w:rsidRDefault="00C51104" w:rsidP="00C51104">
      <w:pPr>
        <w:pStyle w:val="Paragrafoelenco"/>
        <w:numPr>
          <w:ilvl w:val="2"/>
          <w:numId w:val="1"/>
        </w:numPr>
        <w:jc w:val="left"/>
      </w:pPr>
      <w:r w:rsidRPr="00C51104">
        <w:t>La cooperazione interparlamentare: la COSAC, ma non solo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La cosiddetta «fase ascendente» e la riserva d'esame parlamentare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La cosiddetta «fase discendente»: la legge europea e la legge</w:t>
      </w:r>
      <w:r>
        <w:t xml:space="preserve"> </w:t>
      </w:r>
      <w:r w:rsidRPr="00C51104">
        <w:t>di delegazione europea</w:t>
      </w:r>
    </w:p>
    <w:p w:rsidR="00C51104" w:rsidRDefault="00C51104" w:rsidP="00C51104">
      <w:pPr>
        <w:pStyle w:val="Paragrafoelenco"/>
        <w:numPr>
          <w:ilvl w:val="0"/>
          <w:numId w:val="1"/>
        </w:numPr>
        <w:jc w:val="left"/>
      </w:pPr>
      <w:r w:rsidRPr="00C51104">
        <w:t>La pubblicità dei lavori parlamentari: principi e strumenti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Il principio di pubblicità dei lavori parlamentari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Le forme di pubblicità dei lavori parlamentari: dalle tribune a internet</w:t>
      </w:r>
    </w:p>
    <w:p w:rsidR="00C51104" w:rsidRDefault="00C51104" w:rsidP="00C51104">
      <w:pPr>
        <w:pStyle w:val="Paragrafoelenco"/>
        <w:numPr>
          <w:ilvl w:val="1"/>
          <w:numId w:val="1"/>
        </w:numPr>
        <w:jc w:val="left"/>
      </w:pPr>
      <w:r w:rsidRPr="00C51104">
        <w:t>Gli strumenti dello studioso di diritto parlamentare</w:t>
      </w:r>
    </w:p>
    <w:sectPr w:rsidR="00C51104" w:rsidSect="008F35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80C"/>
    <w:multiLevelType w:val="multilevel"/>
    <w:tmpl w:val="FEF80D4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0E"/>
    <w:rsid w:val="00051AAA"/>
    <w:rsid w:val="000E5C01"/>
    <w:rsid w:val="000E7A63"/>
    <w:rsid w:val="00164DB8"/>
    <w:rsid w:val="00185F74"/>
    <w:rsid w:val="003310AC"/>
    <w:rsid w:val="003502DF"/>
    <w:rsid w:val="003A53BD"/>
    <w:rsid w:val="00443E75"/>
    <w:rsid w:val="006325A3"/>
    <w:rsid w:val="0067751F"/>
    <w:rsid w:val="007E1514"/>
    <w:rsid w:val="008F3581"/>
    <w:rsid w:val="0094243C"/>
    <w:rsid w:val="009E5F79"/>
    <w:rsid w:val="00A9290E"/>
    <w:rsid w:val="00C26240"/>
    <w:rsid w:val="00C51104"/>
    <w:rsid w:val="00D10A93"/>
    <w:rsid w:val="00E43BC6"/>
    <w:rsid w:val="00E82A77"/>
    <w:rsid w:val="00ED7733"/>
    <w:rsid w:val="00F91EEF"/>
    <w:rsid w:val="00F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21C2"/>
  <w15:chartTrackingRefBased/>
  <w15:docId w15:val="{6BB927A7-E461-47D8-9DC2-A4E4019D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5B6F"/>
    <w:pPr>
      <w:spacing w:after="0" w:line="240" w:lineRule="auto"/>
      <w:jc w:val="both"/>
    </w:pPr>
    <w:rPr>
      <w:rFonts w:ascii="Arial" w:hAnsi="Arial" w:cs="Arial"/>
      <w:sz w:val="18"/>
      <w:szCs w:val="18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E43BC6"/>
    <w:pPr>
      <w:pBdr>
        <w:top w:val="nil"/>
        <w:left w:val="nil"/>
        <w:bottom w:val="nil"/>
        <w:right w:val="nil"/>
        <w:between w:val="nil"/>
      </w:pBdr>
      <w:spacing w:before="120"/>
      <w:jc w:val="left"/>
      <w:outlineLvl w:val="0"/>
    </w:pPr>
    <w:rPr>
      <w:rFonts w:ascii="Times New Roman" w:eastAsia="Times New Roman" w:hAnsi="Times New Roman" w:cs="Times New Roman"/>
      <w:b/>
      <w:color w:val="000000"/>
      <w:sz w:val="21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ascalia-2">
    <w:name w:val="Didascalia-2"/>
    <w:link w:val="Didascalia-2Carattere"/>
    <w:autoRedefine/>
    <w:qFormat/>
    <w:rsid w:val="0094243C"/>
    <w:pPr>
      <w:spacing w:line="240" w:lineRule="auto"/>
      <w:jc w:val="both"/>
    </w:pPr>
    <w:rPr>
      <w:rFonts w:ascii="Times New Roman" w:eastAsia="Times New Roman" w:hAnsi="Times New Roman" w:cs="Times New Roman"/>
      <w:b/>
      <w:bCs/>
      <w:color w:val="4F81BD" w:themeColor="accent1"/>
      <w:sz w:val="20"/>
      <w:szCs w:val="24"/>
      <w:lang w:val="en-US" w:eastAsia="it-IT"/>
    </w:rPr>
  </w:style>
  <w:style w:type="character" w:customStyle="1" w:styleId="Didascalia-2Carattere">
    <w:name w:val="Didascalia-2 Carattere"/>
    <w:basedOn w:val="Carpredefinitoparagrafo"/>
    <w:link w:val="Didascalia-2"/>
    <w:rsid w:val="0094243C"/>
    <w:rPr>
      <w:rFonts w:ascii="Times New Roman" w:eastAsia="Times New Roman" w:hAnsi="Times New Roman" w:cs="Times New Roman"/>
      <w:b/>
      <w:bCs/>
      <w:color w:val="4F81BD" w:themeColor="accent1"/>
      <w:sz w:val="20"/>
      <w:szCs w:val="24"/>
      <w:lang w:val="en-US" w:eastAsia="it-IT"/>
    </w:rPr>
  </w:style>
  <w:style w:type="paragraph" w:customStyle="1" w:styleId="Tabella">
    <w:name w:val="Tabella"/>
    <w:basedOn w:val="testoarticoli"/>
    <w:link w:val="TabellaCarattere"/>
    <w:autoRedefine/>
    <w:qFormat/>
    <w:rsid w:val="006325A3"/>
    <w:pPr>
      <w:spacing w:after="0"/>
    </w:pPr>
    <w:rPr>
      <w:rFonts w:asciiTheme="minorHAnsi" w:eastAsiaTheme="minorHAnsi" w:hAnsiTheme="minorHAnsi" w:cstheme="minorBidi"/>
      <w:lang w:eastAsia="en-US"/>
    </w:rPr>
  </w:style>
  <w:style w:type="character" w:customStyle="1" w:styleId="TabellaCarattere">
    <w:name w:val="Tabella Carattere"/>
    <w:basedOn w:val="Carpredefinitoparagrafo"/>
    <w:link w:val="Tabella"/>
    <w:rsid w:val="006325A3"/>
    <w:rPr>
      <w:sz w:val="18"/>
      <w:szCs w:val="18"/>
    </w:rPr>
  </w:style>
  <w:style w:type="paragraph" w:customStyle="1" w:styleId="testoarticoli">
    <w:name w:val="testo articoli"/>
    <w:basedOn w:val="Normale"/>
    <w:link w:val="testoarticoliCarattere"/>
    <w:autoRedefine/>
    <w:qFormat/>
    <w:rsid w:val="000E7A63"/>
    <w:pPr>
      <w:spacing w:after="120"/>
      <w:jc w:val="left"/>
    </w:pPr>
  </w:style>
  <w:style w:type="character" w:customStyle="1" w:styleId="testoarticoliCarattere">
    <w:name w:val="testo articoli Carattere"/>
    <w:basedOn w:val="Carpredefinitoparagrafo"/>
    <w:link w:val="testoarticoli"/>
    <w:rsid w:val="000E7A63"/>
    <w:rPr>
      <w:rFonts w:ascii="Arial" w:eastAsia="Arial" w:hAnsi="Arial" w:cs="Arial"/>
      <w:sz w:val="18"/>
      <w:szCs w:val="18"/>
      <w:lang w:eastAsia="it-IT"/>
    </w:rPr>
  </w:style>
  <w:style w:type="paragraph" w:customStyle="1" w:styleId="footnotes">
    <w:name w:val="footnotes"/>
    <w:link w:val="footnotesCarattere"/>
    <w:autoRedefine/>
    <w:qFormat/>
    <w:rsid w:val="00185F74"/>
    <w:pPr>
      <w:spacing w:after="0" w:line="240" w:lineRule="auto"/>
    </w:pPr>
    <w:rPr>
      <w:rFonts w:ascii="Arial" w:hAnsi="Arial" w:cs="Arial"/>
      <w:sz w:val="14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85F74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85F74"/>
    <w:rPr>
      <w:sz w:val="20"/>
      <w:szCs w:val="20"/>
    </w:rPr>
  </w:style>
  <w:style w:type="character" w:customStyle="1" w:styleId="footnotesCarattere">
    <w:name w:val="footnotes Carattere"/>
    <w:basedOn w:val="TestonotaapidipaginaCarattere"/>
    <w:link w:val="footnotes"/>
    <w:rsid w:val="00185F74"/>
    <w:rPr>
      <w:rFonts w:ascii="Arial" w:eastAsia="Arial" w:hAnsi="Arial" w:cs="Arial"/>
      <w:sz w:val="14"/>
      <w:szCs w:val="20"/>
      <w:lang w:eastAsia="it-IT"/>
    </w:rPr>
  </w:style>
  <w:style w:type="paragraph" w:customStyle="1" w:styleId="tabella-Note">
    <w:name w:val="tabella-Note"/>
    <w:basedOn w:val="Tabella"/>
    <w:link w:val="tabella-NoteCarattere"/>
    <w:autoRedefine/>
    <w:qFormat/>
    <w:rsid w:val="006325A3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sz w:val="16"/>
    </w:rPr>
  </w:style>
  <w:style w:type="character" w:customStyle="1" w:styleId="tabella-NoteCarattere">
    <w:name w:val="tabella-Note Carattere"/>
    <w:basedOn w:val="TabellaCarattere"/>
    <w:link w:val="tabella-Note"/>
    <w:rsid w:val="006325A3"/>
    <w:rPr>
      <w:i/>
      <w:sz w:val="16"/>
      <w:szCs w:val="18"/>
    </w:rPr>
  </w:style>
  <w:style w:type="paragraph" w:customStyle="1" w:styleId="tabella-notes">
    <w:name w:val="tabella-notes"/>
    <w:basedOn w:val="Tabella"/>
    <w:link w:val="tabella-notesCarattere"/>
    <w:autoRedefine/>
    <w:qFormat/>
    <w:rsid w:val="006325A3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sz w:val="16"/>
    </w:rPr>
  </w:style>
  <w:style w:type="character" w:customStyle="1" w:styleId="tabella-notesCarattere">
    <w:name w:val="tabella-notes Carattere"/>
    <w:basedOn w:val="TabellaCarattere"/>
    <w:link w:val="tabella-notes"/>
    <w:rsid w:val="006325A3"/>
    <w:rPr>
      <w:i/>
      <w:sz w:val="16"/>
      <w:szCs w:val="18"/>
    </w:rPr>
  </w:style>
  <w:style w:type="paragraph" w:customStyle="1" w:styleId="header1">
    <w:name w:val="header1"/>
    <w:basedOn w:val="Normale"/>
    <w:link w:val="header1Carattere"/>
    <w:autoRedefine/>
    <w:qFormat/>
    <w:rsid w:val="007E1514"/>
    <w:pPr>
      <w:jc w:val="left"/>
    </w:pPr>
    <w:rPr>
      <w:b/>
      <w:i/>
    </w:rPr>
  </w:style>
  <w:style w:type="character" w:customStyle="1" w:styleId="header1Carattere">
    <w:name w:val="header1 Carattere"/>
    <w:basedOn w:val="Carpredefinitoparagrafo"/>
    <w:link w:val="header1"/>
    <w:rsid w:val="007E1514"/>
    <w:rPr>
      <w:b/>
      <w:i/>
    </w:rPr>
  </w:style>
  <w:style w:type="paragraph" w:customStyle="1" w:styleId="specifica-1">
    <w:name w:val="specifica-1"/>
    <w:basedOn w:val="Normale"/>
    <w:link w:val="specifica-1Carattere"/>
    <w:autoRedefine/>
    <w:qFormat/>
    <w:rsid w:val="007E1514"/>
    <w:pPr>
      <w:jc w:val="right"/>
    </w:pPr>
    <w:rPr>
      <w:i/>
      <w:sz w:val="21"/>
      <w:szCs w:val="21"/>
    </w:rPr>
  </w:style>
  <w:style w:type="character" w:customStyle="1" w:styleId="specifica-1Carattere">
    <w:name w:val="specifica-1 Carattere"/>
    <w:basedOn w:val="Carpredefinitoparagrafo"/>
    <w:link w:val="specifica-1"/>
    <w:rsid w:val="007E1514"/>
    <w:rPr>
      <w:i/>
      <w:sz w:val="21"/>
      <w:szCs w:val="21"/>
    </w:rPr>
  </w:style>
  <w:style w:type="paragraph" w:customStyle="1" w:styleId="interCol">
    <w:name w:val="interCol"/>
    <w:basedOn w:val="Normale"/>
    <w:link w:val="interColCarattere"/>
    <w:autoRedefine/>
    <w:qFormat/>
    <w:rsid w:val="007E1514"/>
    <w:pPr>
      <w:jc w:val="center"/>
    </w:pPr>
    <w:rPr>
      <w:b/>
      <w:sz w:val="20"/>
    </w:rPr>
  </w:style>
  <w:style w:type="character" w:customStyle="1" w:styleId="interColCarattere">
    <w:name w:val="interCol Carattere"/>
    <w:basedOn w:val="Carpredefinitoparagrafo"/>
    <w:link w:val="interCol"/>
    <w:rsid w:val="007E1514"/>
    <w:rPr>
      <w:b/>
      <w:sz w:val="20"/>
    </w:rPr>
  </w:style>
  <w:style w:type="paragraph" w:customStyle="1" w:styleId="specifica-2">
    <w:name w:val="specifica-2"/>
    <w:basedOn w:val="specifica-1"/>
    <w:link w:val="specifica-2Carattere"/>
    <w:autoRedefine/>
    <w:qFormat/>
    <w:rsid w:val="007E1514"/>
    <w:pPr>
      <w:ind w:firstLine="284"/>
      <w:jc w:val="left"/>
    </w:pPr>
  </w:style>
  <w:style w:type="character" w:customStyle="1" w:styleId="specifica-2Carattere">
    <w:name w:val="specifica-2 Carattere"/>
    <w:basedOn w:val="specifica-1Carattere"/>
    <w:link w:val="specifica-2"/>
    <w:rsid w:val="007E1514"/>
    <w:rPr>
      <w:i/>
      <w:sz w:val="21"/>
      <w:szCs w:val="21"/>
    </w:rPr>
  </w:style>
  <w:style w:type="paragraph" w:customStyle="1" w:styleId="interCol2">
    <w:name w:val="interCol2"/>
    <w:basedOn w:val="interCol"/>
    <w:link w:val="interCol2Carattere"/>
    <w:autoRedefine/>
    <w:qFormat/>
    <w:rsid w:val="007E1514"/>
  </w:style>
  <w:style w:type="character" w:customStyle="1" w:styleId="interCol2Carattere">
    <w:name w:val="interCol2 Carattere"/>
    <w:basedOn w:val="interColCarattere"/>
    <w:link w:val="interCol2"/>
    <w:rsid w:val="007E1514"/>
    <w:rPr>
      <w:b/>
      <w:sz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43BC6"/>
    <w:rPr>
      <w:rFonts w:ascii="Times New Roman" w:eastAsia="Times New Roman" w:hAnsi="Times New Roman" w:cs="Times New Roman"/>
      <w:b/>
      <w:color w:val="000000"/>
      <w:sz w:val="21"/>
      <w:szCs w:val="24"/>
    </w:rPr>
  </w:style>
  <w:style w:type="paragraph" w:customStyle="1" w:styleId="titoletti">
    <w:name w:val="titoletti"/>
    <w:basedOn w:val="Normale"/>
    <w:link w:val="titolettiCarattere"/>
    <w:autoRedefine/>
    <w:qFormat/>
    <w:rsid w:val="00164DB8"/>
    <w:pPr>
      <w:spacing w:after="120"/>
      <w:jc w:val="left"/>
      <w:textAlignment w:val="baseline"/>
    </w:pPr>
    <w:rPr>
      <w:rFonts w:eastAsia="Times New Roman"/>
      <w:b/>
      <w:color w:val="000000"/>
      <w:szCs w:val="20"/>
    </w:rPr>
  </w:style>
  <w:style w:type="character" w:customStyle="1" w:styleId="titolettiCarattere">
    <w:name w:val="titoletti Carattere"/>
    <w:basedOn w:val="Carpredefinitoparagrafo"/>
    <w:link w:val="titoletti"/>
    <w:rsid w:val="00164DB8"/>
    <w:rPr>
      <w:rFonts w:ascii="Arial" w:eastAsia="Times New Roman" w:hAnsi="Arial" w:cs="Arial"/>
      <w:b/>
      <w:color w:val="000000"/>
      <w:sz w:val="18"/>
      <w:szCs w:val="20"/>
      <w:lang w:eastAsia="it-IT"/>
    </w:rPr>
  </w:style>
  <w:style w:type="paragraph" w:customStyle="1" w:styleId="didascalia">
    <w:name w:val="didascalia"/>
    <w:basedOn w:val="Normale"/>
    <w:link w:val="didascaliaCarattere"/>
    <w:autoRedefine/>
    <w:qFormat/>
    <w:rsid w:val="00F91EEF"/>
    <w:pPr>
      <w:autoSpaceDE w:val="0"/>
      <w:spacing w:after="40" w:line="192" w:lineRule="auto"/>
      <w:jc w:val="left"/>
    </w:pPr>
    <w:rPr>
      <w:rFonts w:asciiTheme="minorHAnsi" w:eastAsiaTheme="minorEastAsia" w:hAnsiTheme="minorHAnsi" w:cstheme="minorBidi"/>
      <w:bCs/>
      <w:i/>
      <w:sz w:val="24"/>
      <w:szCs w:val="24"/>
      <w:lang w:eastAsia="en-US"/>
    </w:rPr>
  </w:style>
  <w:style w:type="character" w:customStyle="1" w:styleId="didascaliaCarattere">
    <w:name w:val="didascalia Carattere"/>
    <w:basedOn w:val="Carpredefinitoparagrafo"/>
    <w:link w:val="didascalia"/>
    <w:rsid w:val="00F91EEF"/>
    <w:rPr>
      <w:rFonts w:eastAsiaTheme="minorEastAsia"/>
      <w:bCs/>
      <w:i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8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2025-07-19T13:22:00Z</dcterms:created>
  <dcterms:modified xsi:type="dcterms:W3CDTF">2025-07-19T13:40:00Z</dcterms:modified>
</cp:coreProperties>
</file>