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B44" w:rsidRDefault="009D6B44" w:rsidP="009D6B44">
      <w:pPr>
        <w:pStyle w:val="Title"/>
      </w:pPr>
      <w:r>
        <w:t xml:space="preserve">Collins CASE TA2 </w:t>
      </w:r>
      <w:r w:rsidR="00540D67">
        <w:t>Monitor</w:t>
      </w:r>
      <w:r>
        <w:t xml:space="preserve"> Transform</w:t>
      </w:r>
    </w:p>
    <w:p w:rsidR="009D6B44" w:rsidRPr="009D6B44" w:rsidRDefault="009D6B44" w:rsidP="009D6B44"/>
    <w:tbl>
      <w:tblPr>
        <w:tblStyle w:val="TableGrid"/>
        <w:tblW w:w="0" w:type="auto"/>
        <w:tblCellMar>
          <w:top w:w="288" w:type="dxa"/>
          <w:left w:w="288" w:type="dxa"/>
          <w:bottom w:w="288" w:type="dxa"/>
          <w:right w:w="288" w:type="dxa"/>
        </w:tblCellMar>
        <w:tblLook w:val="04A0" w:firstRow="1" w:lastRow="0" w:firstColumn="1" w:lastColumn="0" w:noHBand="0" w:noVBand="1"/>
      </w:tblPr>
      <w:tblGrid>
        <w:gridCol w:w="9350"/>
      </w:tblGrid>
      <w:tr w:rsidR="00F04802" w:rsidTr="0034200D">
        <w:tc>
          <w:tcPr>
            <w:tcW w:w="9350" w:type="dxa"/>
          </w:tcPr>
          <w:p w:rsidR="00D554E7" w:rsidRDefault="0000732E" w:rsidP="0034200D">
            <w:pPr>
              <w:jc w:val="both"/>
              <w:rPr>
                <w:sz w:val="20"/>
              </w:rPr>
            </w:pPr>
            <w:r>
              <w:rPr>
                <w:sz w:val="20"/>
              </w:rPr>
              <w:t xml:space="preserve">To illustrate the </w:t>
            </w:r>
            <w:r w:rsidR="00540D67">
              <w:rPr>
                <w:sz w:val="20"/>
              </w:rPr>
              <w:t>Monitor</w:t>
            </w:r>
            <w:r>
              <w:rPr>
                <w:sz w:val="20"/>
              </w:rPr>
              <w:t xml:space="preserve"> transform, we use a simple producer-consumer example </w:t>
            </w:r>
            <w:r w:rsidR="00D554E7">
              <w:rPr>
                <w:sz w:val="20"/>
              </w:rPr>
              <w:t>model, which can be found here:</w:t>
            </w:r>
          </w:p>
          <w:p w:rsidR="00D554E7" w:rsidRPr="00D554E7" w:rsidRDefault="00D554E7" w:rsidP="00D554E7">
            <w:pPr>
              <w:pStyle w:val="ListParagraph"/>
              <w:ind w:left="0"/>
              <w:jc w:val="both"/>
              <w:rPr>
                <w:sz w:val="18"/>
              </w:rPr>
            </w:pPr>
            <w:r w:rsidRPr="00D554E7">
              <w:rPr>
                <w:rStyle w:val="Hyperlink"/>
                <w:sz w:val="18"/>
              </w:rPr>
              <w:t>https://github.com/loonwerks/CASE/tree/master/TA</w:t>
            </w:r>
            <w:r w:rsidR="00713B61">
              <w:rPr>
                <w:rStyle w:val="Hyperlink"/>
                <w:sz w:val="18"/>
              </w:rPr>
              <w:t>2/Model</w:t>
            </w:r>
            <w:r w:rsidR="00B8057C">
              <w:rPr>
                <w:rStyle w:val="Hyperlink"/>
                <w:sz w:val="18"/>
              </w:rPr>
              <w:t>_</w:t>
            </w:r>
            <w:r w:rsidR="00713B61">
              <w:rPr>
                <w:rStyle w:val="Hyperlink"/>
                <w:sz w:val="18"/>
              </w:rPr>
              <w:t>Transformations/</w:t>
            </w:r>
            <w:r w:rsidR="00540D67">
              <w:rPr>
                <w:rStyle w:val="Hyperlink"/>
                <w:sz w:val="18"/>
              </w:rPr>
              <w:t>Monitor</w:t>
            </w:r>
            <w:r w:rsidRPr="00D554E7">
              <w:rPr>
                <w:rStyle w:val="Hyperlink"/>
                <w:sz w:val="18"/>
              </w:rPr>
              <w:t>/Simple</w:t>
            </w:r>
            <w:r w:rsidR="00B8057C">
              <w:rPr>
                <w:rStyle w:val="Hyperlink"/>
                <w:sz w:val="18"/>
              </w:rPr>
              <w:t>_</w:t>
            </w:r>
            <w:r w:rsidRPr="00D554E7">
              <w:rPr>
                <w:rStyle w:val="Hyperlink"/>
                <w:sz w:val="18"/>
              </w:rPr>
              <w:t>Example</w:t>
            </w:r>
            <w:r w:rsidRPr="00D554E7">
              <w:rPr>
                <w:sz w:val="18"/>
              </w:rPr>
              <w:t xml:space="preserve"> </w:t>
            </w:r>
          </w:p>
          <w:p w:rsidR="0000732E" w:rsidRDefault="0000732E" w:rsidP="0034200D">
            <w:pPr>
              <w:jc w:val="both"/>
              <w:rPr>
                <w:sz w:val="20"/>
              </w:rPr>
            </w:pPr>
          </w:p>
          <w:p w:rsidR="0000732E" w:rsidRDefault="0000732E" w:rsidP="0034200D">
            <w:pPr>
              <w:jc w:val="both"/>
              <w:rPr>
                <w:sz w:val="20"/>
              </w:rPr>
            </w:pPr>
            <w:r>
              <w:rPr>
                <w:sz w:val="20"/>
              </w:rPr>
              <w:t>T</w:t>
            </w:r>
            <w:r w:rsidR="0097504D">
              <w:rPr>
                <w:sz w:val="20"/>
              </w:rPr>
              <w:t>wo</w:t>
            </w:r>
            <w:r>
              <w:rPr>
                <w:sz w:val="20"/>
              </w:rPr>
              <w:t xml:space="preserve"> AADL packages are included:</w:t>
            </w:r>
          </w:p>
          <w:p w:rsidR="0000732E" w:rsidRPr="0000732E" w:rsidRDefault="00540D67" w:rsidP="0000732E">
            <w:pPr>
              <w:pStyle w:val="ListParagraph"/>
              <w:numPr>
                <w:ilvl w:val="0"/>
                <w:numId w:val="3"/>
              </w:numPr>
              <w:jc w:val="both"/>
              <w:rPr>
                <w:sz w:val="20"/>
              </w:rPr>
            </w:pPr>
            <w:proofErr w:type="spellStart"/>
            <w:r>
              <w:rPr>
                <w:sz w:val="20"/>
              </w:rPr>
              <w:t>Monitor</w:t>
            </w:r>
            <w:r w:rsidR="0000732E" w:rsidRPr="0000732E">
              <w:rPr>
                <w:sz w:val="20"/>
              </w:rPr>
              <w:t>.aadl</w:t>
            </w:r>
            <w:proofErr w:type="spellEnd"/>
            <w:r w:rsidR="0000732E" w:rsidRPr="0000732E">
              <w:rPr>
                <w:sz w:val="20"/>
              </w:rPr>
              <w:t xml:space="preserve"> – This is the initial model.</w:t>
            </w:r>
          </w:p>
          <w:p w:rsidR="0000732E" w:rsidRDefault="00D64855" w:rsidP="0034200D">
            <w:pPr>
              <w:pStyle w:val="ListParagraph"/>
              <w:numPr>
                <w:ilvl w:val="0"/>
                <w:numId w:val="3"/>
              </w:numPr>
              <w:jc w:val="both"/>
              <w:rPr>
                <w:sz w:val="20"/>
              </w:rPr>
            </w:pPr>
            <w:proofErr w:type="spellStart"/>
            <w:r w:rsidRPr="0097504D">
              <w:rPr>
                <w:sz w:val="20"/>
              </w:rPr>
              <w:t>CASE_Requirements.aadl</w:t>
            </w:r>
            <w:proofErr w:type="spellEnd"/>
            <w:r w:rsidRPr="0097504D">
              <w:rPr>
                <w:sz w:val="20"/>
              </w:rPr>
              <w:t xml:space="preserve"> – This is the package containing the requirement (in the form of a </w:t>
            </w:r>
            <w:proofErr w:type="gramStart"/>
            <w:r w:rsidRPr="0097504D">
              <w:rPr>
                <w:sz w:val="20"/>
              </w:rPr>
              <w:t>Resolute</w:t>
            </w:r>
            <w:proofErr w:type="gramEnd"/>
            <w:r w:rsidRPr="0097504D">
              <w:rPr>
                <w:sz w:val="20"/>
              </w:rPr>
              <w:t xml:space="preserve"> claim) that dri</w:t>
            </w:r>
            <w:r w:rsidR="0097504D">
              <w:rPr>
                <w:sz w:val="20"/>
              </w:rPr>
              <w:t xml:space="preserve">ves the </w:t>
            </w:r>
            <w:r w:rsidR="00540D67">
              <w:rPr>
                <w:sz w:val="20"/>
              </w:rPr>
              <w:t>monitor</w:t>
            </w:r>
            <w:r w:rsidR="0097504D">
              <w:rPr>
                <w:sz w:val="20"/>
              </w:rPr>
              <w:t xml:space="preserve"> transform.</w:t>
            </w:r>
          </w:p>
          <w:p w:rsidR="0097504D" w:rsidRPr="0097504D" w:rsidRDefault="0097504D" w:rsidP="0097504D">
            <w:pPr>
              <w:pStyle w:val="ListParagraph"/>
              <w:jc w:val="both"/>
              <w:rPr>
                <w:sz w:val="20"/>
              </w:rPr>
            </w:pPr>
          </w:p>
          <w:p w:rsidR="00F04802" w:rsidRDefault="00F04802" w:rsidP="0034200D">
            <w:pPr>
              <w:jc w:val="both"/>
              <w:rPr>
                <w:sz w:val="20"/>
              </w:rPr>
            </w:pPr>
            <w:r w:rsidRPr="0034200D">
              <w:rPr>
                <w:sz w:val="20"/>
              </w:rPr>
              <w:t xml:space="preserve">The </w:t>
            </w:r>
            <w:r w:rsidR="00540D67">
              <w:rPr>
                <w:sz w:val="20"/>
              </w:rPr>
              <w:t>Monitor</w:t>
            </w:r>
            <w:r w:rsidRPr="0034200D">
              <w:rPr>
                <w:sz w:val="20"/>
              </w:rPr>
              <w:t xml:space="preserve"> transform can</w:t>
            </w:r>
            <w:r w:rsidR="0000732E">
              <w:rPr>
                <w:sz w:val="20"/>
              </w:rPr>
              <w:t xml:space="preserve"> also</w:t>
            </w:r>
            <w:r w:rsidRPr="0034200D">
              <w:rPr>
                <w:sz w:val="20"/>
              </w:rPr>
              <w:t xml:space="preserve"> be performed on </w:t>
            </w:r>
            <w:r w:rsidR="0000732E">
              <w:rPr>
                <w:sz w:val="20"/>
              </w:rPr>
              <w:t xml:space="preserve">the CASE Phase 1 </w:t>
            </w:r>
            <w:r w:rsidRPr="0034200D">
              <w:rPr>
                <w:sz w:val="20"/>
              </w:rPr>
              <w:t>UAV example model.  T</w:t>
            </w:r>
            <w:r w:rsidR="0000732E">
              <w:rPr>
                <w:sz w:val="20"/>
              </w:rPr>
              <w:t>hree</w:t>
            </w:r>
            <w:r w:rsidRPr="0034200D">
              <w:rPr>
                <w:sz w:val="20"/>
              </w:rPr>
              <w:t xml:space="preserve"> versions of the model are available for reference:</w:t>
            </w:r>
          </w:p>
          <w:p w:rsidR="00047D01" w:rsidRPr="0034200D" w:rsidRDefault="00047D01" w:rsidP="0034200D">
            <w:pPr>
              <w:jc w:val="both"/>
              <w:rPr>
                <w:sz w:val="20"/>
              </w:rPr>
            </w:pPr>
          </w:p>
          <w:p w:rsidR="00047D01" w:rsidRDefault="00F04802" w:rsidP="00047D01">
            <w:pPr>
              <w:pStyle w:val="ListParagraph"/>
              <w:numPr>
                <w:ilvl w:val="0"/>
                <w:numId w:val="1"/>
              </w:numPr>
              <w:jc w:val="both"/>
              <w:rPr>
                <w:sz w:val="20"/>
              </w:rPr>
            </w:pPr>
            <w:r w:rsidRPr="00047D01">
              <w:rPr>
                <w:sz w:val="20"/>
              </w:rPr>
              <w:t xml:space="preserve">Initial model – This is the </w:t>
            </w:r>
            <w:r w:rsidR="0000732E">
              <w:rPr>
                <w:sz w:val="20"/>
              </w:rPr>
              <w:t>Phase 1</w:t>
            </w:r>
            <w:r w:rsidRPr="00047D01">
              <w:rPr>
                <w:sz w:val="20"/>
              </w:rPr>
              <w:t xml:space="preserve"> UAV model that includes an imported cyber requirement, which drives the </w:t>
            </w:r>
            <w:r w:rsidR="00713B61">
              <w:rPr>
                <w:sz w:val="20"/>
              </w:rPr>
              <w:t>attestation</w:t>
            </w:r>
            <w:r w:rsidR="00881FE8">
              <w:rPr>
                <w:sz w:val="20"/>
              </w:rPr>
              <w:t xml:space="preserve"> of </w:t>
            </w:r>
            <w:r w:rsidR="00713B61">
              <w:rPr>
                <w:sz w:val="20"/>
              </w:rPr>
              <w:t xml:space="preserve">the source of </w:t>
            </w:r>
            <w:r w:rsidR="00881FE8">
              <w:rPr>
                <w:sz w:val="20"/>
              </w:rPr>
              <w:t>incoming messages to</w:t>
            </w:r>
            <w:r w:rsidRPr="00047D01">
              <w:rPr>
                <w:sz w:val="20"/>
              </w:rPr>
              <w:t xml:space="preserve"> the </w:t>
            </w:r>
            <w:proofErr w:type="spellStart"/>
            <w:r w:rsidRPr="00047D01">
              <w:rPr>
                <w:sz w:val="20"/>
              </w:rPr>
              <w:t>FlightPlanner</w:t>
            </w:r>
            <w:proofErr w:type="spellEnd"/>
            <w:r w:rsidRPr="00047D01">
              <w:rPr>
                <w:sz w:val="20"/>
              </w:rPr>
              <w:t xml:space="preserve"> component.  The Initial model can be found here:</w:t>
            </w:r>
          </w:p>
          <w:p w:rsidR="00F04802" w:rsidRDefault="00264F60" w:rsidP="00047D01">
            <w:pPr>
              <w:pStyle w:val="ListParagraph"/>
              <w:jc w:val="both"/>
              <w:rPr>
                <w:sz w:val="18"/>
              </w:rPr>
            </w:pPr>
            <w:hyperlink r:id="rId6" w:history="1">
              <w:r w:rsidR="00540D67" w:rsidRPr="00A80F73">
                <w:rPr>
                  <w:rStyle w:val="Hyperlink"/>
                  <w:sz w:val="18"/>
                </w:rPr>
                <w:t>https://github.com/loonwerks/CASE/tree/master/TA2/Model_Transformations/Monitor/</w:t>
              </w:r>
              <w:r w:rsidR="00540D67" w:rsidRPr="00A80F73">
                <w:rPr>
                  <w:rStyle w:val="Hyperlink"/>
                </w:rPr>
                <w:t xml:space="preserve"> </w:t>
              </w:r>
              <w:r w:rsidR="00540D67" w:rsidRPr="00A80F73">
                <w:rPr>
                  <w:rStyle w:val="Hyperlink"/>
                  <w:sz w:val="18"/>
                </w:rPr>
                <w:t>UAV_Example/Initial_Model</w:t>
              </w:r>
            </w:hyperlink>
          </w:p>
          <w:p w:rsidR="00047D01" w:rsidRPr="00047D01" w:rsidRDefault="00047D01" w:rsidP="00047D01">
            <w:pPr>
              <w:pStyle w:val="ListParagraph"/>
              <w:jc w:val="both"/>
              <w:rPr>
                <w:sz w:val="20"/>
              </w:rPr>
            </w:pPr>
          </w:p>
          <w:p w:rsidR="00047D01" w:rsidRDefault="00F04802" w:rsidP="00047D01">
            <w:pPr>
              <w:pStyle w:val="ListParagraph"/>
              <w:numPr>
                <w:ilvl w:val="0"/>
                <w:numId w:val="1"/>
              </w:numPr>
              <w:jc w:val="both"/>
              <w:rPr>
                <w:sz w:val="20"/>
              </w:rPr>
            </w:pPr>
            <w:r w:rsidRPr="00047D01">
              <w:rPr>
                <w:sz w:val="20"/>
              </w:rPr>
              <w:t xml:space="preserve">Transformed model – This is the </w:t>
            </w:r>
            <w:r w:rsidR="0000732E">
              <w:rPr>
                <w:sz w:val="20"/>
              </w:rPr>
              <w:t>Phase 1</w:t>
            </w:r>
            <w:r w:rsidRPr="00047D01">
              <w:rPr>
                <w:sz w:val="20"/>
              </w:rPr>
              <w:t xml:space="preserve"> UAV model after the </w:t>
            </w:r>
            <w:r w:rsidR="00540D67">
              <w:rPr>
                <w:sz w:val="20"/>
              </w:rPr>
              <w:t>Monitor</w:t>
            </w:r>
            <w:r w:rsidRPr="00047D01">
              <w:rPr>
                <w:sz w:val="20"/>
              </w:rPr>
              <w:t xml:space="preserve"> transform has been applied.  The Trans</w:t>
            </w:r>
            <w:r w:rsidR="00047D01" w:rsidRPr="00047D01">
              <w:rPr>
                <w:sz w:val="20"/>
              </w:rPr>
              <w:t>formed model can be found here:</w:t>
            </w:r>
          </w:p>
          <w:p w:rsidR="00F04802" w:rsidRDefault="00264F60" w:rsidP="00881FE8">
            <w:pPr>
              <w:pStyle w:val="ListParagraph"/>
              <w:jc w:val="both"/>
              <w:rPr>
                <w:rStyle w:val="Hyperlink"/>
                <w:sz w:val="18"/>
              </w:rPr>
            </w:pPr>
            <w:hyperlink r:id="rId7" w:history="1">
              <w:r w:rsidR="00540D67" w:rsidRPr="00A80F73">
                <w:rPr>
                  <w:rStyle w:val="Hyperlink"/>
                  <w:sz w:val="18"/>
                </w:rPr>
                <w:t>https://github.com/loonwerks/CASE/tree/master/TA2/Model_Transformations/Monitor/</w:t>
              </w:r>
              <w:r w:rsidR="00540D67" w:rsidRPr="00A80F73">
                <w:rPr>
                  <w:rStyle w:val="Hyperlink"/>
                </w:rPr>
                <w:t xml:space="preserve"> </w:t>
              </w:r>
              <w:r w:rsidR="00540D67" w:rsidRPr="00A80F73">
                <w:rPr>
                  <w:rStyle w:val="Hyperlink"/>
                  <w:sz w:val="18"/>
                </w:rPr>
                <w:t>UAV_Example/Transformed_Model</w:t>
              </w:r>
            </w:hyperlink>
          </w:p>
          <w:p w:rsidR="0000732E" w:rsidRDefault="0000732E" w:rsidP="0000732E">
            <w:pPr>
              <w:jc w:val="both"/>
              <w:rPr>
                <w:sz w:val="20"/>
              </w:rPr>
            </w:pPr>
          </w:p>
          <w:p w:rsidR="0000732E" w:rsidRDefault="0000732E" w:rsidP="0000732E">
            <w:pPr>
              <w:pStyle w:val="ListParagraph"/>
              <w:numPr>
                <w:ilvl w:val="0"/>
                <w:numId w:val="1"/>
              </w:numPr>
              <w:jc w:val="both"/>
              <w:rPr>
                <w:sz w:val="20"/>
              </w:rPr>
            </w:pPr>
            <w:r>
              <w:rPr>
                <w:sz w:val="20"/>
              </w:rPr>
              <w:t xml:space="preserve">Test model – This is the Phase 1 UAV model containing several software implementations for testing the correctness of </w:t>
            </w:r>
            <w:r w:rsidR="00713B61">
              <w:rPr>
                <w:sz w:val="20"/>
              </w:rPr>
              <w:t xml:space="preserve">the Resolute evaluation on the </w:t>
            </w:r>
            <w:r w:rsidR="00540D67">
              <w:rPr>
                <w:sz w:val="20"/>
              </w:rPr>
              <w:t>Monitor</w:t>
            </w:r>
            <w:r>
              <w:rPr>
                <w:sz w:val="20"/>
              </w:rPr>
              <w:t xml:space="preserve"> transform.  The Test model can be found here:</w:t>
            </w:r>
          </w:p>
          <w:p w:rsidR="0000732E" w:rsidRPr="0000732E" w:rsidRDefault="00264F60" w:rsidP="00540D67">
            <w:pPr>
              <w:pStyle w:val="ListParagraph"/>
              <w:jc w:val="both"/>
              <w:rPr>
                <w:color w:val="0000FF"/>
                <w:sz w:val="18"/>
                <w:u w:val="single"/>
              </w:rPr>
            </w:pPr>
            <w:hyperlink r:id="rId8" w:history="1">
              <w:r w:rsidR="00540D67" w:rsidRPr="00A80F73">
                <w:rPr>
                  <w:rStyle w:val="Hyperlink"/>
                  <w:sz w:val="18"/>
                </w:rPr>
                <w:t>https://github.com/loonwerks/CASE/tree/master/TA2/Model_Transformations/Monitor/ UAV_Example/Test_Model</w:t>
              </w:r>
            </w:hyperlink>
          </w:p>
        </w:tc>
      </w:tr>
    </w:tbl>
    <w:p w:rsidR="00F04802" w:rsidRDefault="00F04802" w:rsidP="009D6B44"/>
    <w:p w:rsidR="00E87F53" w:rsidRDefault="003F4393" w:rsidP="00E87F53">
      <w:r w:rsidRPr="00533E3A">
        <w:t xml:space="preserve">A </w:t>
      </w:r>
      <w:r>
        <w:t xml:space="preserve">CASE </w:t>
      </w:r>
      <w:r w:rsidR="00540D67">
        <w:t>Monitor</w:t>
      </w:r>
      <w:r w:rsidRPr="00533E3A">
        <w:t xml:space="preserve"> is added to a</w:t>
      </w:r>
      <w:r w:rsidR="00567D9F">
        <w:t>n AADL</w:t>
      </w:r>
      <w:r w:rsidRPr="00533E3A">
        <w:t xml:space="preserve"> </w:t>
      </w:r>
      <w:r w:rsidR="00540D67">
        <w:t>connection</w:t>
      </w:r>
      <w:r w:rsidR="00E87F53">
        <w:t xml:space="preserve"> to </w:t>
      </w:r>
      <w:r w:rsidR="00567D9F">
        <w:t xml:space="preserve">provide an alert when a policy on the connection’s data has been violated (or alternatively, satisfied).  </w:t>
      </w:r>
      <w:r w:rsidR="00662185">
        <w:t xml:space="preserve">In addition to signaling an alert when the monitor policy has been violated, the monitor can also be used as a gate to prevent data from propagating. </w:t>
      </w:r>
      <w:r w:rsidR="00567D9F">
        <w:t xml:space="preserve">  </w:t>
      </w:r>
      <w:r>
        <w:t xml:space="preserve"> </w:t>
      </w:r>
      <w:r w:rsidR="004074AC">
        <w:t xml:space="preserve"> </w:t>
      </w:r>
      <w:r w:rsidR="00567D9F">
        <w:t>Multiple monitors may be placed on the same connection</w:t>
      </w:r>
      <w:r w:rsidR="00E87F53">
        <w:t xml:space="preserve">.  The </w:t>
      </w:r>
      <w:r w:rsidR="00567D9F">
        <w:t>Monitor</w:t>
      </w:r>
      <w:r w:rsidR="00E87F53">
        <w:t xml:space="preserve"> component type that is inserted into the model will be the same component type as the </w:t>
      </w:r>
      <w:r w:rsidR="00567D9F">
        <w:t xml:space="preserve">connection source, with two exceptions: (1) </w:t>
      </w:r>
      <w:proofErr w:type="gramStart"/>
      <w:r w:rsidR="00567D9F">
        <w:t>If</w:t>
      </w:r>
      <w:proofErr w:type="gramEnd"/>
      <w:r w:rsidR="00567D9F">
        <w:t xml:space="preserve"> the destination component is a thread group, the filter will be a thread.  (2) If the destination component is a process containing a single thread, the filter will also be a process containing a single thread.  The latter supports the seL4 representation of components, in which each thread runs in its own address space.  Note that for System Build, the filter must be a software component (either a thread or process containing a single thread)</w:t>
      </w:r>
      <w:r w:rsidR="00E87F53">
        <w:t>.</w:t>
      </w:r>
    </w:p>
    <w:p w:rsidR="004F1EE5" w:rsidRDefault="00DD38DA" w:rsidP="004F1EE5">
      <w:pPr>
        <w:keepNext/>
        <w:jc w:val="center"/>
      </w:pPr>
      <w:r>
        <w:rPr>
          <w:noProof/>
        </w:rPr>
        <w:lastRenderedPageBreak/>
        <w:drawing>
          <wp:inline distT="0" distB="0" distL="0" distR="0" wp14:anchorId="5F910553" wp14:editId="153AA336">
            <wp:extent cx="5153025" cy="182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46" cy="1836740"/>
                    </a:xfrm>
                    <a:prstGeom prst="rect">
                      <a:avLst/>
                    </a:prstGeom>
                  </pic:spPr>
                </pic:pic>
              </a:graphicData>
            </a:graphic>
          </wp:inline>
        </w:drawing>
      </w:r>
    </w:p>
    <w:p w:rsidR="004F1EE5" w:rsidRDefault="004F1EE5" w:rsidP="004F1EE5">
      <w:pPr>
        <w:pStyle w:val="Caption"/>
        <w:jc w:val="center"/>
      </w:pPr>
      <w:bookmarkStart w:id="0" w:name="_Ref20142085"/>
      <w:r>
        <w:t xml:space="preserve">Figure </w:t>
      </w:r>
      <w:r w:rsidR="00C6451F">
        <w:rPr>
          <w:noProof/>
        </w:rPr>
        <w:fldChar w:fldCharType="begin"/>
      </w:r>
      <w:r w:rsidR="00C6451F">
        <w:rPr>
          <w:noProof/>
        </w:rPr>
        <w:instrText xml:space="preserve"> SEQ Figure \* ARABIC </w:instrText>
      </w:r>
      <w:r w:rsidR="00C6451F">
        <w:rPr>
          <w:noProof/>
        </w:rPr>
        <w:fldChar w:fldCharType="separate"/>
      </w:r>
      <w:r w:rsidR="00882573">
        <w:rPr>
          <w:noProof/>
        </w:rPr>
        <w:t>1</w:t>
      </w:r>
      <w:r w:rsidR="00C6451F">
        <w:rPr>
          <w:noProof/>
        </w:rPr>
        <w:fldChar w:fldCharType="end"/>
      </w:r>
      <w:bookmarkEnd w:id="0"/>
      <w:r>
        <w:t>. Initial model.</w:t>
      </w:r>
    </w:p>
    <w:p w:rsidR="00545A81" w:rsidRDefault="00545A81" w:rsidP="00545A81">
      <w:r>
        <w:t>A monitor can be added to the following AADL components:</w:t>
      </w:r>
    </w:p>
    <w:p w:rsidR="00545A81" w:rsidRDefault="00545A81" w:rsidP="00545A81">
      <w:pPr>
        <w:pStyle w:val="ListParagraph"/>
        <w:numPr>
          <w:ilvl w:val="0"/>
          <w:numId w:val="2"/>
        </w:numPr>
      </w:pPr>
      <w:r>
        <w:t>Thread</w:t>
      </w:r>
    </w:p>
    <w:p w:rsidR="00545A81" w:rsidRDefault="00545A81" w:rsidP="00545A81">
      <w:pPr>
        <w:pStyle w:val="ListParagraph"/>
        <w:numPr>
          <w:ilvl w:val="0"/>
          <w:numId w:val="2"/>
        </w:numPr>
      </w:pPr>
      <w:r>
        <w:t>Thread Group</w:t>
      </w:r>
    </w:p>
    <w:p w:rsidR="00545A81" w:rsidRDefault="00545A81" w:rsidP="00545A81">
      <w:pPr>
        <w:pStyle w:val="ListParagraph"/>
        <w:numPr>
          <w:ilvl w:val="0"/>
          <w:numId w:val="2"/>
        </w:numPr>
      </w:pPr>
      <w:r>
        <w:t>Process containing a single thread – Not yet implemented</w:t>
      </w:r>
    </w:p>
    <w:p w:rsidR="00F31B58" w:rsidRDefault="00A82F01" w:rsidP="00E87F53">
      <w:r>
        <w:t xml:space="preserve">To insert a monitor, select the connection in a component implementation that requires monitoring (for example, in </w:t>
      </w:r>
      <w:proofErr w:type="spellStart"/>
      <w:r w:rsidR="00DD38DA">
        <w:t>Monitor</w:t>
      </w:r>
      <w:r>
        <w:t>.aadl</w:t>
      </w:r>
      <w:proofErr w:type="spellEnd"/>
      <w:r>
        <w:t xml:space="preserve">, select the c1 connection on line 55).  Note that currently the transform can only be applied from within the OSATE text editor (future versions will enable applying the transformation from within the graphical editor).  In the main </w:t>
      </w:r>
      <w:proofErr w:type="spellStart"/>
      <w:r>
        <w:t>menubar</w:t>
      </w:r>
      <w:proofErr w:type="spellEnd"/>
      <w:r>
        <w:t xml:space="preserve">, click the CASE </w:t>
      </w:r>
      <w:r>
        <w:sym w:font="Wingdings" w:char="F0E0"/>
      </w:r>
      <w:r>
        <w:t xml:space="preserve"> Cyber Resiliency </w:t>
      </w:r>
      <w:r>
        <w:sym w:font="Wingdings" w:char="F0E0"/>
      </w:r>
      <w:r>
        <w:t xml:space="preserve"> Model Transformations </w:t>
      </w:r>
      <w:r>
        <w:sym w:font="Wingdings" w:char="F0E0"/>
      </w:r>
      <w:r>
        <w:t xml:space="preserve"> Add </w:t>
      </w:r>
      <w:r w:rsidR="00E46CAD">
        <w:t>Monitor</w:t>
      </w:r>
      <w:r>
        <w:t xml:space="preserve">… menu item.  A wizard will open, as shown in </w:t>
      </w:r>
      <w:r>
        <w:fldChar w:fldCharType="begin"/>
      </w:r>
      <w:r>
        <w:instrText xml:space="preserve"> REF _Ref19173734 \h </w:instrText>
      </w:r>
      <w:r>
        <w:fldChar w:fldCharType="separate"/>
      </w:r>
      <w:r w:rsidR="00662185">
        <w:t xml:space="preserve">Figure </w:t>
      </w:r>
      <w:r w:rsidR="00662185">
        <w:rPr>
          <w:noProof/>
        </w:rPr>
        <w:t>2</w:t>
      </w:r>
      <w:r>
        <w:fldChar w:fldCharType="end"/>
      </w:r>
      <w:r>
        <w:t xml:space="preserve">.  The wizard enables the user to customize the </w:t>
      </w:r>
      <w:r w:rsidR="00E46CAD">
        <w:t>monitor</w:t>
      </w:r>
      <w:r>
        <w:t xml:space="preserve">, including providing the </w:t>
      </w:r>
      <w:r w:rsidR="00E46CAD">
        <w:t>monitor</w:t>
      </w:r>
      <w:r>
        <w:t xml:space="preserve"> </w:t>
      </w:r>
      <w:r w:rsidR="00E46CAD">
        <w:t>policy specifi</w:t>
      </w:r>
      <w:r>
        <w:t>cation.</w:t>
      </w:r>
    </w:p>
    <w:p w:rsidR="005A6B01" w:rsidRDefault="00ED75DA" w:rsidP="005A6B01">
      <w:pPr>
        <w:keepNext/>
        <w:jc w:val="center"/>
      </w:pPr>
      <w:r>
        <w:rPr>
          <w:noProof/>
        </w:rPr>
        <w:lastRenderedPageBreak/>
        <w:drawing>
          <wp:inline distT="0" distB="0" distL="0" distR="0" wp14:anchorId="13D10BC5" wp14:editId="14408AC7">
            <wp:extent cx="49911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5457825"/>
                    </a:xfrm>
                    <a:prstGeom prst="rect">
                      <a:avLst/>
                    </a:prstGeom>
                  </pic:spPr>
                </pic:pic>
              </a:graphicData>
            </a:graphic>
          </wp:inline>
        </w:drawing>
      </w:r>
    </w:p>
    <w:p w:rsidR="00F31B58" w:rsidRDefault="005A6B01" w:rsidP="005A6B01">
      <w:pPr>
        <w:pStyle w:val="Caption"/>
        <w:jc w:val="center"/>
      </w:pPr>
      <w:bookmarkStart w:id="1" w:name="_Ref19173734"/>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CC528F">
        <w:rPr>
          <w:noProof/>
        </w:rPr>
        <w:t>2</w:t>
      </w:r>
      <w:r w:rsidR="00FD3FB6">
        <w:rPr>
          <w:noProof/>
        </w:rPr>
        <w:fldChar w:fldCharType="end"/>
      </w:r>
      <w:bookmarkEnd w:id="1"/>
      <w:r>
        <w:t xml:space="preserve">. Add </w:t>
      </w:r>
      <w:r w:rsidR="00612B9D">
        <w:t>Monitor</w:t>
      </w:r>
      <w:r>
        <w:t xml:space="preserve"> wizard</w:t>
      </w:r>
      <w:r w:rsidR="00B5721F">
        <w:t>.</w:t>
      </w:r>
    </w:p>
    <w:p w:rsidR="00F31B58" w:rsidRDefault="00F31B58" w:rsidP="003F4393"/>
    <w:p w:rsidR="00A01FD0" w:rsidRDefault="005A6B01" w:rsidP="005A6B01">
      <w:r>
        <w:t xml:space="preserve">The </w:t>
      </w:r>
      <w:r w:rsidR="00612B9D">
        <w:t>Monitor</w:t>
      </w:r>
      <w:r>
        <w:t xml:space="preserve"> transform will create a special </w:t>
      </w:r>
      <w:proofErr w:type="spellStart"/>
      <w:r>
        <w:t>CASE_</w:t>
      </w:r>
      <w:r w:rsidR="00BE1530">
        <w:t>Monitor</w:t>
      </w:r>
      <w:proofErr w:type="spellEnd"/>
      <w:r>
        <w:t xml:space="preserve"> AADL component type and implementation, and insert them into the model.  It will then instantiate the </w:t>
      </w:r>
      <w:proofErr w:type="spellStart"/>
      <w:r>
        <w:t>CASE_</w:t>
      </w:r>
      <w:r w:rsidR="00BE1530">
        <w:t>Monitor</w:t>
      </w:r>
      <w:proofErr w:type="spellEnd"/>
      <w:r w:rsidR="0017760E">
        <w:t xml:space="preserve"> implementation</w:t>
      </w:r>
      <w:r>
        <w:t xml:space="preserve"> as a subcomponent in the implementation</w:t>
      </w:r>
      <w:r w:rsidR="00A01FD0">
        <w:t xml:space="preserve"> containing the selected </w:t>
      </w:r>
      <w:r w:rsidR="00BE1530">
        <w:t>connection</w:t>
      </w:r>
      <w:r>
        <w:t>.  The user may provide a name for the</w:t>
      </w:r>
      <w:r w:rsidR="00A01FD0">
        <w:t xml:space="preserve"> </w:t>
      </w:r>
      <w:r w:rsidR="007B2C42">
        <w:t>monitor</w:t>
      </w:r>
      <w:r>
        <w:t xml:space="preserve"> subcomponent, or use the default.  If the field is left blank, the default name will be used.  Note that if the specified name already exists, a number will be appended to the name to make it unique within the containing component imp</w:t>
      </w:r>
      <w:r w:rsidR="003531C6">
        <w:t>lementation.</w:t>
      </w:r>
    </w:p>
    <w:p w:rsidR="005A6B01" w:rsidRDefault="00215104" w:rsidP="005A6B01">
      <w:r>
        <w:t xml:space="preserve">Runtime monitors </w:t>
      </w:r>
      <w:r w:rsidR="002B4D4B">
        <w:t xml:space="preserve">can be </w:t>
      </w:r>
      <w:r w:rsidR="002B4D4B" w:rsidRPr="002B4D4B">
        <w:rPr>
          <w:i/>
        </w:rPr>
        <w:t>latched</w:t>
      </w:r>
      <w:r w:rsidR="002B4D4B">
        <w:t xml:space="preserve">, meaning once the monitor policy has been violated the alert signal will remain high until the monitor is </w:t>
      </w:r>
      <w:r w:rsidR="002B4D4B" w:rsidRPr="002B4D4B">
        <w:rPr>
          <w:i/>
        </w:rPr>
        <w:t>reset</w:t>
      </w:r>
      <w:r w:rsidR="002B4D4B">
        <w:t>.  A reset port can be added to the component by checking the box.  This will enable the dropdown box containing other ports in the model with which the monitor reset port can be connected.</w:t>
      </w:r>
      <w:r w:rsidR="0012095F">
        <w:t xml:space="preserve">  If a source reset port is selected, the monitor reset port will be of the </w:t>
      </w:r>
      <w:r w:rsidR="0012095F">
        <w:lastRenderedPageBreak/>
        <w:t xml:space="preserve">same type (Data, Event, </w:t>
      </w:r>
      <w:proofErr w:type="gramStart"/>
      <w:r w:rsidR="0012095F">
        <w:t>Event</w:t>
      </w:r>
      <w:proofErr w:type="gramEnd"/>
      <w:r w:rsidR="0012095F">
        <w:t xml:space="preserve"> Data). </w:t>
      </w:r>
      <w:r w:rsidR="002B4D4B">
        <w:t xml:space="preserve">  It is not necessary to select a specific reset source port to add a reset port.</w:t>
      </w:r>
    </w:p>
    <w:p w:rsidR="002B4D4B" w:rsidRDefault="002B4D4B" w:rsidP="005A6B01">
      <w:r>
        <w:t xml:space="preserve">Monitors typically function by comparing an observed signal with one or more reference signals.  The </w:t>
      </w:r>
      <w:r w:rsidRPr="002B4D4B">
        <w:rPr>
          <w:i/>
        </w:rPr>
        <w:t>Reference port connections</w:t>
      </w:r>
      <w:r>
        <w:t xml:space="preserve"> input provides the ability to create monitor reference ports, select a source component port to connect to, and provide a name for the reference port.</w:t>
      </w:r>
    </w:p>
    <w:p w:rsidR="002B4D4B" w:rsidRDefault="0012095F" w:rsidP="005A6B01">
      <w:r>
        <w:t xml:space="preserve">The </w:t>
      </w:r>
      <w:r w:rsidRPr="0012095F">
        <w:rPr>
          <w:i/>
        </w:rPr>
        <w:t>Alert port connection</w:t>
      </w:r>
      <w:r>
        <w:t xml:space="preserve"> dropdown box contains other ports in the model to connect the monitor alert port to.  The monitor alert port will be the same type as the destination alert port.  It is not necessary to select a specific alert destination port, in which case the monitor alert port will be an event data port with no data type.</w:t>
      </w:r>
    </w:p>
    <w:p w:rsidR="0012095F" w:rsidRDefault="0012095F" w:rsidP="005A6B01">
      <w:r>
        <w:t xml:space="preserve">By selecting the </w:t>
      </w:r>
      <w:r w:rsidRPr="0012095F">
        <w:rPr>
          <w:i/>
        </w:rPr>
        <w:t>Gate Observed connection</w:t>
      </w:r>
      <w:r>
        <w:t xml:space="preserve"> checkbox, a monitor will be generated that</w:t>
      </w:r>
      <w:r w:rsidR="006A3673">
        <w:t xml:space="preserve"> does not </w:t>
      </w:r>
      <w:r w:rsidR="00CC528F">
        <w:t>only listens on a specific connection, but routes the connection through the monitor.  In this configuration, when the monitor policy is violated, the monitor can prevent the propagation of the observed signal.</w:t>
      </w:r>
    </w:p>
    <w:p w:rsidR="005A6B01" w:rsidRDefault="005A6B01" w:rsidP="005A6B01">
      <w:r>
        <w:t xml:space="preserve">The requirement drop-down box lists all of the cyber-requirements that have been imported from TA1 tools.  By specifying the cyber requirement that drives the </w:t>
      </w:r>
      <w:r w:rsidR="0017760E">
        <w:t>attestation</w:t>
      </w:r>
      <w:r>
        <w:t xml:space="preserve"> transform, the appropriate assurance argument can be constructed for demonstrating the requirement was addressed correctly.  A requirement does not need to be selected to insert the </w:t>
      </w:r>
      <w:r w:rsidR="00CC528F">
        <w:t>monitor</w:t>
      </w:r>
      <w:r>
        <w:t>, but it is highly recommended for construction of the proper system assurance case.</w:t>
      </w:r>
    </w:p>
    <w:p w:rsidR="001B2212" w:rsidRDefault="005A6B01" w:rsidP="001B2212">
      <w:r>
        <w:t>Fi</w:t>
      </w:r>
      <w:r w:rsidR="0017760E">
        <w:t xml:space="preserve">nally, the user may provide </w:t>
      </w:r>
      <w:r w:rsidR="00CC528F">
        <w:t xml:space="preserve">the </w:t>
      </w:r>
      <w:r w:rsidR="00CC528F" w:rsidRPr="00CC528F">
        <w:rPr>
          <w:i/>
        </w:rPr>
        <w:t>Monitor policy</w:t>
      </w:r>
      <w:r w:rsidR="00CC528F">
        <w:t xml:space="preserve">, in the form of </w:t>
      </w:r>
      <w:r>
        <w:t>an AGREE statement</w:t>
      </w:r>
      <w:r w:rsidR="0017760E">
        <w:t xml:space="preserve">.  </w:t>
      </w:r>
      <w:r w:rsidR="00CC528F">
        <w:t xml:space="preserve">The policy should evaluate to a </w:t>
      </w:r>
      <w:proofErr w:type="spellStart"/>
      <w:proofErr w:type="gramStart"/>
      <w:r w:rsidR="00CC528F">
        <w:t>boolean</w:t>
      </w:r>
      <w:proofErr w:type="spellEnd"/>
      <w:proofErr w:type="gramEnd"/>
      <w:r w:rsidR="00CC528F">
        <w:t xml:space="preserve"> value, and typically compares the observed signal to constant values or reference signals.  </w:t>
      </w:r>
      <w:r w:rsidR="001B2212">
        <w:t>Note that no syntax validation is performed on the AGREE statement.  If it is malformed, it may not be imported into the model properly.</w:t>
      </w:r>
    </w:p>
    <w:p w:rsidR="001B2212" w:rsidRDefault="001B2212" w:rsidP="001B2212">
      <w:r>
        <w:t>Clicking the OK button on t</w:t>
      </w:r>
      <w:r w:rsidR="00B36DDB">
        <w:t xml:space="preserve">he wizard will insert the </w:t>
      </w:r>
      <w:proofErr w:type="spellStart"/>
      <w:r w:rsidR="00B36DDB">
        <w:t>CASE_</w:t>
      </w:r>
      <w:r w:rsidR="00CC528F">
        <w:t>Monitor</w:t>
      </w:r>
      <w:proofErr w:type="spellEnd"/>
      <w:r w:rsidR="00007334">
        <w:t xml:space="preserve"> </w:t>
      </w:r>
      <w:r>
        <w:t>into the model, as shown in</w:t>
      </w:r>
      <w:r w:rsidR="00450433">
        <w:t xml:space="preserve"> </w:t>
      </w:r>
      <w:r w:rsidR="00450433">
        <w:fldChar w:fldCharType="begin"/>
      </w:r>
      <w:r w:rsidR="00450433">
        <w:instrText xml:space="preserve"> REF _Ref19189222 \h </w:instrText>
      </w:r>
      <w:r w:rsidR="00450433">
        <w:fldChar w:fldCharType="separate"/>
      </w:r>
      <w:r w:rsidR="00ED75DA">
        <w:t xml:space="preserve">Figure </w:t>
      </w:r>
      <w:r w:rsidR="00ED75DA">
        <w:rPr>
          <w:noProof/>
        </w:rPr>
        <w:t>3</w:t>
      </w:r>
      <w:r w:rsidR="00450433">
        <w:fldChar w:fldCharType="end"/>
      </w:r>
      <w:r w:rsidR="00450433">
        <w:t xml:space="preserve"> and </w:t>
      </w:r>
      <w:r w:rsidR="00450433">
        <w:fldChar w:fldCharType="begin"/>
      </w:r>
      <w:r w:rsidR="00450433">
        <w:instrText xml:space="preserve"> REF _Ref19189233 \h </w:instrText>
      </w:r>
      <w:r w:rsidR="00450433">
        <w:fldChar w:fldCharType="separate"/>
      </w:r>
      <w:r w:rsidR="00ED75DA">
        <w:t xml:space="preserve">Figure </w:t>
      </w:r>
      <w:r w:rsidR="00ED75DA">
        <w:rPr>
          <w:noProof/>
        </w:rPr>
        <w:t>4</w:t>
      </w:r>
      <w:r w:rsidR="00450433">
        <w:fldChar w:fldCharType="end"/>
      </w:r>
      <w:r w:rsidR="00450433">
        <w:t>.</w:t>
      </w:r>
    </w:p>
    <w:p w:rsidR="00D06895" w:rsidRDefault="00877E00" w:rsidP="00D06895">
      <w:pPr>
        <w:keepNext/>
        <w:jc w:val="center"/>
      </w:pPr>
      <w:r>
        <w:rPr>
          <w:noProof/>
        </w:rPr>
        <w:drawing>
          <wp:inline distT="0" distB="0" distL="0" distR="0" wp14:anchorId="16B67D80" wp14:editId="5C9ED6D1">
            <wp:extent cx="5943600" cy="1872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72615"/>
                    </a:xfrm>
                    <a:prstGeom prst="rect">
                      <a:avLst/>
                    </a:prstGeom>
                  </pic:spPr>
                </pic:pic>
              </a:graphicData>
            </a:graphic>
          </wp:inline>
        </w:drawing>
      </w:r>
    </w:p>
    <w:p w:rsidR="001B2212" w:rsidRDefault="00D06895" w:rsidP="00D06895">
      <w:pPr>
        <w:pStyle w:val="Caption"/>
        <w:jc w:val="center"/>
      </w:pPr>
      <w:bookmarkStart w:id="2" w:name="_Ref1918922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ED75DA">
        <w:rPr>
          <w:noProof/>
        </w:rPr>
        <w:t>3</w:t>
      </w:r>
      <w:r w:rsidR="00FD3FB6">
        <w:rPr>
          <w:noProof/>
        </w:rPr>
        <w:fldChar w:fldCharType="end"/>
      </w:r>
      <w:bookmarkEnd w:id="2"/>
      <w:r>
        <w:t xml:space="preserve">. </w:t>
      </w:r>
      <w:r w:rsidRPr="00E049DC">
        <w:t xml:space="preserve"> Line </w:t>
      </w:r>
      <w:r>
        <w:t>9</w:t>
      </w:r>
      <w:r w:rsidRPr="00E049DC">
        <w:t xml:space="preserve">: </w:t>
      </w:r>
      <w:proofErr w:type="spellStart"/>
      <w:r w:rsidRPr="00E049DC">
        <w:t>CASE_</w:t>
      </w:r>
      <w:r w:rsidR="00005205">
        <w:t>Monitor</w:t>
      </w:r>
      <w:proofErr w:type="spellEnd"/>
      <w:r w:rsidRPr="00E049DC">
        <w:t xml:space="preserve"> component type; Line 2</w:t>
      </w:r>
      <w:r w:rsidR="00924581">
        <w:t>5</w:t>
      </w:r>
      <w:r w:rsidRPr="00E049DC">
        <w:t xml:space="preserve">: </w:t>
      </w:r>
      <w:proofErr w:type="spellStart"/>
      <w:r w:rsidRPr="00E049DC">
        <w:t>CASE_</w:t>
      </w:r>
      <w:r w:rsidR="00005205">
        <w:t>Monitor</w:t>
      </w:r>
      <w:proofErr w:type="spellEnd"/>
      <w:r w:rsidRPr="00E049DC">
        <w:t xml:space="preserve"> component implementation.</w:t>
      </w:r>
    </w:p>
    <w:p w:rsidR="001B2212" w:rsidRDefault="001B2212" w:rsidP="003F4393"/>
    <w:p w:rsidR="00D06895" w:rsidRDefault="00877E00" w:rsidP="00D06895">
      <w:pPr>
        <w:keepNext/>
        <w:jc w:val="center"/>
      </w:pPr>
      <w:r>
        <w:rPr>
          <w:noProof/>
        </w:rPr>
        <w:lastRenderedPageBreak/>
        <w:drawing>
          <wp:inline distT="0" distB="0" distL="0" distR="0" wp14:anchorId="11D71DED" wp14:editId="5B4D04A5">
            <wp:extent cx="5943600" cy="4170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70680"/>
                    </a:xfrm>
                    <a:prstGeom prst="rect">
                      <a:avLst/>
                    </a:prstGeom>
                  </pic:spPr>
                </pic:pic>
              </a:graphicData>
            </a:graphic>
          </wp:inline>
        </w:drawing>
      </w:r>
    </w:p>
    <w:p w:rsidR="00D06895" w:rsidRDefault="00D06895" w:rsidP="00D06895">
      <w:pPr>
        <w:pStyle w:val="Caption"/>
        <w:jc w:val="center"/>
      </w:pPr>
      <w:bookmarkStart w:id="3" w:name="_Ref19189233"/>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ED75DA">
        <w:rPr>
          <w:noProof/>
        </w:rPr>
        <w:t>4</w:t>
      </w:r>
      <w:r w:rsidR="00FD3FB6">
        <w:rPr>
          <w:noProof/>
        </w:rPr>
        <w:fldChar w:fldCharType="end"/>
      </w:r>
      <w:bookmarkEnd w:id="3"/>
      <w:r>
        <w:t xml:space="preserve">.  </w:t>
      </w:r>
      <w:r w:rsidR="00924581">
        <w:t>Line 8</w:t>
      </w:r>
      <w:r w:rsidR="00877E00">
        <w:t>8</w:t>
      </w:r>
      <w:r w:rsidR="00924581">
        <w:t xml:space="preserve">: </w:t>
      </w:r>
      <w:r w:rsidR="00005205">
        <w:t>Monitor</w:t>
      </w:r>
      <w:r w:rsidRPr="00AB6705">
        <w:t xml:space="preserve"> subcomponent; Lines </w:t>
      </w:r>
      <w:r w:rsidR="00877E00">
        <w:t>91</w:t>
      </w:r>
      <w:r w:rsidRPr="00AB6705">
        <w:t>-</w:t>
      </w:r>
      <w:r w:rsidR="00924581">
        <w:t>9</w:t>
      </w:r>
      <w:r w:rsidR="00877E00">
        <w:t>6</w:t>
      </w:r>
      <w:r w:rsidR="00B36DDB">
        <w:t xml:space="preserve">: </w:t>
      </w:r>
      <w:r w:rsidR="00264F60">
        <w:t>Monitor</w:t>
      </w:r>
      <w:r w:rsidRPr="00AB6705">
        <w:t xml:space="preserve"> connections; Line </w:t>
      </w:r>
      <w:r w:rsidR="00924581">
        <w:t>9</w:t>
      </w:r>
      <w:r w:rsidR="00877E00">
        <w:t>9</w:t>
      </w:r>
      <w:r w:rsidRPr="00AB6705">
        <w:t>: updated assurance claim</w:t>
      </w:r>
      <w:r>
        <w:t xml:space="preserve"> call</w:t>
      </w:r>
      <w:r w:rsidRPr="00AB6705">
        <w:t>.</w:t>
      </w:r>
    </w:p>
    <w:p w:rsidR="00637B54" w:rsidRDefault="00BD508A" w:rsidP="00AE03FD">
      <w:pPr>
        <w:pStyle w:val="Heading3"/>
      </w:pPr>
      <w:bookmarkStart w:id="4" w:name="_GoBack"/>
      <w:bookmarkEnd w:id="4"/>
      <w:r>
        <w:t xml:space="preserve">Design </w:t>
      </w:r>
      <w:r w:rsidR="00AE03FD">
        <w:t>Assurance</w:t>
      </w:r>
    </w:p>
    <w:p w:rsidR="00AE03FD" w:rsidRDefault="00AE03FD" w:rsidP="00AE03FD">
      <w:r>
        <w:t xml:space="preserve">It is </w:t>
      </w:r>
      <w:r w:rsidR="00BD508A">
        <w:t>cr</w:t>
      </w:r>
      <w:r w:rsidR="00877E00">
        <w:t>ucial</w:t>
      </w:r>
      <w:r w:rsidR="00BD508A">
        <w:t xml:space="preserve"> to have evidence of design correctness both at the time the model transformation is performed, and at any time up through system build.  Resolute provides that assurance via augmentation of the requirement with assurance </w:t>
      </w:r>
      <w:proofErr w:type="spellStart"/>
      <w:r w:rsidR="00BD508A">
        <w:t>subclaims</w:t>
      </w:r>
      <w:proofErr w:type="spellEnd"/>
      <w:r w:rsidR="00BD508A">
        <w:t xml:space="preserve"> as model transformations are performed.</w:t>
      </w:r>
    </w:p>
    <w:p w:rsidR="00BD508A" w:rsidRDefault="001704BE" w:rsidP="00AE03FD">
      <w:r>
        <w:t>When a requirement is imported from a TA1 tool it will</w:t>
      </w:r>
      <w:r w:rsidR="00763004">
        <w:t xml:space="preserve"> be placed in the </w:t>
      </w:r>
      <w:proofErr w:type="spellStart"/>
      <w:r w:rsidR="00763004">
        <w:t>CASE_Requirements</w:t>
      </w:r>
      <w:proofErr w:type="spellEnd"/>
      <w:r w:rsidR="00763004">
        <w:t xml:space="preserve"> package</w:t>
      </w:r>
      <w:r>
        <w:t xml:space="preserve"> as</w:t>
      </w:r>
      <w:r w:rsidR="00763004">
        <w:t xml:space="preserve"> a </w:t>
      </w:r>
      <w:proofErr w:type="gramStart"/>
      <w:r w:rsidR="00763004">
        <w:t>Resolute</w:t>
      </w:r>
      <w:proofErr w:type="gramEnd"/>
      <w:r w:rsidR="00763004">
        <w:t xml:space="preserve"> claim, as shown</w:t>
      </w:r>
      <w:r>
        <w:t xml:space="preserve"> in </w:t>
      </w:r>
      <w:r>
        <w:fldChar w:fldCharType="begin"/>
      </w:r>
      <w:r>
        <w:instrText xml:space="preserve"> REF _Ref19191062 \h </w:instrText>
      </w:r>
      <w:r>
        <w:fldChar w:fldCharType="separate"/>
      </w:r>
      <w:r w:rsidR="00DD768C">
        <w:t xml:space="preserve">Figure </w:t>
      </w:r>
      <w:r w:rsidR="00DD768C">
        <w:rPr>
          <w:noProof/>
        </w:rPr>
        <w:t>6</w:t>
      </w:r>
      <w:r>
        <w:fldChar w:fldCharType="end"/>
      </w:r>
      <w:r>
        <w:t>.</w:t>
      </w:r>
    </w:p>
    <w:p w:rsidR="001704BE" w:rsidRDefault="00877E00" w:rsidP="001704BE">
      <w:pPr>
        <w:keepNext/>
        <w:jc w:val="center"/>
      </w:pPr>
      <w:r>
        <w:rPr>
          <w:noProof/>
        </w:rPr>
        <w:drawing>
          <wp:inline distT="0" distB="0" distL="0" distR="0" wp14:anchorId="74BF4227" wp14:editId="27601986">
            <wp:extent cx="5943600" cy="1005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05205"/>
                    </a:xfrm>
                    <a:prstGeom prst="rect">
                      <a:avLst/>
                    </a:prstGeom>
                  </pic:spPr>
                </pic:pic>
              </a:graphicData>
            </a:graphic>
          </wp:inline>
        </w:drawing>
      </w:r>
    </w:p>
    <w:p w:rsidR="001704BE" w:rsidRDefault="001704BE" w:rsidP="001704BE">
      <w:pPr>
        <w:pStyle w:val="Caption"/>
        <w:jc w:val="center"/>
      </w:pPr>
      <w:bookmarkStart w:id="5" w:name="_Ref19191062"/>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6</w:t>
      </w:r>
      <w:r w:rsidR="00FD3FB6">
        <w:rPr>
          <w:noProof/>
        </w:rPr>
        <w:fldChar w:fldCharType="end"/>
      </w:r>
      <w:bookmarkEnd w:id="5"/>
      <w:r>
        <w:t>. Requirement imported from a TA1 tool.</w:t>
      </w:r>
    </w:p>
    <w:p w:rsidR="00C6451F" w:rsidRDefault="001704BE" w:rsidP="001704BE">
      <w:r>
        <w:t>Initially, there is not much for Resolute to check because the requirement hasn’t yet been addressed in the design.  All Resolute can do in this example is check that AGREE analysis was performed.</w:t>
      </w:r>
      <w:r w:rsidR="005701C1">
        <w:t xml:space="preserve"> </w:t>
      </w:r>
      <w:r w:rsidR="005701C1" w:rsidRPr="005701C1">
        <w:t xml:space="preserve"> </w:t>
      </w:r>
      <w:r w:rsidR="005701C1">
        <w:t xml:space="preserve">Note that Resolute uses a separate plugin called </w:t>
      </w:r>
      <w:proofErr w:type="spellStart"/>
      <w:r w:rsidR="005701C1">
        <w:t>AgreeCheck</w:t>
      </w:r>
      <w:proofErr w:type="spellEnd"/>
      <w:r w:rsidR="005701C1">
        <w:t xml:space="preserve"> to determine if AGREE analysis was performed.  </w:t>
      </w:r>
      <w:proofErr w:type="spellStart"/>
      <w:r w:rsidR="005701C1">
        <w:t>AgreeCheck</w:t>
      </w:r>
      <w:proofErr w:type="spellEnd"/>
      <w:r w:rsidR="005701C1">
        <w:t xml:space="preserve"> is included with Resolute, but requires initial user configuration.  </w:t>
      </w:r>
      <w:r w:rsidR="00C6451F" w:rsidRPr="00C6451F">
        <w:t xml:space="preserve">In order to successfully use </w:t>
      </w:r>
      <w:proofErr w:type="spellStart"/>
      <w:r w:rsidR="00C6451F" w:rsidRPr="00C6451F">
        <w:t>AgreeCheck</w:t>
      </w:r>
      <w:proofErr w:type="spellEnd"/>
      <w:r w:rsidR="00C6451F" w:rsidRPr="00C6451F">
        <w:t xml:space="preserve">, "Generate property analysis log" must be checked in the AGREE Analysis preferences, and a </w:t>
      </w:r>
      <w:r w:rsidR="00C6451F" w:rsidRPr="00C6451F">
        <w:lastRenderedPageBreak/>
        <w:t>log file pathname must be specified.  The AGREE Analysis preferences can be accessed by selecting Window → Preferences from the main menu, expanding the Agree node on the left-hand side of the preference window, and selecting Analysis.</w:t>
      </w:r>
    </w:p>
    <w:p w:rsidR="001704BE" w:rsidRDefault="001704BE" w:rsidP="001704BE">
      <w:r>
        <w:t xml:space="preserve">Once the </w:t>
      </w:r>
      <w:r w:rsidR="008E0111">
        <w:t>Attestation</w:t>
      </w:r>
      <w:r>
        <w:t xml:space="preserve"> transform is applied, the requirement is updated with</w:t>
      </w:r>
      <w:r w:rsidR="005701C1">
        <w:t xml:space="preserve"> an</w:t>
      </w:r>
      <w:r>
        <w:t xml:space="preserve"> additional check to make</w:t>
      </w:r>
      <w:r w:rsidR="00C6451F">
        <w:t>, which</w:t>
      </w:r>
      <w:r>
        <w:t xml:space="preserve"> reflect</w:t>
      </w:r>
      <w:r w:rsidR="008E0111">
        <w:t>s</w:t>
      </w:r>
      <w:r>
        <w:t xml:space="preserve"> the addition of </w:t>
      </w:r>
      <w:r w:rsidR="008E0111">
        <w:t>the attestation manager</w:t>
      </w:r>
      <w:r>
        <w:t xml:space="preserve"> component, as shown in </w:t>
      </w:r>
      <w:r w:rsidR="00900257">
        <w:fldChar w:fldCharType="begin"/>
      </w:r>
      <w:r w:rsidR="00900257">
        <w:instrText xml:space="preserve"> REF _Ref19191315 \h </w:instrText>
      </w:r>
      <w:r w:rsidR="00900257">
        <w:fldChar w:fldCharType="separate"/>
      </w:r>
      <w:r w:rsidR="00DD768C">
        <w:t xml:space="preserve">Figure </w:t>
      </w:r>
      <w:r w:rsidR="00DD768C">
        <w:rPr>
          <w:noProof/>
        </w:rPr>
        <w:t>7</w:t>
      </w:r>
      <w:r w:rsidR="00900257">
        <w:fldChar w:fldCharType="end"/>
      </w:r>
      <w:r>
        <w:t>.</w:t>
      </w:r>
    </w:p>
    <w:p w:rsidR="00900257" w:rsidRDefault="00877E00" w:rsidP="00900257">
      <w:pPr>
        <w:keepNext/>
        <w:jc w:val="center"/>
      </w:pPr>
      <w:r>
        <w:rPr>
          <w:noProof/>
        </w:rPr>
        <w:drawing>
          <wp:inline distT="0" distB="0" distL="0" distR="0" wp14:anchorId="4B5540D9" wp14:editId="72F4797C">
            <wp:extent cx="5943600" cy="6978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7865"/>
                    </a:xfrm>
                    <a:prstGeom prst="rect">
                      <a:avLst/>
                    </a:prstGeom>
                  </pic:spPr>
                </pic:pic>
              </a:graphicData>
            </a:graphic>
          </wp:inline>
        </w:drawing>
      </w:r>
    </w:p>
    <w:p w:rsidR="001704BE" w:rsidRDefault="00900257" w:rsidP="00900257">
      <w:pPr>
        <w:pStyle w:val="Caption"/>
        <w:jc w:val="center"/>
      </w:pPr>
      <w:bookmarkStart w:id="6" w:name="_Ref19191315"/>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7</w:t>
      </w:r>
      <w:r w:rsidR="00FD3FB6">
        <w:rPr>
          <w:noProof/>
        </w:rPr>
        <w:fldChar w:fldCharType="end"/>
      </w:r>
      <w:bookmarkEnd w:id="6"/>
      <w:r>
        <w:t xml:space="preserve">. Modified requirement after </w:t>
      </w:r>
      <w:r w:rsidR="008E0111">
        <w:t>Attestation</w:t>
      </w:r>
      <w:r>
        <w:t xml:space="preserve"> transform.</w:t>
      </w:r>
    </w:p>
    <w:p w:rsidR="00900257" w:rsidRDefault="00900257" w:rsidP="00900257">
      <w:r>
        <w:t xml:space="preserve">The addition of the </w:t>
      </w:r>
      <w:proofErr w:type="spellStart"/>
      <w:r w:rsidRPr="00900257">
        <w:rPr>
          <w:rFonts w:ascii="Courier New" w:hAnsi="Courier New" w:cs="Courier New"/>
        </w:rPr>
        <w:t>add_</w:t>
      </w:r>
      <w:r w:rsidR="008E0111">
        <w:rPr>
          <w:rFonts w:ascii="Courier New" w:hAnsi="Courier New" w:cs="Courier New"/>
        </w:rPr>
        <w:t>attestation_</w:t>
      </w:r>
      <w:proofErr w:type="gramStart"/>
      <w:r w:rsidR="008E0111">
        <w:rPr>
          <w:rFonts w:ascii="Courier New" w:hAnsi="Courier New" w:cs="Courier New"/>
        </w:rPr>
        <w:t>manager</w:t>
      </w:r>
      <w:proofErr w:type="spellEnd"/>
      <w:r w:rsidRPr="00900257">
        <w:rPr>
          <w:rFonts w:ascii="Courier New" w:hAnsi="Courier New" w:cs="Courier New"/>
        </w:rPr>
        <w:t>(</w:t>
      </w:r>
      <w:proofErr w:type="gramEnd"/>
      <w:r w:rsidRPr="00900257">
        <w:rPr>
          <w:rFonts w:ascii="Courier New" w:hAnsi="Courier New" w:cs="Courier New"/>
        </w:rPr>
        <w:t>)</w:t>
      </w:r>
      <w:r>
        <w:t xml:space="preserve"> call on line </w:t>
      </w:r>
      <w:r w:rsidR="00877E00">
        <w:t>10</w:t>
      </w:r>
      <w:r>
        <w:t xml:space="preserve"> provides Resolute with additional checks to make to ensure the requirement was addressed correctly.  In this case, </w:t>
      </w:r>
      <w:proofErr w:type="spellStart"/>
      <w:r w:rsidRPr="00900257">
        <w:rPr>
          <w:rFonts w:ascii="Courier New" w:hAnsi="Courier New" w:cs="Courier New"/>
        </w:rPr>
        <w:t>add_</w:t>
      </w:r>
      <w:r w:rsidR="008E0111">
        <w:rPr>
          <w:rFonts w:ascii="Courier New" w:hAnsi="Courier New" w:cs="Courier New"/>
        </w:rPr>
        <w:t>attestation_</w:t>
      </w:r>
      <w:proofErr w:type="gramStart"/>
      <w:r w:rsidR="008E0111">
        <w:rPr>
          <w:rFonts w:ascii="Courier New" w:hAnsi="Courier New" w:cs="Courier New"/>
        </w:rPr>
        <w:t>manager</w:t>
      </w:r>
      <w:proofErr w:type="spellEnd"/>
      <w:r w:rsidRPr="00900257">
        <w:rPr>
          <w:rFonts w:ascii="Courier New" w:hAnsi="Courier New" w:cs="Courier New"/>
        </w:rPr>
        <w:t>(</w:t>
      </w:r>
      <w:proofErr w:type="gramEnd"/>
      <w:r w:rsidRPr="00900257">
        <w:rPr>
          <w:rFonts w:ascii="Courier New" w:hAnsi="Courier New" w:cs="Courier New"/>
        </w:rPr>
        <w:t>)</w:t>
      </w:r>
      <w:r>
        <w:t xml:space="preserve"> is included in the </w:t>
      </w:r>
      <w:proofErr w:type="spellStart"/>
      <w:r>
        <w:t>CASE_Model_Transformations</w:t>
      </w:r>
      <w:proofErr w:type="spellEnd"/>
      <w:r>
        <w:t xml:space="preserve"> library and consists of t</w:t>
      </w:r>
      <w:r w:rsidR="008E0111">
        <w:t>wo</w:t>
      </w:r>
      <w:r>
        <w:t xml:space="preserve"> </w:t>
      </w:r>
      <w:proofErr w:type="spellStart"/>
      <w:r>
        <w:t>subclaims</w:t>
      </w:r>
      <w:proofErr w:type="spellEnd"/>
      <w:r>
        <w:t>:</w:t>
      </w:r>
    </w:p>
    <w:p w:rsidR="00900257" w:rsidRDefault="008E0111" w:rsidP="00900257">
      <w:pPr>
        <w:pStyle w:val="ListParagraph"/>
        <w:numPr>
          <w:ilvl w:val="0"/>
          <w:numId w:val="5"/>
        </w:numPr>
      </w:pPr>
      <w:proofErr w:type="spellStart"/>
      <w:r>
        <w:rPr>
          <w:rFonts w:ascii="Courier New" w:hAnsi="Courier New" w:cs="Courier New"/>
        </w:rPr>
        <w:t>attestation_manager</w:t>
      </w:r>
      <w:r w:rsidR="00900257" w:rsidRPr="00900257">
        <w:rPr>
          <w:rFonts w:ascii="Courier New" w:hAnsi="Courier New" w:cs="Courier New"/>
        </w:rPr>
        <w:t>_exists</w:t>
      </w:r>
      <w:proofErr w:type="spellEnd"/>
      <w:r w:rsidR="00900257" w:rsidRPr="00900257">
        <w:rPr>
          <w:rFonts w:ascii="Courier New" w:hAnsi="Courier New" w:cs="Courier New"/>
        </w:rPr>
        <w:t>()</w:t>
      </w:r>
      <w:r w:rsidR="00900257">
        <w:t xml:space="preserve"> – Checks that the </w:t>
      </w:r>
      <w:r w:rsidR="00CB7A1E">
        <w:t>attestation manager</w:t>
      </w:r>
      <w:r w:rsidR="00900257">
        <w:t xml:space="preserve"> component is present in the model</w:t>
      </w:r>
    </w:p>
    <w:p w:rsidR="00CB7A1E" w:rsidRPr="00CB7A1E" w:rsidRDefault="008E0111" w:rsidP="00CB7A1E">
      <w:pPr>
        <w:pStyle w:val="ListParagraph"/>
        <w:numPr>
          <w:ilvl w:val="0"/>
          <w:numId w:val="5"/>
        </w:numPr>
      </w:pPr>
      <w:proofErr w:type="spellStart"/>
      <w:r>
        <w:rPr>
          <w:rFonts w:ascii="Courier New" w:hAnsi="Courier New" w:cs="Courier New"/>
        </w:rPr>
        <w:t>attestation_manager</w:t>
      </w:r>
      <w:r w:rsidR="00900257" w:rsidRPr="00900257">
        <w:rPr>
          <w:rFonts w:ascii="Courier New" w:hAnsi="Courier New" w:cs="Courier New"/>
        </w:rPr>
        <w:t>_not_bypassed</w:t>
      </w:r>
      <w:proofErr w:type="spellEnd"/>
      <w:r w:rsidR="00900257" w:rsidRPr="00900257">
        <w:rPr>
          <w:rFonts w:ascii="Courier New" w:hAnsi="Courier New" w:cs="Courier New"/>
        </w:rPr>
        <w:t>()</w:t>
      </w:r>
      <w:r w:rsidR="0074274C">
        <w:t xml:space="preserve"> – Checks that there are no</w:t>
      </w:r>
      <w:r w:rsidR="00900257">
        <w:t xml:space="preserve"> connections in the model that bypass the </w:t>
      </w:r>
      <w:r w:rsidR="00CB7A1E">
        <w:t>attestation manager</w:t>
      </w:r>
    </w:p>
    <w:p w:rsidR="00900257" w:rsidRDefault="00900257" w:rsidP="00CB7A1E">
      <w:r>
        <w:t>To check whether the requirement has been correctly addressed in the design, select the containing component implementation (</w:t>
      </w:r>
      <w:proofErr w:type="spellStart"/>
      <w:r>
        <w:t>SW.Impl</w:t>
      </w:r>
      <w:proofErr w:type="spellEnd"/>
      <w:r>
        <w:t xml:space="preserve"> on line </w:t>
      </w:r>
      <w:r w:rsidR="00CB7A1E">
        <w:t>8</w:t>
      </w:r>
      <w:r w:rsidR="00E5276B">
        <w:t>3</w:t>
      </w:r>
      <w:r>
        <w:t xml:space="preserve"> in </w:t>
      </w:r>
      <w:proofErr w:type="spellStart"/>
      <w:r w:rsidR="00CB7A1E">
        <w:t>Attestation</w:t>
      </w:r>
      <w:r>
        <w:t>.aadl</w:t>
      </w:r>
      <w:proofErr w:type="spellEnd"/>
      <w:r>
        <w:t xml:space="preserve">) and select Analyses </w:t>
      </w:r>
      <w:r>
        <w:sym w:font="Wingdings" w:char="F0E0"/>
      </w:r>
      <w:r>
        <w:t xml:space="preserve"> Resolute from the main </w:t>
      </w:r>
      <w:proofErr w:type="spellStart"/>
      <w:r>
        <w:t>menubar</w:t>
      </w:r>
      <w:proofErr w:type="spellEnd"/>
      <w:r>
        <w:t xml:space="preserve">.  The Resolute output will appear in the output pane, as shown in </w:t>
      </w:r>
      <w:r>
        <w:fldChar w:fldCharType="begin"/>
      </w:r>
      <w:r>
        <w:instrText xml:space="preserve"> REF _Ref19191780 \h </w:instrText>
      </w:r>
      <w:r>
        <w:fldChar w:fldCharType="separate"/>
      </w:r>
      <w:r w:rsidR="00CB7A1E">
        <w:t xml:space="preserve">Figure </w:t>
      </w:r>
      <w:r w:rsidR="00CB7A1E">
        <w:rPr>
          <w:noProof/>
        </w:rPr>
        <w:t>8</w:t>
      </w:r>
      <w:r>
        <w:fldChar w:fldCharType="end"/>
      </w:r>
      <w:r>
        <w:t>.</w:t>
      </w:r>
    </w:p>
    <w:p w:rsidR="00900257" w:rsidRDefault="00BE29BD" w:rsidP="00900257">
      <w:pPr>
        <w:keepNext/>
        <w:jc w:val="center"/>
      </w:pPr>
      <w:r>
        <w:rPr>
          <w:noProof/>
        </w:rPr>
        <w:drawing>
          <wp:inline distT="0" distB="0" distL="0" distR="0" wp14:anchorId="6BA2A78D" wp14:editId="45B8467D">
            <wp:extent cx="5943600" cy="984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84250"/>
                    </a:xfrm>
                    <a:prstGeom prst="rect">
                      <a:avLst/>
                    </a:prstGeom>
                  </pic:spPr>
                </pic:pic>
              </a:graphicData>
            </a:graphic>
          </wp:inline>
        </w:drawing>
      </w:r>
    </w:p>
    <w:p w:rsidR="006F68D1" w:rsidRPr="00900257" w:rsidRDefault="00900257" w:rsidP="00BE29BD">
      <w:pPr>
        <w:pStyle w:val="Caption"/>
        <w:jc w:val="center"/>
      </w:pPr>
      <w:bookmarkStart w:id="7" w:name="_Ref19191780"/>
      <w:r>
        <w:t xml:space="preserve">Figure </w:t>
      </w:r>
      <w:r w:rsidR="00FD3FB6">
        <w:rPr>
          <w:noProof/>
        </w:rPr>
        <w:fldChar w:fldCharType="begin"/>
      </w:r>
      <w:r w:rsidR="00FD3FB6">
        <w:rPr>
          <w:noProof/>
        </w:rPr>
        <w:instrText xml:space="preserve"> SEQ Figure \* ARABIC </w:instrText>
      </w:r>
      <w:r w:rsidR="00FD3FB6">
        <w:rPr>
          <w:noProof/>
        </w:rPr>
        <w:fldChar w:fldCharType="separate"/>
      </w:r>
      <w:r w:rsidR="00882573">
        <w:rPr>
          <w:noProof/>
        </w:rPr>
        <w:t>8</w:t>
      </w:r>
      <w:r w:rsidR="00FD3FB6">
        <w:rPr>
          <w:noProof/>
        </w:rPr>
        <w:fldChar w:fldCharType="end"/>
      </w:r>
      <w:bookmarkEnd w:id="7"/>
      <w:r>
        <w:t xml:space="preserve">.  </w:t>
      </w:r>
      <w:r w:rsidR="006F68D1">
        <w:t xml:space="preserve">A </w:t>
      </w:r>
      <w:r w:rsidR="00E5276B">
        <w:t>pass</w:t>
      </w:r>
      <w:r w:rsidR="006F68D1">
        <w:t xml:space="preserve">ing </w:t>
      </w:r>
      <w:r>
        <w:t xml:space="preserve">Resolute </w:t>
      </w:r>
      <w:r w:rsidR="006F68D1">
        <w:t>analysis</w:t>
      </w:r>
      <w:r w:rsidR="00BE29BD">
        <w:t>.</w:t>
      </w:r>
    </w:p>
    <w:sectPr w:rsidR="006F68D1" w:rsidRPr="0090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3872"/>
    <w:multiLevelType w:val="hybridMultilevel"/>
    <w:tmpl w:val="4104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136D17"/>
    <w:multiLevelType w:val="hybridMultilevel"/>
    <w:tmpl w:val="93BC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6711A3"/>
    <w:multiLevelType w:val="hybridMultilevel"/>
    <w:tmpl w:val="6D9A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C722A9"/>
    <w:multiLevelType w:val="hybridMultilevel"/>
    <w:tmpl w:val="BAB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6F6B60"/>
    <w:multiLevelType w:val="hybridMultilevel"/>
    <w:tmpl w:val="0C5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44"/>
    <w:rsid w:val="00001443"/>
    <w:rsid w:val="00005205"/>
    <w:rsid w:val="0000732E"/>
    <w:rsid w:val="00007334"/>
    <w:rsid w:val="00007826"/>
    <w:rsid w:val="00044B1B"/>
    <w:rsid w:val="00047C64"/>
    <w:rsid w:val="00047D01"/>
    <w:rsid w:val="0007249C"/>
    <w:rsid w:val="00085E48"/>
    <w:rsid w:val="000C1406"/>
    <w:rsid w:val="000C2B1E"/>
    <w:rsid w:val="001017B9"/>
    <w:rsid w:val="0012095F"/>
    <w:rsid w:val="001378D5"/>
    <w:rsid w:val="001516A2"/>
    <w:rsid w:val="001704BE"/>
    <w:rsid w:val="0017646A"/>
    <w:rsid w:val="0017760E"/>
    <w:rsid w:val="001B2212"/>
    <w:rsid w:val="00215104"/>
    <w:rsid w:val="00253845"/>
    <w:rsid w:val="00264F60"/>
    <w:rsid w:val="002955CD"/>
    <w:rsid w:val="002B4D4B"/>
    <w:rsid w:val="003134D7"/>
    <w:rsid w:val="00337FBF"/>
    <w:rsid w:val="0034200D"/>
    <w:rsid w:val="003531C6"/>
    <w:rsid w:val="003971E9"/>
    <w:rsid w:val="003B02BD"/>
    <w:rsid w:val="003C6578"/>
    <w:rsid w:val="003E3142"/>
    <w:rsid w:val="003F4393"/>
    <w:rsid w:val="00403362"/>
    <w:rsid w:val="004074AC"/>
    <w:rsid w:val="004339BF"/>
    <w:rsid w:val="00433A0D"/>
    <w:rsid w:val="00450433"/>
    <w:rsid w:val="004669AF"/>
    <w:rsid w:val="004934CA"/>
    <w:rsid w:val="004C232E"/>
    <w:rsid w:val="004F1EE5"/>
    <w:rsid w:val="005060D9"/>
    <w:rsid w:val="00512AB3"/>
    <w:rsid w:val="0051321B"/>
    <w:rsid w:val="00523E4D"/>
    <w:rsid w:val="00540D67"/>
    <w:rsid w:val="00545A81"/>
    <w:rsid w:val="00567D9F"/>
    <w:rsid w:val="005701C1"/>
    <w:rsid w:val="00586BAC"/>
    <w:rsid w:val="00586BB5"/>
    <w:rsid w:val="00593E75"/>
    <w:rsid w:val="005A6B01"/>
    <w:rsid w:val="005B1F07"/>
    <w:rsid w:val="005C0F1C"/>
    <w:rsid w:val="00612B9D"/>
    <w:rsid w:val="006173C4"/>
    <w:rsid w:val="00631FDD"/>
    <w:rsid w:val="00637B54"/>
    <w:rsid w:val="00662185"/>
    <w:rsid w:val="0066376D"/>
    <w:rsid w:val="006A3673"/>
    <w:rsid w:val="006D03CF"/>
    <w:rsid w:val="006F68D1"/>
    <w:rsid w:val="00713B61"/>
    <w:rsid w:val="0074274C"/>
    <w:rsid w:val="00763004"/>
    <w:rsid w:val="00787920"/>
    <w:rsid w:val="007A6596"/>
    <w:rsid w:val="007B2C42"/>
    <w:rsid w:val="007C4E46"/>
    <w:rsid w:val="007C5E1E"/>
    <w:rsid w:val="007F41D8"/>
    <w:rsid w:val="00832A04"/>
    <w:rsid w:val="008622AE"/>
    <w:rsid w:val="008759B4"/>
    <w:rsid w:val="00875ECD"/>
    <w:rsid w:val="00877E00"/>
    <w:rsid w:val="00881FE8"/>
    <w:rsid w:val="00882573"/>
    <w:rsid w:val="008E0111"/>
    <w:rsid w:val="00900257"/>
    <w:rsid w:val="00920167"/>
    <w:rsid w:val="00924581"/>
    <w:rsid w:val="009542BE"/>
    <w:rsid w:val="0096167B"/>
    <w:rsid w:val="0097504D"/>
    <w:rsid w:val="009B489F"/>
    <w:rsid w:val="009D6B44"/>
    <w:rsid w:val="00A01FD0"/>
    <w:rsid w:val="00A10E64"/>
    <w:rsid w:val="00A760C5"/>
    <w:rsid w:val="00A82F01"/>
    <w:rsid w:val="00AA3899"/>
    <w:rsid w:val="00AB37E0"/>
    <w:rsid w:val="00AE03FD"/>
    <w:rsid w:val="00B36DDB"/>
    <w:rsid w:val="00B5721F"/>
    <w:rsid w:val="00B8057C"/>
    <w:rsid w:val="00BA0D96"/>
    <w:rsid w:val="00BC43E8"/>
    <w:rsid w:val="00BD508A"/>
    <w:rsid w:val="00BE1530"/>
    <w:rsid w:val="00BE29BD"/>
    <w:rsid w:val="00C13FEA"/>
    <w:rsid w:val="00C6451F"/>
    <w:rsid w:val="00C802C0"/>
    <w:rsid w:val="00C915DE"/>
    <w:rsid w:val="00CA01BA"/>
    <w:rsid w:val="00CA4610"/>
    <w:rsid w:val="00CB4616"/>
    <w:rsid w:val="00CB7A1E"/>
    <w:rsid w:val="00CC3B94"/>
    <w:rsid w:val="00CC528F"/>
    <w:rsid w:val="00CC778C"/>
    <w:rsid w:val="00D06895"/>
    <w:rsid w:val="00D07BAE"/>
    <w:rsid w:val="00D26DC9"/>
    <w:rsid w:val="00D554E7"/>
    <w:rsid w:val="00D64855"/>
    <w:rsid w:val="00D70335"/>
    <w:rsid w:val="00D72BE4"/>
    <w:rsid w:val="00DD38DA"/>
    <w:rsid w:val="00DD768C"/>
    <w:rsid w:val="00DF3FDC"/>
    <w:rsid w:val="00E0465E"/>
    <w:rsid w:val="00E22A2E"/>
    <w:rsid w:val="00E2392A"/>
    <w:rsid w:val="00E46CAD"/>
    <w:rsid w:val="00E4771B"/>
    <w:rsid w:val="00E50A76"/>
    <w:rsid w:val="00E5276B"/>
    <w:rsid w:val="00E815DF"/>
    <w:rsid w:val="00E87F53"/>
    <w:rsid w:val="00EB5FF6"/>
    <w:rsid w:val="00ED75DA"/>
    <w:rsid w:val="00F04802"/>
    <w:rsid w:val="00F12E6E"/>
    <w:rsid w:val="00F31B58"/>
    <w:rsid w:val="00F855A6"/>
    <w:rsid w:val="00FD3FB6"/>
    <w:rsid w:val="00FD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E256F-E688-4E41-BDEF-089C1D0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44"/>
  </w:style>
  <w:style w:type="paragraph" w:styleId="Heading1">
    <w:name w:val="heading 1"/>
    <w:basedOn w:val="Normal"/>
    <w:next w:val="Normal"/>
    <w:link w:val="Heading1Char"/>
    <w:uiPriority w:val="9"/>
    <w:qFormat/>
    <w:rsid w:val="00CC3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6B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43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4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D6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4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10E64"/>
    <w:rPr>
      <w:color w:val="0000FF"/>
      <w:u w:val="single"/>
    </w:rPr>
  </w:style>
  <w:style w:type="table" w:styleId="TableGrid">
    <w:name w:val="Table Grid"/>
    <w:basedOn w:val="TableNormal"/>
    <w:uiPriority w:val="39"/>
    <w:rsid w:val="00F04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200D"/>
    <w:pPr>
      <w:spacing w:after="200" w:line="240" w:lineRule="auto"/>
    </w:pPr>
    <w:rPr>
      <w:i/>
      <w:iCs/>
      <w:color w:val="44546A" w:themeColor="text2"/>
      <w:sz w:val="18"/>
      <w:szCs w:val="18"/>
    </w:rPr>
  </w:style>
  <w:style w:type="paragraph" w:styleId="ListParagraph">
    <w:name w:val="List Paragraph"/>
    <w:basedOn w:val="Normal"/>
    <w:uiPriority w:val="34"/>
    <w:qFormat/>
    <w:rsid w:val="00047D01"/>
    <w:pPr>
      <w:ind w:left="720"/>
      <w:contextualSpacing/>
    </w:pPr>
  </w:style>
  <w:style w:type="character" w:customStyle="1" w:styleId="Heading3Char">
    <w:name w:val="Heading 3 Char"/>
    <w:basedOn w:val="DefaultParagraphFont"/>
    <w:link w:val="Heading3"/>
    <w:uiPriority w:val="9"/>
    <w:rsid w:val="003F439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C3B9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onwerks/CASE/tree/master/TA2/Model_Transformations/Monitor/%20UAV_Example/Test_Mode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github.com/loonwerks/CASE/tree/master/TA2/Model_Transformations/Monitor/%20UAV_Example/Transformed_Model"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oonwerks/CASE/tree/master/TA2/Model_Transformations/Monitor/%20UAV_Example/Initial_Mode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E62F-129D-44DA-9522-FAFF0FFCC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Amundson, Isaac E</dc:creator>
  <cp:keywords/>
  <dc:description/>
  <cp:lastModifiedBy>Amundson, Isaac E</cp:lastModifiedBy>
  <cp:revision>86</cp:revision>
  <dcterms:created xsi:type="dcterms:W3CDTF">2019-09-06T14:16:00Z</dcterms:created>
  <dcterms:modified xsi:type="dcterms:W3CDTF">2020-04-02T17:34:00Z</dcterms:modified>
</cp:coreProperties>
</file>