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color w:val="2E74B5"/>
          <w:sz w:val="20"/>
        </w:rPr>
        <w:t>NOTICE</w:t>
      </w:r>
    </w:p>
    <w:p>
      <w:pPr>
        <w:spacing w:before="0" w:after="320"/>
      </w:pPr>
      <w:r>
        <w:rPr>
          <w:rFonts w:ascii="Calibri" w:hAnsi="Calibri"/>
          <w:b/>
          <w:color w:val="0B2545"/>
          <w:sz w:val="50"/>
        </w:rPr>
        <w:t>Trademark and non-affiliation</w:t>
      </w:r>
    </w:p>
    <w:p>
      <w:pPr>
        <w:spacing w:before="0" w:after="160" w:line="259" w:lineRule="auto"/>
      </w:pPr>
      <w:r>
        <w:rPr>
          <w:rFonts w:ascii="Calibri" w:hAnsi="Calibri"/>
          <w:b w:val="0"/>
          <w:color w:val="000000"/>
          <w:sz w:val="21"/>
        </w:rPr>
        <w:t xml:space="preserve">Nutanix STIG Control Center is an independent, community-maintained project. It is </w:t>
      </w:r>
      <w:r>
        <w:rPr>
          <w:rFonts w:ascii="Calibri" w:hAnsi="Calibri"/>
          <w:b/>
          <w:color w:val="000000"/>
          <w:sz w:val="21"/>
        </w:rPr>
        <w:t>not</w:t>
      </w:r>
      <w:r>
        <w:rPr>
          <w:rFonts w:ascii="Calibri" w:hAnsi="Calibri"/>
          <w:b w:val="0"/>
          <w:color w:val="000000"/>
          <w:sz w:val="21"/>
        </w:rPr>
        <w:t xml:space="preserve"> an official Nutanix product or documentation set, is </w:t>
      </w:r>
      <w:r>
        <w:rPr>
          <w:rFonts w:ascii="Calibri" w:hAnsi="Calibri"/>
          <w:b/>
          <w:color w:val="000000"/>
          <w:sz w:val="21"/>
        </w:rPr>
        <w:t>not</w:t>
      </w:r>
      <w:r>
        <w:rPr>
          <w:rFonts w:ascii="Calibri" w:hAnsi="Calibri"/>
          <w:b w:val="0"/>
          <w:color w:val="000000"/>
          <w:sz w:val="21"/>
        </w:rPr>
        <w:t xml:space="preserve"> created, reviewed, or distributed by Nutanix, Inc., and is </w:t>
      </w:r>
      <w:r>
        <w:rPr>
          <w:rFonts w:ascii="Calibri" w:hAnsi="Calibri"/>
          <w:b/>
          <w:color w:val="000000"/>
          <w:sz w:val="21"/>
        </w:rPr>
        <w:t>not</w:t>
      </w:r>
      <w:r>
        <w:rPr>
          <w:rFonts w:ascii="Calibri" w:hAnsi="Calibri"/>
          <w:b w:val="0"/>
          <w:color w:val="000000"/>
          <w:sz w:val="21"/>
        </w:rPr>
        <w:t xml:space="preserve"> endorsed, certified, sponsored, or otherwise approved by Nutanix in any way.</w:t>
      </w:r>
    </w:p>
    <w:p>
      <w:pPr>
        <w:spacing w:before="0" w:after="160" w:line="259" w:lineRule="auto"/>
      </w:pPr>
      <w:r>
        <w:rPr>
          <w:rFonts w:ascii="Calibri" w:hAnsi="Calibri"/>
          <w:b w:val="0"/>
          <w:color w:val="000000"/>
          <w:sz w:val="21"/>
        </w:rPr>
        <w:t>"Nutanix," "AHV," "Prism," "Prism Central," "NCC," and any other Nutanix product, service, or documentation name referenced in this repository are trademarks or registered trademarks of Nutanix, Inc. in the United States and other countries. They are used here solely for descriptive, nominative purposes — to identify the systems this tool is designed to interoperate with — and no sponsorship, affiliation, or endorsement by Nutanix is implied or should be inferred.</w:t>
      </w:r>
    </w:p>
    <w:p>
      <w:pPr>
        <w:spacing w:before="0" w:after="160" w:line="259" w:lineRule="auto"/>
      </w:pPr>
      <w:r>
        <w:rPr>
          <w:rFonts w:ascii="Calibri" w:hAnsi="Calibri"/>
          <w:b w:val="0"/>
          <w:color w:val="000000"/>
          <w:sz w:val="21"/>
        </w:rPr>
        <w:t>References to the "Nutanix Security Guide," DISA STIG identifiers, control numbers, section names, or summaries are provided for cross-reference and convenience only. They are not a substitute for, and may not exactly match, Nutanix's own current official documentation, release notes, or support guidance — consult those directly for authoritative information.</w:t>
      </w:r>
    </w:p>
    <w:p>
      <w:pPr>
        <w:spacing w:before="0" w:after="160" w:line="259" w:lineRule="auto"/>
      </w:pPr>
      <w:r>
        <w:rPr>
          <w:rFonts w:ascii="Calibri" w:hAnsi="Calibri"/>
          <w:b w:val="0"/>
          <w:color w:val="000000"/>
          <w:sz w:val="21"/>
        </w:rPr>
        <w:t xml:space="preserve">This project is licensed under the terms in </w:t>
      </w:r>
      <w:hyperlink r:id="rId11">
        <w:r>
          <w:rPr>
            <w:rFonts w:ascii="Calibri" w:hAnsi="Calibri"/>
            <w:color w:val="0563C1"/>
            <w:sz w:val="21"/>
            <w:szCs w:val="21"/>
            <w:u w:val="single"/>
          </w:rPr>
          <w:t>LICENSE</w:t>
        </w:r>
      </w:hyperlink>
      <w:r>
        <w:rPr>
          <w:rFonts w:ascii="Calibri" w:hAnsi="Calibri"/>
          <w:b w:val="0"/>
          <w:color w:val="000000"/>
          <w:sz w:val="21"/>
        </w:rPr>
        <w:t xml:space="preserve"> and is provided "as is," without warranty of any kind, by its contributors. Nutanix, Inc. is not a contributor to, and bears no responsibility for, this project.</w:t>
      </w:r>
    </w:p>
    <w:p>
      <w:pPr>
        <w:spacing w:before="0" w:after="0" w:line="259" w:lineRule="auto"/>
      </w:pPr>
      <w:r>
        <w:rPr>
          <w:rFonts w:ascii="Calibri" w:hAnsi="Calibri"/>
          <w:b w:val="0"/>
          <w:color w:val="000000"/>
          <w:sz w:val="21"/>
        </w:rPr>
        <w:t xml:space="preserve">For Nutanix's official products, documentation, and support channels, visit </w:t>
      </w:r>
      <w:hyperlink r:id="rId12">
        <w:r>
          <w:rPr>
            <w:rFonts w:ascii="Calibri" w:hAnsi="Calibri"/>
            <w:color w:val="0563C1"/>
            <w:sz w:val="21"/>
            <w:szCs w:val="21"/>
            <w:u w:val="single"/>
          </w:rPr>
          <w:t>nutanix.com</w:t>
        </w:r>
      </w:hyperlink>
      <w:r>
        <w:rPr>
          <w:rFonts w:ascii="Calibri" w:hAnsi="Calibri"/>
          <w:b w:val="0"/>
          <w:color w:val="000000"/>
          <w:sz w:val="21"/>
        </w:rPr>
        <w:t xml:space="preserve"> and </w:t>
      </w:r>
      <w:hyperlink r:id="rId13">
        <w:r>
          <w:rPr>
            <w:rFonts w:ascii="Calibri" w:hAnsi="Calibri"/>
            <w:color w:val="0563C1"/>
            <w:sz w:val="21"/>
            <w:szCs w:val="21"/>
            <w:u w:val="single"/>
          </w:rPr>
          <w:t>portal.nutanix.com</w:t>
        </w:r>
      </w:hyperlink>
      <w:r>
        <w:rPr>
          <w:rFonts w:ascii="Calibri" w:hAnsi="Calibri"/>
          <w:b w:val="0"/>
          <w:color w:val="000000"/>
          <w:sz w:val="21"/>
        </w:rPr>
        <w:t>.</w:t>
      </w:r>
      <w:r>
        <w:br w:type="page"/>
      </w:r>
    </w:p>
    <w:p>
      <w:pPr>
        <w:spacing w:before="280" w:after="40"/>
      </w:pPr>
      <w:r>
        <w:rPr>
          <w:rFonts w:ascii="Calibri" w:hAnsi="Calibri"/>
          <w:b/>
          <w:i w:val="0"/>
          <w:color w:val="2E74B5"/>
          <w:sz w:val="20"/>
        </w:rPr>
        <w:t>CUSTOMER OPERATIONS PACK</w:t>
      </w:r>
    </w:p>
    <w:p>
      <w:pPr>
        <w:spacing w:after="160"/>
      </w:pPr>
      <w:r>
        <w:rPr>
          <w:rFonts w:ascii="Calibri" w:hAnsi="Calibri"/>
          <w:b/>
          <w:i w:val="0"/>
          <w:color w:val="0B2545"/>
          <w:sz w:val="58"/>
        </w:rPr>
        <w:t>Nutanix STIG Hardening</w:t>
      </w:r>
    </w:p>
    <w:p>
      <w:pPr>
        <w:spacing w:after="400"/>
      </w:pPr>
      <w:r>
        <w:rPr>
          <w:rFonts w:ascii="Calibri" w:hAnsi="Calibri"/>
          <w:b w:val="0"/>
          <w:i w:val="0"/>
          <w:color w:val="5B6573"/>
          <w:sz w:val="27"/>
        </w:rPr>
        <w:t>Safe dry-run, controlled application, read-back verification, evidence collection, and rollback</w:t>
      </w:r>
    </w:p>
    <w:p>
      <w:pPr>
        <w:spacing w:after="60"/>
      </w:pPr>
      <w:r>
        <w:rPr>
          <w:rFonts w:ascii="Calibri" w:hAnsi="Calibri"/>
          <w:b/>
          <w:i w:val="0"/>
          <w:color w:val="1F4D78"/>
          <w:sz w:val="18"/>
        </w:rPr>
        <w:t xml:space="preserve">Applies to: </w:t>
      </w:r>
      <w:r>
        <w:rPr>
          <w:rFonts w:ascii="Calibri" w:hAnsi="Calibri"/>
          <w:b w:val="0"/>
          <w:i w:val="0"/>
          <w:color w:val="000000"/>
          <w:sz w:val="18"/>
        </w:rPr>
        <w:t>AOS 7.x+, AHV, Prism Central 7.x+</w:t>
      </w:r>
      <w:r>
        <w:rPr>
          <w:rFonts w:ascii="Calibri" w:hAnsi="Calibri"/>
          <w:b w:val="0"/>
          <w:i w:val="0"/>
          <w:color w:val="5B6573"/>
          <w:sz w:val="18"/>
        </w:rPr>
        <w:t xml:space="preserve">    |    </w:t>
      </w:r>
      <w:r>
        <w:rPr>
          <w:rFonts w:ascii="Calibri" w:hAnsi="Calibri"/>
          <w:b/>
          <w:i w:val="0"/>
          <w:color w:val="1F4D78"/>
          <w:sz w:val="18"/>
        </w:rPr>
        <w:t xml:space="preserve">Script: </w:t>
      </w:r>
      <w:r>
        <w:rPr>
          <w:rFonts w:ascii="Calibri" w:hAnsi="Calibri"/>
          <w:b w:val="0"/>
          <w:i w:val="0"/>
          <w:color w:val="000000"/>
          <w:sz w:val="18"/>
        </w:rPr>
        <w:t>nutanix_stig_harden.py v1.1</w:t>
      </w:r>
    </w:p>
    <w:p>
      <w:pPr>
        <w:spacing w:after="60"/>
      </w:pPr>
      <w:r>
        <w:rPr>
          <w:rFonts w:ascii="Calibri" w:hAnsi="Calibri"/>
          <w:b/>
          <w:i w:val="0"/>
          <w:color w:val="1F4D78"/>
          <w:sz w:val="18"/>
        </w:rPr>
        <w:t xml:space="preserve">Control model: </w:t>
      </w:r>
      <w:r>
        <w:rPr>
          <w:rFonts w:ascii="Calibri" w:hAnsi="Calibri"/>
          <w:b w:val="0"/>
          <w:i w:val="0"/>
          <w:color w:val="000000"/>
          <w:sz w:val="18"/>
        </w:rPr>
        <w:t>Dry run first; explicit approval required to apply</w:t>
      </w:r>
      <w:r>
        <w:rPr>
          <w:rFonts w:ascii="Calibri" w:hAnsi="Calibri"/>
          <w:b w:val="0"/>
          <w:i w:val="0"/>
          <w:color w:val="5B6573"/>
          <w:sz w:val="18"/>
        </w:rPr>
        <w:t xml:space="preserve">    |    </w:t>
      </w:r>
      <w:r>
        <w:rPr>
          <w:rFonts w:ascii="Calibri" w:hAnsi="Calibri"/>
          <w:b/>
          <w:i w:val="0"/>
          <w:color w:val="1F4D78"/>
          <w:sz w:val="18"/>
        </w:rPr>
        <w:t xml:space="preserve">Prepared: </w:t>
      </w:r>
      <w:r>
        <w:rPr>
          <w:rFonts w:ascii="Calibri" w:hAnsi="Calibri"/>
          <w:b w:val="0"/>
          <w:i w:val="0"/>
          <w:color w:val="000000"/>
          <w:sz w:val="18"/>
        </w:rPr>
        <w:t>July 23, 2026</w:t>
      </w:r>
    </w:p>
    <w:p>
      <w:pPr>
        <w:pStyle w:val="Heading1"/>
      </w:pPr>
      <w:r>
        <w:t>How to use this guide</w:t>
      </w:r>
    </w:p>
    <w:p>
      <w:r>
        <w:rPr>
          <w:rFonts w:ascii="Calibri" w:hAnsi="Calibri"/>
          <w:b w:val="0"/>
          <w:i w:val="0"/>
          <w:color w:val="000000"/>
          <w:sz w:val="22"/>
        </w:rPr>
        <w:t>This guide is the operator procedure for the accompanying hardening script. Run the assessment first, review the evidence, obtain change approval, and only then perform an apply run during the approved maintenance window.</w:t>
      </w:r>
    </w:p>
    <w:p>
      <w:pPr>
        <w:spacing w:before="100" w:after="160"/>
        <w:ind w:left="173" w:right="173"/>
        <w:shd w:fill="FFF4CE"/>
      </w:pPr>
      <w:r>
        <w:rPr>
          <w:rFonts w:ascii="Calibri" w:hAnsi="Calibri"/>
          <w:b/>
          <w:i w:val="0"/>
          <w:color w:val="0B2545"/>
          <w:sz w:val="21"/>
        </w:rPr>
        <w:t xml:space="preserve">Assurance boundary: </w:t>
      </w:r>
      <w:r>
        <w:rPr>
          <w:rFonts w:ascii="Calibri" w:hAnsi="Calibri"/>
          <w:b w:val="0"/>
          <w:i w:val="0"/>
          <w:color w:val="000000"/>
          <w:sz w:val="21"/>
        </w:rPr>
        <w:t>The script automates a defined subset of the runbook: security parameters for CVM, AHV, and PCVM, plus optional cluster-side rsyslog configuration. It does not by itself certify STIG compliance. External SCAP/SCC results, manual controls, functional tests, and ISSO acceptance remain required.</w:t>
      </w:r>
    </w:p>
    <w:p>
      <w:pPr>
        <w:pStyle w:val="Heading1"/>
      </w:pPr>
      <w:r>
        <w:t>Safety model</w:t>
      </w:r>
    </w:p>
    <w:p>
      <w:pPr>
        <w:pStyle w:val="ListBullet"/>
      </w:pPr>
      <w:r>
        <w:rPr>
          <w:rFonts w:ascii="Calibri" w:hAnsi="Calibri"/>
          <w:b w:val="0"/>
          <w:i w:val="0"/>
          <w:color w:val="000000"/>
          <w:sz w:val="22"/>
        </w:rPr>
        <w:t>Dry run is the default. Omitting --apply prevents remote setting changes.</w:t>
      </w:r>
    </w:p>
    <w:p>
      <w:pPr>
        <w:pStyle w:val="ListBullet"/>
      </w:pPr>
      <w:r>
        <w:rPr>
          <w:rFonts w:ascii="Calibri" w:hAnsi="Calibri"/>
          <w:b w:val="0"/>
          <w:i w:val="0"/>
          <w:color w:val="000000"/>
          <w:sz w:val="22"/>
        </w:rPr>
        <w:t>A dry run still connects to the target and creates local logs, baselines, and reports.</w:t>
      </w:r>
    </w:p>
    <w:p>
      <w:pPr>
        <w:pStyle w:val="ListBullet"/>
      </w:pPr>
      <w:r>
        <w:rPr>
          <w:rFonts w:ascii="Calibri" w:hAnsi="Calibri"/>
          <w:b w:val="0"/>
          <w:i w:val="0"/>
          <w:color w:val="000000"/>
          <w:sz w:val="22"/>
        </w:rPr>
        <w:t>Interactive apply requires the operator to type APPLY exactly.</w:t>
      </w:r>
    </w:p>
    <w:p>
      <w:pPr>
        <w:pStyle w:val="ListBullet"/>
      </w:pPr>
      <w:r>
        <w:rPr>
          <w:rFonts w:ascii="Calibri" w:hAnsi="Calibri"/>
          <w:b w:val="0"/>
          <w:i w:val="0"/>
          <w:color w:val="000000"/>
          <w:sz w:val="22"/>
        </w:rPr>
        <w:t>Unattended apply requires both --apply and --approval-id &lt;CAB/change ID&gt;.</w:t>
      </w:r>
    </w:p>
    <w:p>
      <w:pPr>
        <w:pStyle w:val="ListBullet"/>
      </w:pPr>
      <w:r>
        <w:rPr>
          <w:rFonts w:ascii="Calibri" w:hAnsi="Calibri"/>
          <w:b w:val="0"/>
          <w:i w:val="0"/>
          <w:color w:val="000000"/>
          <w:sz w:val="22"/>
        </w:rPr>
        <w:t>Preflight, unreadable baselines, unrecognized parameter help, and failed read-back block or fail changes.</w:t>
      </w:r>
    </w:p>
    <w:p>
      <w:pPr>
        <w:pStyle w:val="ListBullet"/>
      </w:pPr>
      <w:r>
        <w:rPr>
          <w:rFonts w:ascii="Calibri" w:hAnsi="Calibri"/>
          <w:b w:val="0"/>
          <w:i w:val="0"/>
          <w:color w:val="000000"/>
          <w:sz w:val="22"/>
        </w:rPr>
        <w:t>SSH host keys are rejected unless already trusted; auto-add is available only as an explicit exception.</w:t>
      </w:r>
    </w:p>
    <w:p>
      <w:pPr>
        <w:pStyle w:val="ListBullet"/>
      </w:pPr>
      <w:r>
        <w:rPr>
          <w:rFonts w:ascii="Calibri" w:hAnsi="Calibri"/>
          <w:b w:val="0"/>
          <w:i w:val="0"/>
          <w:color w:val="000000"/>
          <w:sz w:val="22"/>
        </w:rPr>
        <w:t>Each successful setting command is re-read from the platform and reported as verified or failed.</w:t>
      </w:r>
    </w:p>
    <w:p>
      <w:pPr>
        <w:pStyle w:val="Heading1"/>
      </w:pPr>
      <w:r>
        <w:t>Required deliverables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
              <w:rPr>
                <w:rFonts w:ascii="Calibri" w:hAnsi="Calibri"/>
                <w:b/>
                <w:i w:val="0"/>
                <w:color w:val="0B2545"/>
                <w:sz w:val="19"/>
              </w:rPr>
              <w:t>File</w:t>
            </w:r>
          </w:p>
        </w:tc>
        <w:tc>
          <w:tcPr>
            <w:tcW w:type="dxa" w:w="6360"/>
            <w:tcMar>
              <w:top w:w="80" w:type="dxa"/>
              <w:start w:w="120" w:type="dxa"/>
              <w:bottom w:w="80" w:type="dxa"/>
              <w:end w:w="120" w:type="dxa"/>
            </w:tcMar>
            <w:vAlign w:val="center"/>
            <w:shd w:fill="E8EEF5"/>
          </w:tcPr>
          <w:p>
            <w:pPr>
              <w:spacing w:after="0"/>
            </w:pPr>
            <w:r/>
            <w:r>
              <w:rPr>
                <w:rFonts w:ascii="Calibri" w:hAnsi="Calibri"/>
                <w:b/>
                <w:i w:val="0"/>
                <w:color w:val="0B2545"/>
                <w:sz w:val="19"/>
              </w:rPr>
              <w:t>Purpose</w:t>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nutanix_stig_harden.py</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t>Validated hardening and reporting script</w:t>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nutanix_stig_harden.ini</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t>Client-specific targets, scope, profile, and integrations</w:t>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This guide</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t>Operator procedure and acceptance checklist</w:t>
            </w:r>
          </w:p>
        </w:tc>
      </w:tr>
    </w:tbl>
    <w:p>
      <w:r>
        <w:br w:type="page"/>
      </w:r>
    </w:p>
    <w:p>
      <w:pPr>
        <w:pStyle w:val="Heading1"/>
      </w:pPr>
      <w:r>
        <w:t>1. Pre-change readiness</w:t>
      </w:r>
    </w:p>
    <w:p>
      <w:pPr>
        <w:spacing w:before="100" w:after="160"/>
        <w:ind w:left="173" w:right="173"/>
        <w:shd w:fill="FDE7E7"/>
      </w:pPr>
      <w:r>
        <w:rPr>
          <w:rFonts w:ascii="Calibri" w:hAnsi="Calibri"/>
          <w:b/>
          <w:i w:val="0"/>
          <w:color w:val="0B2545"/>
          <w:sz w:val="21"/>
        </w:rPr>
        <w:t xml:space="preserve">Do not continue: </w:t>
      </w:r>
      <w:r>
        <w:rPr>
          <w:rFonts w:ascii="Calibri" w:hAnsi="Calibri"/>
          <w:b w:val="0"/>
          <w:i w:val="0"/>
          <w:color w:val="000000"/>
          <w:sz w:val="21"/>
        </w:rPr>
        <w:t>Do not apply hardening until every prerequisite is confirmed. A failed preflight blocks remote changes, but it does not replace the operator's maintenance-window and recovery-readiness checks.</w:t>
      </w:r>
    </w:p>
    <w:p>
      <w:pPr>
        <w:pStyle w:val="Heading2"/>
      </w:pPr>
      <w:r>
        <w:t>1.1 Platform and recovery prerequisites</w:t>
      </w:r>
    </w:p>
    <w:p>
      <w:pPr>
        <w:pStyle w:val="ListBullet"/>
      </w:pPr>
      <w:r>
        <w:rPr>
          <w:rFonts w:ascii="Calibri" w:hAnsi="Calibri"/>
          <w:b w:val="0"/>
          <w:i w:val="0"/>
          <w:color w:val="000000"/>
          <w:sz w:val="22"/>
        </w:rPr>
        <w:t>AOS 7.x or later, with Prism Central on a compatible release.</w:t>
      </w:r>
    </w:p>
    <w:p>
      <w:pPr>
        <w:pStyle w:val="ListBullet"/>
      </w:pPr>
      <w:r>
        <w:rPr>
          <w:rFonts w:ascii="Calibri" w:hAnsi="Calibri"/>
          <w:b w:val="0"/>
          <w:i w:val="0"/>
          <w:color w:val="000000"/>
          <w:sz w:val="22"/>
        </w:rPr>
        <w:t>LCM inventory complete and the target software/firmware baseline established.</w:t>
      </w:r>
    </w:p>
    <w:p>
      <w:pPr>
        <w:pStyle w:val="ListBullet"/>
      </w:pPr>
      <w:r>
        <w:rPr>
          <w:rFonts w:ascii="Calibri" w:hAnsi="Calibri"/>
          <w:b w:val="0"/>
          <w:i w:val="0"/>
          <w:color w:val="000000"/>
          <w:sz w:val="22"/>
        </w:rPr>
        <w:t>Cluster health green; resolve NCC FAIL and WARN results before change.</w:t>
      </w:r>
    </w:p>
    <w:p>
      <w:pPr>
        <w:pStyle w:val="ListBullet"/>
      </w:pPr>
      <w:r>
        <w:rPr>
          <w:rFonts w:ascii="Calibri" w:hAnsi="Calibri"/>
          <w:b w:val="0"/>
          <w:i w:val="0"/>
          <w:color w:val="000000"/>
          <w:sz w:val="22"/>
        </w:rPr>
        <w:t>Current fault tolerance of at least one node and data resiliency OK.</w:t>
      </w:r>
    </w:p>
    <w:p>
      <w:pPr>
        <w:pStyle w:val="ListBullet"/>
      </w:pPr>
      <w:r>
        <w:rPr>
          <w:rFonts w:ascii="Calibri" w:hAnsi="Calibri"/>
          <w:b w:val="0"/>
          <w:i w:val="0"/>
          <w:color w:val="000000"/>
          <w:sz w:val="22"/>
        </w:rPr>
        <w:t>Recent verified backup or protection snapshot for Prism Central and management workloads.</w:t>
      </w:r>
    </w:p>
    <w:p>
      <w:pPr>
        <w:pStyle w:val="ListBullet"/>
      </w:pPr>
      <w:r>
        <w:rPr>
          <w:rFonts w:ascii="Calibri" w:hAnsi="Calibri"/>
          <w:b w:val="0"/>
          <w:i w:val="0"/>
          <w:color w:val="000000"/>
          <w:sz w:val="22"/>
        </w:rPr>
        <w:t>At least two reachable DNS servers and two reachable NTP servers.</w:t>
      </w:r>
    </w:p>
    <w:p>
      <w:pPr>
        <w:pStyle w:val="ListBullet"/>
      </w:pPr>
      <w:r>
        <w:rPr>
          <w:rFonts w:ascii="Calibri" w:hAnsi="Calibri"/>
          <w:b w:val="0"/>
          <w:i w:val="0"/>
          <w:color w:val="000000"/>
          <w:sz w:val="22"/>
        </w:rPr>
        <w:t>Tested out-of-band console access to at least one node.</w:t>
      </w:r>
    </w:p>
    <w:p>
      <w:pPr>
        <w:pStyle w:val="ListBullet"/>
      </w:pPr>
      <w:r>
        <w:rPr>
          <w:rFonts w:ascii="Calibri" w:hAnsi="Calibri"/>
          <w:b w:val="0"/>
          <w:i w:val="0"/>
          <w:color w:val="000000"/>
          <w:sz w:val="22"/>
        </w:rPr>
        <w:t>Individual administrator SSH keys staged and tested.</w:t>
      </w:r>
    </w:p>
    <w:p>
      <w:pPr>
        <w:pStyle w:val="ListBullet"/>
      </w:pPr>
      <w:r>
        <w:rPr>
          <w:rFonts w:ascii="Calibri" w:hAnsi="Calibri"/>
          <w:b w:val="0"/>
          <w:i w:val="0"/>
          <w:color w:val="000000"/>
          <w:sz w:val="22"/>
        </w:rPr>
        <w:t>Current DISA benchmark content, SCC, and STIG Viewer available.</w:t>
      </w:r>
    </w:p>
    <w:p>
      <w:pPr>
        <w:pStyle w:val="ListBullet"/>
      </w:pPr>
      <w:r>
        <w:rPr>
          <w:rFonts w:ascii="Calibri" w:hAnsi="Calibri"/>
          <w:b w:val="0"/>
          <w:i w:val="0"/>
          <w:color w:val="000000"/>
          <w:sz w:val="22"/>
        </w:rPr>
        <w:t>CAB-approved maintenance window and rollback authorization recorded.</w:t>
      </w:r>
    </w:p>
    <w:p>
      <w:pPr>
        <w:pStyle w:val="Heading2"/>
      </w:pPr>
      <w:r>
        <w:t>1.2 Workstation requirements</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tcMar>
              <w:top w:w="80" w:type="dxa"/>
              <w:start w:w="120" w:type="dxa"/>
              <w:bottom w:w="80" w:type="dxa"/>
              <w:end w:w="120" w:type="dxa"/>
            </w:tcMar>
            <w:vAlign w:val="center"/>
            <w:shd w:fill="E8EEF5"/>
          </w:tcPr>
          <w:p>
            <w:pPr>
              <w:spacing w:after="0"/>
            </w:pPr>
            <w:r/>
            <w:r>
              <w:rPr>
                <w:rFonts w:ascii="Calibri" w:hAnsi="Calibri"/>
                <w:b/>
                <w:i w:val="0"/>
                <w:color w:val="0B2545"/>
                <w:sz w:val="19"/>
              </w:rPr>
              <w:t>Requirement</w:t>
            </w:r>
          </w:p>
        </w:tc>
        <w:tc>
          <w:tcPr>
            <w:tcW w:type="dxa" w:w="7010"/>
            <w:tcMar>
              <w:top w:w="80" w:type="dxa"/>
              <w:start w:w="120" w:type="dxa"/>
              <w:bottom w:w="80" w:type="dxa"/>
              <w:end w:w="120" w:type="dxa"/>
            </w:tcMar>
            <w:vAlign w:val="center"/>
            <w:shd w:fill="E8EEF5"/>
          </w:tcPr>
          <w:p>
            <w:pPr>
              <w:spacing w:after="0"/>
            </w:pPr>
            <w:r/>
            <w:r>
              <w:rPr>
                <w:rFonts w:ascii="Calibri" w:hAnsi="Calibri"/>
                <w:b/>
                <w:i w:val="0"/>
                <w:color w:val="0B2545"/>
                <w:sz w:val="19"/>
              </w:rPr>
              <w:t>Minimum / recommendation</w:t>
            </w:r>
          </w:p>
        </w:tc>
      </w:tr>
      <w:tr>
        <w:tc>
          <w:tcPr>
            <w:tcW w:type="dxa" w:w="2350"/>
            <w:tcMar>
              <w:top w:w="80" w:type="dxa"/>
              <w:start w:w="120" w:type="dxa"/>
              <w:bottom w:w="80" w:type="dxa"/>
              <w:end w:w="120" w:type="dxa"/>
            </w:tcMar>
            <w:vAlign w:val="center"/>
          </w:tcPr>
          <w:p>
            <w:pPr>
              <w:spacing w:after="0"/>
            </w:pPr>
            <w:r/>
            <w:r>
              <w:rPr>
                <w:rFonts w:ascii="Calibri" w:hAnsi="Calibri"/>
                <w:b w:val="0"/>
                <w:i w:val="0"/>
                <w:color w:val="000000"/>
                <w:sz w:val="18"/>
              </w:rPr>
              <w:t>Python</w:t>
            </w:r>
          </w:p>
        </w:tc>
        <w:tc>
          <w:tcPr>
            <w:tcW w:type="dxa" w:w="7010"/>
            <w:tcMar>
              <w:top w:w="80" w:type="dxa"/>
              <w:start w:w="120" w:type="dxa"/>
              <w:bottom w:w="80" w:type="dxa"/>
              <w:end w:w="120" w:type="dxa"/>
            </w:tcMar>
            <w:vAlign w:val="center"/>
          </w:tcPr>
          <w:p>
            <w:pPr>
              <w:spacing w:after="0"/>
            </w:pPr>
            <w:r/>
            <w:r>
              <w:rPr>
                <w:rFonts w:ascii="Calibri" w:hAnsi="Calibri"/>
                <w:b w:val="0"/>
                <w:i w:val="0"/>
                <w:color w:val="000000"/>
                <w:sz w:val="18"/>
              </w:rPr>
              <w:t>3.8 or later; use a dedicated virtual environment</w:t>
            </w:r>
          </w:p>
        </w:tc>
      </w:tr>
      <w:tr>
        <w:tc>
          <w:tcPr>
            <w:tcW w:type="dxa" w:w="2350"/>
            <w:tcMar>
              <w:top w:w="80" w:type="dxa"/>
              <w:start w:w="120" w:type="dxa"/>
              <w:bottom w:w="80" w:type="dxa"/>
              <w:end w:w="120" w:type="dxa"/>
            </w:tcMar>
            <w:vAlign w:val="center"/>
          </w:tcPr>
          <w:p>
            <w:pPr>
              <w:spacing w:after="0"/>
            </w:pPr>
            <w:r/>
            <w:r>
              <w:rPr>
                <w:rFonts w:ascii="Calibri" w:hAnsi="Calibri"/>
                <w:b w:val="0"/>
                <w:i w:val="0"/>
                <w:color w:val="000000"/>
                <w:sz w:val="18"/>
              </w:rPr>
              <w:t>Python package</w:t>
            </w:r>
          </w:p>
        </w:tc>
        <w:tc>
          <w:tcPr>
            <w:tcW w:type="dxa" w:w="7010"/>
            <w:tcMar>
              <w:top w:w="80" w:type="dxa"/>
              <w:start w:w="120" w:type="dxa"/>
              <w:bottom w:w="80" w:type="dxa"/>
              <w:end w:w="120" w:type="dxa"/>
            </w:tcMar>
            <w:vAlign w:val="center"/>
          </w:tcPr>
          <w:p>
            <w:pPr>
              <w:spacing w:after="0"/>
            </w:pPr>
            <w:r/>
            <w:r>
              <w:rPr>
                <w:rFonts w:ascii="Calibri" w:hAnsi="Calibri"/>
                <w:b w:val="0"/>
                <w:i w:val="0"/>
                <w:color w:val="000000"/>
                <w:sz w:val="18"/>
              </w:rPr>
              <w:t>Paramiko 3.4 or later, below major version 5 for this release</w:t>
            </w:r>
          </w:p>
        </w:tc>
      </w:tr>
      <w:tr>
        <w:tc>
          <w:tcPr>
            <w:tcW w:type="dxa" w:w="2350"/>
            <w:tcMar>
              <w:top w:w="80" w:type="dxa"/>
              <w:start w:w="120" w:type="dxa"/>
              <w:bottom w:w="80" w:type="dxa"/>
              <w:end w:w="120" w:type="dxa"/>
            </w:tcMar>
            <w:vAlign w:val="center"/>
          </w:tcPr>
          <w:p>
            <w:pPr>
              <w:spacing w:after="0"/>
            </w:pPr>
            <w:r/>
            <w:r>
              <w:rPr>
                <w:rFonts w:ascii="Calibri" w:hAnsi="Calibri"/>
                <w:b w:val="0"/>
                <w:i w:val="0"/>
                <w:color w:val="000000"/>
                <w:sz w:val="18"/>
              </w:rPr>
              <w:t>Network</w:t>
            </w:r>
          </w:p>
        </w:tc>
        <w:tc>
          <w:tcPr>
            <w:tcW w:type="dxa" w:w="7010"/>
            <w:tcMar>
              <w:top w:w="80" w:type="dxa"/>
              <w:start w:w="120" w:type="dxa"/>
              <w:bottom w:w="80" w:type="dxa"/>
              <w:end w:w="120" w:type="dxa"/>
            </w:tcMar>
            <w:vAlign w:val="center"/>
          </w:tcPr>
          <w:p>
            <w:pPr>
              <w:spacing w:after="0"/>
            </w:pPr>
            <w:r/>
            <w:r>
              <w:rPr>
                <w:rFonts w:ascii="Calibri" w:hAnsi="Calibri"/>
                <w:b w:val="0"/>
                <w:i w:val="0"/>
                <w:color w:val="000000"/>
                <w:sz w:val="18"/>
              </w:rPr>
              <w:t>TCP 22 from the admin host to cluster VIP/CVM and PCVM</w:t>
            </w:r>
          </w:p>
        </w:tc>
      </w:tr>
      <w:tr>
        <w:tc>
          <w:tcPr>
            <w:tcW w:type="dxa" w:w="2350"/>
            <w:tcMar>
              <w:top w:w="80" w:type="dxa"/>
              <w:start w:w="120" w:type="dxa"/>
              <w:bottom w:w="80" w:type="dxa"/>
              <w:end w:w="120" w:type="dxa"/>
            </w:tcMar>
            <w:vAlign w:val="center"/>
          </w:tcPr>
          <w:p>
            <w:pPr>
              <w:spacing w:after="0"/>
            </w:pPr>
            <w:r/>
            <w:r>
              <w:rPr>
                <w:rFonts w:ascii="Calibri" w:hAnsi="Calibri"/>
                <w:b w:val="0"/>
                <w:i w:val="0"/>
                <w:color w:val="000000"/>
                <w:sz w:val="18"/>
              </w:rPr>
              <w:t>Authentication</w:t>
            </w:r>
          </w:p>
        </w:tc>
        <w:tc>
          <w:tcPr>
            <w:tcW w:type="dxa" w:w="7010"/>
            <w:tcMar>
              <w:top w:w="80" w:type="dxa"/>
              <w:start w:w="120" w:type="dxa"/>
              <w:bottom w:w="80" w:type="dxa"/>
              <w:end w:w="120" w:type="dxa"/>
            </w:tcMar>
            <w:vAlign w:val="center"/>
          </w:tcPr>
          <w:p>
            <w:pPr>
              <w:spacing w:after="0"/>
            </w:pPr>
            <w:r/>
            <w:r>
              <w:rPr>
                <w:rFonts w:ascii="Calibri" w:hAnsi="Calibri"/>
                <w:b w:val="0"/>
                <w:i w:val="0"/>
                <w:color w:val="000000"/>
                <w:sz w:val="18"/>
              </w:rPr>
              <w:t>SSH private key preferred; password only for controlled transition</w:t>
            </w:r>
          </w:p>
        </w:tc>
      </w:tr>
      <w:tr>
        <w:tc>
          <w:tcPr>
            <w:tcW w:type="dxa" w:w="2350"/>
            <w:tcMar>
              <w:top w:w="80" w:type="dxa"/>
              <w:start w:w="120" w:type="dxa"/>
              <w:bottom w:w="80" w:type="dxa"/>
              <w:end w:w="120" w:type="dxa"/>
            </w:tcMar>
            <w:vAlign w:val="center"/>
          </w:tcPr>
          <w:p>
            <w:pPr>
              <w:spacing w:after="0"/>
            </w:pPr>
            <w:r/>
            <w:r>
              <w:rPr>
                <w:rFonts w:ascii="Calibri" w:hAnsi="Calibri"/>
                <w:b w:val="0"/>
                <w:i w:val="0"/>
                <w:color w:val="000000"/>
                <w:sz w:val="18"/>
              </w:rPr>
              <w:t>Storage</w:t>
            </w:r>
          </w:p>
        </w:tc>
        <w:tc>
          <w:tcPr>
            <w:tcW w:type="dxa" w:w="7010"/>
            <w:tcMar>
              <w:top w:w="80" w:type="dxa"/>
              <w:start w:w="120" w:type="dxa"/>
              <w:bottom w:w="80" w:type="dxa"/>
              <w:end w:w="120" w:type="dxa"/>
            </w:tcMar>
            <w:vAlign w:val="center"/>
          </w:tcPr>
          <w:p>
            <w:pPr>
              <w:spacing w:after="0"/>
            </w:pPr>
            <w:r/>
            <w:r>
              <w:rPr>
                <w:rFonts w:ascii="Calibri" w:hAnsi="Calibri"/>
                <w:b w:val="0"/>
                <w:i w:val="0"/>
                <w:color w:val="000000"/>
                <w:sz w:val="18"/>
              </w:rPr>
              <w:t>Encrypted client evidence location with restricted access</w:t>
            </w:r>
          </w:p>
        </w:tc>
      </w:tr>
      <w:tr>
        <w:tc>
          <w:tcPr>
            <w:tcW w:type="dxa" w:w="2350"/>
            <w:tcMar>
              <w:top w:w="80" w:type="dxa"/>
              <w:start w:w="120" w:type="dxa"/>
              <w:bottom w:w="80" w:type="dxa"/>
              <w:end w:w="120" w:type="dxa"/>
            </w:tcMar>
            <w:vAlign w:val="center"/>
          </w:tcPr>
          <w:p>
            <w:pPr>
              <w:spacing w:after="0"/>
            </w:pPr>
            <w:r/>
            <w:r>
              <w:rPr>
                <w:rFonts w:ascii="Calibri" w:hAnsi="Calibri"/>
                <w:b w:val="0"/>
                <w:i w:val="0"/>
                <w:color w:val="000000"/>
                <w:sz w:val="18"/>
              </w:rPr>
              <w:t>Time</w:t>
            </w:r>
          </w:p>
        </w:tc>
        <w:tc>
          <w:tcPr>
            <w:tcW w:type="dxa" w:w="7010"/>
            <w:tcMar>
              <w:top w:w="80" w:type="dxa"/>
              <w:start w:w="120" w:type="dxa"/>
              <w:bottom w:w="80" w:type="dxa"/>
              <w:end w:w="120" w:type="dxa"/>
            </w:tcMar>
            <w:vAlign w:val="center"/>
          </w:tcPr>
          <w:p>
            <w:pPr>
              <w:spacing w:after="0"/>
            </w:pPr>
            <w:r/>
            <w:r>
              <w:rPr>
                <w:rFonts w:ascii="Calibri" w:hAnsi="Calibri"/>
                <w:b w:val="0"/>
                <w:i w:val="0"/>
                <w:color w:val="000000"/>
                <w:sz w:val="18"/>
              </w:rPr>
              <w:t>Admin host synchronized to approved NTP</w:t>
            </w:r>
          </w:p>
        </w:tc>
      </w:tr>
    </w:tbl>
    <w:p>
      <w:pPr>
        <w:pStyle w:val="Heading2"/>
      </w:pPr>
      <w:r>
        <w:t>1.3 Install on Windows</w:t>
      </w:r>
    </w:p>
    <w:p>
      <w:pPr>
        <w:pStyle w:val="CodeBlock"/>
        <w:shd w:fill="F2F4F7"/>
      </w:pPr>
      <w:r>
        <w:rPr>
          <w:rFonts w:ascii="Consolas" w:hAnsi="Consolas"/>
          <w:b w:val="0"/>
          <w:i w:val="0"/>
          <w:color w:val="0B2545"/>
          <w:sz w:val="17"/>
        </w:rPr>
        <w:t>New-Item -ItemType Directory -Force C:\NutanixSTIG</w:t>
      </w:r>
      <w:r>
        <w:br/>
      </w:r>
      <w:r>
        <w:rPr>
          <w:rFonts w:ascii="Consolas" w:hAnsi="Consolas"/>
          <w:b w:val="0"/>
          <w:i w:val="0"/>
          <w:color w:val="0B2545"/>
          <w:sz w:val="17"/>
        </w:rPr>
        <w:t>Copy-Item .\nutanix_stig_harden.py C:\NutanixSTIG</w:t>
      </w:r>
      <w:r>
        <w:br/>
      </w:r>
      <w:r>
        <w:rPr>
          <w:rFonts w:ascii="Consolas" w:hAnsi="Consolas"/>
          <w:b w:val="0"/>
          <w:i w:val="0"/>
          <w:color w:val="0B2545"/>
          <w:sz w:val="17"/>
        </w:rPr>
        <w:t>py -3 -m venv C:\NutanixSTIG\.venv</w:t>
      </w:r>
      <w:r>
        <w:br/>
      </w:r>
      <w:r>
        <w:rPr>
          <w:rFonts w:ascii="Consolas" w:hAnsi="Consolas"/>
          <w:b w:val="0"/>
          <w:i w:val="0"/>
          <w:color w:val="0B2545"/>
          <w:sz w:val="17"/>
        </w:rPr>
        <w:t>C:\NutanixSTIG\.venv\Scripts\python.exe -m pip install --upgrade pip</w:t>
      </w:r>
      <w:r>
        <w:br/>
      </w:r>
      <w:r>
        <w:rPr>
          <w:rFonts w:ascii="Consolas" w:hAnsi="Consolas"/>
          <w:b w:val="0"/>
          <w:i w:val="0"/>
          <w:color w:val="0B2545"/>
          <w:sz w:val="17"/>
        </w:rPr>
        <w:t>C:\NutanixSTIG\.venv\Scripts\python.exe -m pip install "paramiko&gt;=3.4,&lt;5"</w:t>
      </w:r>
      <w:r>
        <w:br/>
      </w:r>
      <w:r>
        <w:rPr>
          <w:rFonts w:ascii="Consolas" w:hAnsi="Consolas"/>
          <w:b w:val="0"/>
          <w:i w:val="0"/>
          <w:color w:val="0B2545"/>
          <w:sz w:val="17"/>
        </w:rPr>
        <w:t>C:\NutanixSTIG\.venv\Scripts\python.exe C:\NutanixSTIG\nutanix_stig_harden.py --version</w:t>
      </w:r>
    </w:p>
    <w:p>
      <w:pPr>
        <w:pStyle w:val="Heading2"/>
      </w:pPr>
      <w:r>
        <w:t>1.4 Install on Linux</w:t>
      </w:r>
    </w:p>
    <w:p>
      <w:pPr>
        <w:pStyle w:val="CodeBlock"/>
        <w:shd w:fill="F2F4F7"/>
      </w:pPr>
      <w:r>
        <w:rPr>
          <w:rFonts w:ascii="Consolas" w:hAnsi="Consolas"/>
          <w:b w:val="0"/>
          <w:i w:val="0"/>
          <w:color w:val="0B2545"/>
          <w:sz w:val="17"/>
        </w:rPr>
        <w:t>sudo install -d -m 0750 -o root -g ntnx-admin /opt/nutanix-stig</w:t>
      </w:r>
      <w:r>
        <w:br/>
      </w:r>
      <w:r>
        <w:rPr>
          <w:rFonts w:ascii="Consolas" w:hAnsi="Consolas"/>
          <w:b w:val="0"/>
          <w:i w:val="0"/>
          <w:color w:val="0B2545"/>
          <w:sz w:val="17"/>
        </w:rPr>
        <w:t>sudo install -m 0750 nutanix_stig_harden.py /opt/nutanix-stig/</w:t>
      </w:r>
      <w:r>
        <w:br/>
      </w:r>
      <w:r>
        <w:rPr>
          <w:rFonts w:ascii="Consolas" w:hAnsi="Consolas"/>
          <w:b w:val="0"/>
          <w:i w:val="0"/>
          <w:color w:val="0B2545"/>
          <w:sz w:val="17"/>
        </w:rPr>
        <w:t>python3 -m venv /opt/nutanix-stig/.venv</w:t>
      </w:r>
      <w:r>
        <w:br/>
      </w:r>
      <w:r>
        <w:rPr>
          <w:rFonts w:ascii="Consolas" w:hAnsi="Consolas"/>
          <w:b w:val="0"/>
          <w:i w:val="0"/>
          <w:color w:val="0B2545"/>
          <w:sz w:val="17"/>
        </w:rPr>
        <w:t>/opt/nutanix-stig/.venv/bin/python -m pip install --upgrade pip</w:t>
      </w:r>
      <w:r>
        <w:br/>
      </w:r>
      <w:r>
        <w:rPr>
          <w:rFonts w:ascii="Consolas" w:hAnsi="Consolas"/>
          <w:b w:val="0"/>
          <w:i w:val="0"/>
          <w:color w:val="0B2545"/>
          <w:sz w:val="17"/>
        </w:rPr>
        <w:t>/opt/nutanix-stig/.venv/bin/python -m pip install 'paramiko&gt;=3.4,&lt;5'</w:t>
      </w:r>
      <w:r>
        <w:br/>
      </w:r>
      <w:r>
        <w:rPr>
          <w:rFonts w:ascii="Consolas" w:hAnsi="Consolas"/>
          <w:b w:val="0"/>
          <w:i w:val="0"/>
          <w:color w:val="0B2545"/>
          <w:sz w:val="17"/>
        </w:rPr>
        <w:t>/opt/nutanix-stig/.venv/bin/python /opt/nutanix-stig/nutanix_stig_harden.py --version</w:t>
      </w:r>
    </w:p>
    <w:p>
      <w:r>
        <w:br w:type="page"/>
      </w:r>
    </w:p>
    <w:p>
      <w:pPr>
        <w:pStyle w:val="Heading1"/>
      </w:pPr>
      <w:r>
        <w:t>2. Establish trusted SSH access</w:t>
      </w:r>
    </w:p>
    <w:p>
      <w:pPr>
        <w:pStyle w:val="Heading2"/>
      </w:pPr>
      <w:r>
        <w:t>2.1 Verify the host key</w:t>
      </w:r>
    </w:p>
    <w:p>
      <w:r>
        <w:rPr>
          <w:rFonts w:ascii="Calibri" w:hAnsi="Calibri"/>
          <w:b w:val="0"/>
          <w:i w:val="0"/>
          <w:color w:val="000000"/>
          <w:sz w:val="22"/>
        </w:rPr>
        <w:t>The default host_key_policy is reject. Before the first script connection, collect the cluster VIP/CVM and PCVM host keys from a trusted network path, compare their fingerprints with an independently obtained value, and place only the approved entries in the known-hosts file.</w:t>
      </w:r>
    </w:p>
    <w:p>
      <w:pPr>
        <w:pStyle w:val="CodeBlock"/>
        <w:shd w:fill="F2F4F7"/>
      </w:pPr>
      <w:r>
        <w:rPr>
          <w:rFonts w:ascii="Consolas" w:hAnsi="Consolas"/>
          <w:b w:val="0"/>
          <w:i w:val="0"/>
          <w:color w:val="0B2545"/>
          <w:sz w:val="17"/>
        </w:rPr>
        <w:t># Linux or Windows OpenSSH client</w:t>
      </w:r>
      <w:r>
        <w:br/>
      </w:r>
      <w:r>
        <w:rPr>
          <w:rFonts w:ascii="Consolas" w:hAnsi="Consolas"/>
          <w:b w:val="0"/>
          <w:i w:val="0"/>
          <w:color w:val="0B2545"/>
          <w:sz w:val="17"/>
        </w:rPr>
        <w:t>ssh-keyscan -t ed25519,rsa &lt;cluster_vip_or_cvm&gt; &gt; known_hosts.pending</w:t>
      </w:r>
      <w:r>
        <w:br/>
      </w:r>
      <w:r>
        <w:rPr>
          <w:rFonts w:ascii="Consolas" w:hAnsi="Consolas"/>
          <w:b w:val="0"/>
          <w:i w:val="0"/>
          <w:color w:val="0B2545"/>
          <w:sz w:val="17"/>
        </w:rPr>
        <w:t>ssh-keygen -lf known_hosts.pending</w:t>
      </w:r>
      <w:r>
        <w:br/>
      </w:r>
      <w:r>
        <w:rPr>
          <w:rFonts w:ascii="Consolas" w:hAnsi="Consolas"/>
          <w:b w:val="0"/>
          <w:i w:val="0"/>
          <w:color w:val="0B2545"/>
          <w:sz w:val="17"/>
        </w:rPr>
        <w:t># After out-of-band fingerprint verification:</w:t>
      </w:r>
      <w:r>
        <w:br/>
      </w:r>
      <w:r>
        <w:rPr>
          <w:rFonts w:ascii="Consolas" w:hAnsi="Consolas"/>
          <w:b w:val="0"/>
          <w:i w:val="0"/>
          <w:color w:val="0B2545"/>
          <w:sz w:val="17"/>
        </w:rPr>
        <w:t>mv known_hosts.pending known_hosts</w:t>
      </w:r>
    </w:p>
    <w:p>
      <w:pPr>
        <w:spacing w:before="100" w:after="160"/>
        <w:ind w:left="173" w:right="173"/>
        <w:shd w:fill="F4F6F9"/>
      </w:pPr>
      <w:r>
        <w:rPr>
          <w:rFonts w:ascii="Calibri" w:hAnsi="Calibri"/>
          <w:b/>
          <w:i w:val="0"/>
          <w:color w:val="0B2545"/>
          <w:sz w:val="21"/>
        </w:rPr>
        <w:t xml:space="preserve">Nonstandard port: </w:t>
      </w:r>
      <w:r>
        <w:rPr>
          <w:rFonts w:ascii="Calibri" w:hAnsi="Calibri"/>
          <w:b w:val="0"/>
          <w:i w:val="0"/>
          <w:color w:val="000000"/>
          <w:sz w:val="21"/>
        </w:rPr>
        <w:t>For a nonstandard SSH port, the known-hosts entry must use [hostname-or-IP]:port. Use ssh-keyscan -p &lt;port&gt; and verify the displayed key.</w:t>
      </w:r>
    </w:p>
    <w:p>
      <w:pPr>
        <w:pStyle w:val="Heading2"/>
      </w:pPr>
      <w:r>
        <w:t>2.2 Test the administrative path</w:t>
      </w:r>
    </w:p>
    <w:p>
      <w:pPr>
        <w:pStyle w:val="CodeBlock"/>
        <w:shd w:fill="F2F4F7"/>
      </w:pPr>
      <w:r>
        <w:rPr>
          <w:rFonts w:ascii="Consolas" w:hAnsi="Consolas"/>
          <w:b w:val="0"/>
          <w:i w:val="0"/>
          <w:color w:val="0B2545"/>
          <w:sz w:val="17"/>
        </w:rPr>
        <w:t>ssh -i &lt;private_key&gt; nutanix@&lt;cluster_vip_or_cvm&gt;</w:t>
      </w:r>
      <w:r>
        <w:br/>
      </w:r>
      <w:r>
        <w:rPr>
          <w:rFonts w:ascii="Consolas" w:hAnsi="Consolas"/>
          <w:b w:val="0"/>
          <w:i w:val="0"/>
          <w:color w:val="0B2545"/>
          <w:sz w:val="17"/>
        </w:rPr>
        <w:t>ncli cluster info</w:t>
      </w:r>
      <w:r>
        <w:br/>
      </w:r>
      <w:r>
        <w:rPr>
          <w:rFonts w:ascii="Consolas" w:hAnsi="Consolas"/>
          <w:b w:val="0"/>
          <w:i w:val="0"/>
          <w:color w:val="0B2545"/>
          <w:sz w:val="17"/>
        </w:rPr>
        <w:t>ncli cluster get-cvm-security-config</w:t>
      </w:r>
      <w:r>
        <w:br/>
      </w:r>
      <w:r>
        <w:rPr>
          <w:rFonts w:ascii="Consolas" w:hAnsi="Consolas"/>
          <w:b w:val="0"/>
          <w:i w:val="0"/>
          <w:color w:val="0B2545"/>
          <w:sz w:val="17"/>
        </w:rPr>
        <w:t>exit</w:t>
      </w:r>
    </w:p>
    <w:p>
      <w:pPr>
        <w:pStyle w:val="ListBullet"/>
      </w:pPr>
      <w:r>
        <w:rPr>
          <w:rFonts w:ascii="Calibri" w:hAnsi="Calibri"/>
          <w:b w:val="0"/>
          <w:i w:val="0"/>
          <w:color w:val="000000"/>
          <w:sz w:val="22"/>
        </w:rPr>
        <w:t>Confirm the account can run the required ncli and health commands.</w:t>
      </w:r>
    </w:p>
    <w:p>
      <w:pPr>
        <w:pStyle w:val="ListBullet"/>
      </w:pPr>
      <w:r>
        <w:rPr>
          <w:rFonts w:ascii="Calibri" w:hAnsi="Calibri"/>
          <w:b w:val="0"/>
          <w:i w:val="0"/>
          <w:color w:val="000000"/>
          <w:sz w:val="22"/>
        </w:rPr>
        <w:t>Confirm the connection reaches the intended cluster, not a reused address.</w:t>
      </w:r>
    </w:p>
    <w:p>
      <w:pPr>
        <w:pStyle w:val="ListBullet"/>
      </w:pPr>
      <w:r>
        <w:rPr>
          <w:rFonts w:ascii="Calibri" w:hAnsi="Calibri"/>
          <w:b w:val="0"/>
          <w:i w:val="0"/>
          <w:color w:val="000000"/>
          <w:sz w:val="22"/>
        </w:rPr>
        <w:t>Test Prism Central separately when the pcvm scope is enabled.</w:t>
      </w:r>
    </w:p>
    <w:p>
      <w:pPr>
        <w:pStyle w:val="ListBullet"/>
      </w:pPr>
      <w:r>
        <w:rPr>
          <w:rFonts w:ascii="Calibri" w:hAnsi="Calibri"/>
          <w:b w:val="0"/>
          <w:i w:val="0"/>
          <w:color w:val="000000"/>
          <w:sz w:val="22"/>
        </w:rPr>
        <w:t>Keep a tested out-of-band recovery path available throughout the window.</w:t>
      </w:r>
    </w:p>
    <w:p>
      <w:pPr>
        <w:pStyle w:val="Heading1"/>
      </w:pPr>
      <w:r>
        <w:t>3. Build the configuration</w:t>
      </w:r>
    </w:p>
    <w:p>
      <w:pPr>
        <w:pStyle w:val="Heading2"/>
      </w:pPr>
      <w:r>
        <w:t>3.1 Generate the sample</w:t>
      </w:r>
    </w:p>
    <w:p>
      <w:pPr>
        <w:pStyle w:val="CodeBlock"/>
        <w:shd w:fill="F2F4F7"/>
      </w:pPr>
      <w:r>
        <w:rPr>
          <w:rFonts w:ascii="Consolas" w:hAnsi="Consolas"/>
          <w:b w:val="0"/>
          <w:i w:val="0"/>
          <w:color w:val="0B2545"/>
          <w:sz w:val="17"/>
        </w:rPr>
        <w:t>python nutanix_stig_harden.py --config nutanix_stig_harden.ini --generate-config</w:t>
      </w:r>
    </w:p>
    <w:p>
      <w:r>
        <w:rPr>
          <w:rFonts w:ascii="Calibri" w:hAnsi="Calibri"/>
          <w:b w:val="0"/>
          <w:i w:val="0"/>
          <w:color w:val="000000"/>
          <w:sz w:val="22"/>
        </w:rPr>
        <w:t>Restrict the file before adding any credential material. Prefer a private key path or the NTNX_STIG_PASSWORD environment variable over a clear-text password in the INI file.</w:t>
      </w:r>
    </w:p>
    <w:p>
      <w:pPr>
        <w:pStyle w:val="Heading2"/>
      </w:pPr>
      <w:r>
        <w:t>3.2 Required fields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vAlign w:val="center"/>
            <w:shd w:fill="E8EEF5"/>
          </w:tcPr>
          <w:p>
            <w:pPr>
              <w:spacing w:after="0"/>
            </w:pPr>
            <w:r/>
            <w:r>
              <w:rPr>
                <w:rFonts w:ascii="Calibri" w:hAnsi="Calibri"/>
                <w:b/>
                <w:i w:val="0"/>
                <w:color w:val="0B2545"/>
                <w:sz w:val="19"/>
              </w:rPr>
              <w:t>Section / field</w:t>
            </w:r>
          </w:p>
        </w:tc>
        <w:tc>
          <w:tcPr>
            <w:tcW w:type="dxa" w:w="6260"/>
            <w:tcMar>
              <w:top w:w="80" w:type="dxa"/>
              <w:start w:w="120" w:type="dxa"/>
              <w:bottom w:w="80" w:type="dxa"/>
              <w:end w:w="120" w:type="dxa"/>
            </w:tcMar>
            <w:vAlign w:val="center"/>
            <w:shd w:fill="E8EEF5"/>
          </w:tcPr>
          <w:p>
            <w:pPr>
              <w:spacing w:after="0"/>
            </w:pPr>
            <w:r/>
            <w:r>
              <w:rPr>
                <w:rFonts w:ascii="Calibri" w:hAnsi="Calibri"/>
                <w:b/>
                <w:i w:val="0"/>
                <w:color w:val="0B2545"/>
                <w:sz w:val="19"/>
              </w:rPr>
              <w:t>Client value</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[cluster] host</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Cluster VIP or a designated CVM address</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[prism_central] host</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PCVM address; blank only when pcvm is out of scope</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username / ssh_key_file</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Approved administrative identity and key path</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[options] profile</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REPORT_ONLY, STIG_STANDARD, STIG_HIGH, or DODIN_APL</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scopes</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cvm, ahv, and/or pcvm</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known_hosts_file</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Approved host-key file; strict verification is default</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verification_timeout</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Default 120 seconds; increase only with evidence</w:t>
            </w:r>
          </w:p>
        </w:tc>
      </w:tr>
      <w:tr>
        <w:tc>
          <w:tcPr>
            <w:tcW w:type="dxa" w:w="3100"/>
            <w:tcMar>
              <w:top w:w="80" w:type="dxa"/>
              <w:start w:w="120" w:type="dxa"/>
              <w:bottom w:w="80" w:type="dxa"/>
              <w:end w:w="120" w:type="dxa"/>
            </w:tcMar>
            <w:vAlign w:val="center"/>
          </w:tcPr>
          <w:p>
            <w:pPr>
              <w:spacing w:after="0"/>
            </w:pPr>
            <w:r/>
            <w:r>
              <w:rPr>
                <w:rFonts w:ascii="Calibri" w:hAnsi="Calibri"/>
                <w:b w:val="0"/>
                <w:i w:val="0"/>
                <w:color w:val="000000"/>
                <w:sz w:val="18"/>
              </w:rPr>
              <w:t>[syslog] enabled</w:t>
            </w:r>
          </w:p>
        </w:tc>
        <w:tc>
          <w:tcPr>
            <w:tcW w:type="dxa" w:w="6260"/>
            <w:tcMar>
              <w:top w:w="80" w:type="dxa"/>
              <w:start w:w="120" w:type="dxa"/>
              <w:bottom w:w="80" w:type="dxa"/>
              <w:end w:w="120" w:type="dxa"/>
            </w:tcMar>
            <w:vAlign w:val="center"/>
          </w:tcPr>
          <w:p>
            <w:pPr>
              <w:spacing w:after="0"/>
            </w:pPr>
            <w:r/>
            <w:r>
              <w:rPr>
                <w:rFonts w:ascii="Calibri" w:hAnsi="Calibri"/>
                <w:b w:val="0"/>
                <w:i w:val="0"/>
                <w:color w:val="000000"/>
                <w:sz w:val="18"/>
              </w:rPr>
              <w:t>False until SIEM values and module support are confirmed</w:t>
            </w:r>
          </w:p>
        </w:tc>
      </w:tr>
    </w:tbl>
    <w:p>
      <w:r>
        <w:br w:type="page"/>
      </w:r>
    </w:p>
    <w:p>
      <w:pPr>
        <w:pStyle w:val="Heading1"/>
      </w:pPr>
      <w:r>
        <w:t>4. Select the hardening profile</w:t>
      </w:r>
    </w:p>
    <w:tbl>
      <w:tblPr>
        <w:tblStyle w:val="TableGrid"/>
        <w:tblW w:type="dxa" w:w="9360"/>
        <w:jc w:val="left"/>
        <w:tblLayout w:type="fixed"/>
        <w:tblLook w:firstColumn="1" w:firstRow="1" w:lastColumn="0" w:lastRow="0" w:noHBand="0" w:noVBand="1" w:val="04A0"/>
        <w:tblInd w:w="120" w:type="dxa"/>
      </w:tblPr>
      <w:tblGrid>
        <w:gridCol w:w="1450"/>
        <w:gridCol w:w="4930"/>
        <w:gridCol w:w="2980"/>
      </w:tblGrid>
      <w:tr>
        <w:trPr>
          <w:tblHeader w:val="true"/>
        </w:trPr>
        <w:tc>
          <w:tcPr>
            <w:tcW w:type="dxa" w:w="1450"/>
            <w:tcMar>
              <w:top w:w="80" w:type="dxa"/>
              <w:start w:w="120" w:type="dxa"/>
              <w:bottom w:w="80" w:type="dxa"/>
              <w:end w:w="120" w:type="dxa"/>
            </w:tcMar>
            <w:vAlign w:val="center"/>
            <w:shd w:fill="E8EEF5"/>
          </w:tcPr>
          <w:p>
            <w:pPr>
              <w:spacing w:after="0"/>
            </w:pPr>
            <w:r/>
            <w:r>
              <w:rPr>
                <w:rFonts w:ascii="Calibri" w:hAnsi="Calibri"/>
                <w:b/>
                <w:i w:val="0"/>
                <w:color w:val="0B2545"/>
                <w:sz w:val="19"/>
              </w:rPr>
              <w:t>Profile</w:t>
            </w:r>
          </w:p>
        </w:tc>
        <w:tc>
          <w:tcPr>
            <w:tcW w:type="dxa" w:w="4930"/>
            <w:tcMar>
              <w:top w:w="80" w:type="dxa"/>
              <w:start w:w="120" w:type="dxa"/>
              <w:bottom w:w="80" w:type="dxa"/>
              <w:end w:w="120" w:type="dxa"/>
            </w:tcMar>
            <w:vAlign w:val="center"/>
            <w:shd w:fill="E8EEF5"/>
          </w:tcPr>
          <w:p>
            <w:pPr>
              <w:spacing w:after="0"/>
            </w:pPr>
            <w:r/>
            <w:r>
              <w:rPr>
                <w:rFonts w:ascii="Calibri" w:hAnsi="Calibri"/>
                <w:b/>
                <w:i w:val="0"/>
                <w:color w:val="0B2545"/>
                <w:sz w:val="19"/>
              </w:rPr>
              <w:t>Automated intent</w:t>
            </w:r>
          </w:p>
        </w:tc>
        <w:tc>
          <w:tcPr>
            <w:tcW w:type="dxa" w:w="2980"/>
            <w:tcMar>
              <w:top w:w="80" w:type="dxa"/>
              <w:start w:w="120" w:type="dxa"/>
              <w:bottom w:w="80" w:type="dxa"/>
              <w:end w:w="120" w:type="dxa"/>
            </w:tcMar>
            <w:vAlign w:val="center"/>
            <w:shd w:fill="E8EEF5"/>
          </w:tcPr>
          <w:p>
            <w:pPr>
              <w:spacing w:after="0"/>
            </w:pPr>
            <w:r/>
            <w:r>
              <w:rPr>
                <w:rFonts w:ascii="Calibri" w:hAnsi="Calibri"/>
                <w:b/>
                <w:i w:val="0"/>
                <w:color w:val="0B2545"/>
                <w:sz w:val="19"/>
              </w:rPr>
              <w:t>Use</w:t>
            </w:r>
          </w:p>
        </w:tc>
      </w:tr>
      <w:tr>
        <w:tc>
          <w:tcPr>
            <w:tcW w:type="dxa" w:w="1450"/>
            <w:tcMar>
              <w:top w:w="80" w:type="dxa"/>
              <w:start w:w="120" w:type="dxa"/>
              <w:bottom w:w="80" w:type="dxa"/>
              <w:end w:w="120" w:type="dxa"/>
            </w:tcMar>
            <w:vAlign w:val="center"/>
          </w:tcPr>
          <w:p>
            <w:pPr>
              <w:spacing w:after="0"/>
            </w:pPr>
            <w:r/>
            <w:r>
              <w:rPr>
                <w:rFonts w:ascii="Calibri" w:hAnsi="Calibri"/>
                <w:b w:val="0"/>
                <w:i w:val="0"/>
                <w:color w:val="000000"/>
                <w:sz w:val="18"/>
              </w:rPr>
              <w:t>REPORT_ONLY</w:t>
            </w:r>
          </w:p>
        </w:tc>
        <w:tc>
          <w:tcPr>
            <w:tcW w:type="dxa" w:w="4930"/>
            <w:tcMar>
              <w:top w:w="80" w:type="dxa"/>
              <w:start w:w="120" w:type="dxa"/>
              <w:bottom w:w="80" w:type="dxa"/>
              <w:end w:w="120" w:type="dxa"/>
            </w:tcMar>
            <w:vAlign w:val="center"/>
          </w:tcPr>
          <w:p>
            <w:pPr>
              <w:spacing w:after="0"/>
            </w:pPr>
            <w:r/>
            <w:r>
              <w:rPr>
                <w:rFonts w:ascii="Calibri" w:hAnsi="Calibri"/>
                <w:b w:val="0"/>
                <w:i w:val="0"/>
                <w:color w:val="000000"/>
                <w:sz w:val="18"/>
              </w:rPr>
              <w:t>Baseline and findings only</w:t>
            </w:r>
          </w:p>
        </w:tc>
        <w:tc>
          <w:tcPr>
            <w:tcW w:type="dxa" w:w="2980"/>
            <w:tcMar>
              <w:top w:w="80" w:type="dxa"/>
              <w:start w:w="120" w:type="dxa"/>
              <w:bottom w:w="80" w:type="dxa"/>
              <w:end w:w="120" w:type="dxa"/>
            </w:tcMar>
            <w:vAlign w:val="center"/>
          </w:tcPr>
          <w:p>
            <w:pPr>
              <w:spacing w:after="0"/>
            </w:pPr>
            <w:r/>
            <w:r>
              <w:rPr>
                <w:rFonts w:ascii="Calibri" w:hAnsi="Calibri"/>
                <w:b w:val="0"/>
                <w:i w:val="0"/>
                <w:color w:val="000000"/>
                <w:sz w:val="18"/>
              </w:rPr>
              <w:t>Inventory and recurring drift assessment</w:t>
            </w:r>
          </w:p>
        </w:tc>
      </w:tr>
      <w:tr>
        <w:tc>
          <w:tcPr>
            <w:tcW w:type="dxa" w:w="1450"/>
            <w:tcMar>
              <w:top w:w="80" w:type="dxa"/>
              <w:start w:w="120" w:type="dxa"/>
              <w:bottom w:w="80" w:type="dxa"/>
              <w:end w:w="120" w:type="dxa"/>
            </w:tcMar>
            <w:vAlign w:val="center"/>
          </w:tcPr>
          <w:p>
            <w:pPr>
              <w:spacing w:after="0"/>
            </w:pPr>
            <w:r/>
            <w:r>
              <w:rPr>
                <w:rFonts w:ascii="Calibri" w:hAnsi="Calibri"/>
                <w:b w:val="0"/>
                <w:i w:val="0"/>
                <w:color w:val="000000"/>
                <w:sz w:val="18"/>
              </w:rPr>
              <w:t>STIG_STANDARD</w:t>
            </w:r>
          </w:p>
        </w:tc>
        <w:tc>
          <w:tcPr>
            <w:tcW w:type="dxa" w:w="4930"/>
            <w:tcMar>
              <w:top w:w="80" w:type="dxa"/>
              <w:start w:w="120" w:type="dxa"/>
              <w:bottom w:w="80" w:type="dxa"/>
              <w:end w:w="120" w:type="dxa"/>
            </w:tcMar>
            <w:vAlign w:val="center"/>
          </w:tcPr>
          <w:p>
            <w:pPr>
              <w:spacing w:after="0"/>
            </w:pPr>
            <w:r/>
            <w:r>
              <w:rPr>
                <w:rFonts w:ascii="Calibri" w:hAnsi="Calibri"/>
                <w:b w:val="0"/>
                <w:i w:val="0"/>
                <w:color w:val="000000"/>
                <w:sz w:val="18"/>
              </w:rPr>
              <w:t>Daily SCMA; AIDE; strong password; DoD banner; SNMPv3 only; core dumps off</w:t>
            </w:r>
          </w:p>
        </w:tc>
        <w:tc>
          <w:tcPr>
            <w:tcW w:type="dxa" w:w="2980"/>
            <w:tcMar>
              <w:top w:w="80" w:type="dxa"/>
              <w:start w:w="120" w:type="dxa"/>
              <w:bottom w:w="80" w:type="dxa"/>
              <w:end w:w="120" w:type="dxa"/>
            </w:tcMar>
            <w:vAlign w:val="center"/>
          </w:tcPr>
          <w:p>
            <w:pPr>
              <w:spacing w:after="0"/>
            </w:pPr>
            <w:r/>
            <w:r>
              <w:rPr>
                <w:rFonts w:ascii="Calibri" w:hAnsi="Calibri"/>
                <w:b w:val="0"/>
                <w:i w:val="0"/>
                <w:color w:val="000000"/>
                <w:sz w:val="18"/>
              </w:rPr>
              <w:t>Default production starting point</w:t>
            </w:r>
          </w:p>
        </w:tc>
      </w:tr>
      <w:tr>
        <w:tc>
          <w:tcPr>
            <w:tcW w:type="dxa" w:w="1450"/>
            <w:tcMar>
              <w:top w:w="80" w:type="dxa"/>
              <w:start w:w="120" w:type="dxa"/>
              <w:bottom w:w="80" w:type="dxa"/>
              <w:end w:w="120" w:type="dxa"/>
            </w:tcMar>
            <w:vAlign w:val="center"/>
          </w:tcPr>
          <w:p>
            <w:pPr>
              <w:spacing w:after="0"/>
            </w:pPr>
            <w:r/>
            <w:r>
              <w:rPr>
                <w:rFonts w:ascii="Calibri" w:hAnsi="Calibri"/>
                <w:b w:val="0"/>
                <w:i w:val="0"/>
                <w:color w:val="000000"/>
                <w:sz w:val="18"/>
              </w:rPr>
              <w:t>STIG_HIGH</w:t>
            </w:r>
          </w:p>
        </w:tc>
        <w:tc>
          <w:tcPr>
            <w:tcW w:type="dxa" w:w="4930"/>
            <w:tcMar>
              <w:top w:w="80" w:type="dxa"/>
              <w:start w:w="120" w:type="dxa"/>
              <w:bottom w:w="80" w:type="dxa"/>
              <w:end w:w="120" w:type="dxa"/>
            </w:tcMar>
            <w:vAlign w:val="center"/>
          </w:tcPr>
          <w:p>
            <w:pPr>
              <w:spacing w:after="0"/>
            </w:pPr>
            <w:r/>
            <w:r>
              <w:rPr>
                <w:rFonts w:ascii="Calibri" w:hAnsi="Calibri"/>
                <w:b w:val="0"/>
                <w:i w:val="0"/>
                <w:color w:val="000000"/>
                <w:sz w:val="18"/>
              </w:rPr>
              <w:t>STIG_STANDARD plus page poison, SLUB debug, processor/kernel mitigations, and fapolicy</w:t>
            </w:r>
          </w:p>
        </w:tc>
        <w:tc>
          <w:tcPr>
            <w:tcW w:type="dxa" w:w="2980"/>
            <w:tcMar>
              <w:top w:w="80" w:type="dxa"/>
              <w:start w:w="120" w:type="dxa"/>
              <w:bottom w:w="80" w:type="dxa"/>
              <w:end w:w="120" w:type="dxa"/>
            </w:tcMar>
            <w:vAlign w:val="center"/>
          </w:tcPr>
          <w:p>
            <w:pPr>
              <w:spacing w:after="0"/>
            </w:pPr>
            <w:r/>
            <w:r>
              <w:rPr>
                <w:rFonts w:ascii="Calibri" w:hAnsi="Calibri"/>
                <w:b w:val="0"/>
                <w:i w:val="0"/>
                <w:color w:val="000000"/>
                <w:sz w:val="18"/>
              </w:rPr>
              <w:t>High-impact systems after performance testing</w:t>
            </w:r>
          </w:p>
        </w:tc>
      </w:tr>
      <w:tr>
        <w:tc>
          <w:tcPr>
            <w:tcW w:type="dxa" w:w="1450"/>
            <w:tcMar>
              <w:top w:w="80" w:type="dxa"/>
              <w:start w:w="120" w:type="dxa"/>
              <w:bottom w:w="80" w:type="dxa"/>
              <w:end w:w="120" w:type="dxa"/>
            </w:tcMar>
            <w:vAlign w:val="center"/>
          </w:tcPr>
          <w:p>
            <w:pPr>
              <w:spacing w:after="0"/>
            </w:pPr>
            <w:r/>
            <w:r>
              <w:rPr>
                <w:rFonts w:ascii="Calibri" w:hAnsi="Calibri"/>
                <w:b w:val="0"/>
                <w:i w:val="0"/>
                <w:color w:val="000000"/>
                <w:sz w:val="18"/>
              </w:rPr>
              <w:t>DODIN_APL</w:t>
            </w:r>
          </w:p>
        </w:tc>
        <w:tc>
          <w:tcPr>
            <w:tcW w:type="dxa" w:w="4930"/>
            <w:tcMar>
              <w:top w:w="80" w:type="dxa"/>
              <w:start w:w="120" w:type="dxa"/>
              <w:bottom w:w="80" w:type="dxa"/>
              <w:end w:w="120" w:type="dxa"/>
            </w:tcMar>
            <w:vAlign w:val="center"/>
          </w:tcPr>
          <w:p>
            <w:pPr>
              <w:spacing w:after="0"/>
            </w:pPr>
            <w:r/>
            <w:r>
              <w:rPr>
                <w:rFonts w:ascii="Calibri" w:hAnsi="Calibri"/>
                <w:b w:val="0"/>
                <w:i w:val="0"/>
                <w:color w:val="000000"/>
                <w:sz w:val="18"/>
              </w:rPr>
              <w:t>STIG_HIGH plus DoDIN control and hourly SCMA</w:t>
            </w:r>
          </w:p>
        </w:tc>
        <w:tc>
          <w:tcPr>
            <w:tcW w:type="dxa" w:w="2980"/>
            <w:tcMar>
              <w:top w:w="80" w:type="dxa"/>
              <w:start w:w="120" w:type="dxa"/>
              <w:bottom w:w="80" w:type="dxa"/>
              <w:end w:w="120" w:type="dxa"/>
            </w:tcMar>
            <w:vAlign w:val="center"/>
          </w:tcPr>
          <w:p>
            <w:pPr>
              <w:spacing w:after="0"/>
            </w:pPr>
            <w:r/>
            <w:r>
              <w:rPr>
                <w:rFonts w:ascii="Calibri" w:hAnsi="Calibri"/>
                <w:b w:val="0"/>
                <w:i w:val="0"/>
                <w:color w:val="000000"/>
                <w:sz w:val="18"/>
              </w:rPr>
              <w:t>Only with approved DoDIN APL design</w:t>
            </w:r>
          </w:p>
        </w:tc>
      </w:tr>
    </w:tbl>
    <w:p>
      <w:pPr>
        <w:spacing w:before="100" w:after="160"/>
        <w:ind w:left="173" w:right="173"/>
        <w:shd w:fill="E6F4EA"/>
      </w:pPr>
      <w:r>
        <w:rPr>
          <w:rFonts w:ascii="Calibri" w:hAnsi="Calibri"/>
          <w:b/>
          <w:i w:val="0"/>
          <w:color w:val="0B2545"/>
          <w:sz w:val="21"/>
        </w:rPr>
        <w:t xml:space="preserve">Release guard: </w:t>
      </w:r>
      <w:r>
        <w:rPr>
          <w:rFonts w:ascii="Calibri" w:hAnsi="Calibri"/>
          <w:b w:val="0"/>
          <w:i w:val="0"/>
          <w:color w:val="000000"/>
          <w:sz w:val="21"/>
        </w:rPr>
        <w:t>The profile is intent, not a blind command list. For each scope, the script reads that target's ncli help and applies only parameters whose exact spelling is advertised. Unreadable or unrecognized values are skipped and reported.</w:t>
      </w:r>
    </w:p>
    <w:p>
      <w:pPr>
        <w:pStyle w:val="Heading1"/>
      </w:pPr>
      <w:r>
        <w:t>5. Stage 1 - mandatory dry run</w:t>
      </w:r>
    </w:p>
    <w:p>
      <w:pPr>
        <w:pStyle w:val="CodeBlock"/>
        <w:shd w:fill="F2F4F7"/>
      </w:pPr>
      <w:r>
        <w:rPr>
          <w:rFonts w:ascii="Consolas" w:hAnsi="Consolas"/>
          <w:b w:val="0"/>
          <w:i w:val="0"/>
          <w:color w:val="0B2545"/>
          <w:sz w:val="17"/>
        </w:rPr>
        <w:t>python nutanix_stig_harden.py --config production.ini --non-interactive</w:t>
      </w:r>
    </w:p>
    <w:p>
      <w:pPr>
        <w:spacing w:before="100" w:after="160"/>
        <w:ind w:left="173" w:right="173"/>
        <w:shd w:fill="F4F6F9"/>
      </w:pPr>
      <w:r>
        <w:rPr>
          <w:rFonts w:ascii="Calibri" w:hAnsi="Calibri"/>
          <w:b/>
          <w:i w:val="0"/>
          <w:color w:val="0B2545"/>
          <w:sz w:val="21"/>
        </w:rPr>
        <w:t xml:space="preserve">Remote-change guarantee: </w:t>
      </w:r>
      <w:r>
        <w:rPr>
          <w:rFonts w:ascii="Calibri" w:hAnsi="Calibri"/>
          <w:b w:val="0"/>
          <w:i w:val="0"/>
          <w:color w:val="000000"/>
          <w:sz w:val="21"/>
        </w:rPr>
        <w:t>The command above does not include --apply. It may query many remote commands and creates local evidence files, but it does not send security-parameter or syslog-setting commands.</w:t>
      </w:r>
    </w:p>
    <w:p>
      <w:pPr>
        <w:pStyle w:val="Heading2"/>
      </w:pPr>
      <w:r>
        <w:t>5.1 Review the dry-run evidence</w:t>
      </w:r>
    </w:p>
    <w:tbl>
      <w:tblPr>
        <w:tblStyle w:val="TableGrid"/>
        <w:tblW w:type="dxa" w:w="9360"/>
        <w:jc w:val="left"/>
        <w:tblLayout w:type="fixed"/>
        <w:tblLook w:firstColumn="1" w:firstRow="1" w:lastColumn="0" w:lastRow="0" w:noHBand="0" w:noVBand="1" w:val="04A0"/>
        <w:tblInd w:w="120" w:type="dxa"/>
      </w:tblPr>
      <w:tblGrid>
        <w:gridCol w:w="3450"/>
        <w:gridCol w:w="5910"/>
      </w:tblGrid>
      <w:tr>
        <w:trPr>
          <w:tblHeader w:val="true"/>
        </w:trPr>
        <w:tc>
          <w:tcPr>
            <w:tcW w:type="dxa" w:w="3450"/>
            <w:tcMar>
              <w:top w:w="80" w:type="dxa"/>
              <w:start w:w="120" w:type="dxa"/>
              <w:bottom w:w="80" w:type="dxa"/>
              <w:end w:w="120" w:type="dxa"/>
            </w:tcMar>
            <w:vAlign w:val="center"/>
            <w:shd w:fill="E8EEF5"/>
          </w:tcPr>
          <w:p>
            <w:pPr>
              <w:spacing w:after="0"/>
            </w:pPr>
            <w:r/>
            <w:r>
              <w:rPr>
                <w:rFonts w:ascii="Calibri" w:hAnsi="Calibri"/>
                <w:b/>
                <w:i w:val="0"/>
                <w:color w:val="0B2545"/>
                <w:sz w:val="19"/>
              </w:rPr>
              <w:t>Location</w:t>
            </w:r>
          </w:p>
        </w:tc>
        <w:tc>
          <w:tcPr>
            <w:tcW w:type="dxa" w:w="5910"/>
            <w:tcMar>
              <w:top w:w="80" w:type="dxa"/>
              <w:start w:w="120" w:type="dxa"/>
              <w:bottom w:w="80" w:type="dxa"/>
              <w:end w:w="120" w:type="dxa"/>
            </w:tcMar>
            <w:vAlign w:val="center"/>
            <w:shd w:fill="E8EEF5"/>
          </w:tcPr>
          <w:p>
            <w:pPr>
              <w:spacing w:after="0"/>
            </w:pPr>
            <w:r/>
            <w:r>
              <w:rPr>
                <w:rFonts w:ascii="Calibri" w:hAnsi="Calibri"/>
                <w:b/>
                <w:i w:val="0"/>
                <w:color w:val="0B2545"/>
                <w:sz w:val="19"/>
              </w:rPr>
              <w:t>Review</w:t>
            </w:r>
          </w:p>
        </w:tc>
      </w:tr>
      <w:tr>
        <w:tc>
          <w:tcPr>
            <w:tcW w:type="dxa" w:w="3450"/>
            <w:tcMar>
              <w:top w:w="80" w:type="dxa"/>
              <w:start w:w="120" w:type="dxa"/>
              <w:bottom w:w="80" w:type="dxa"/>
              <w:end w:w="120" w:type="dxa"/>
            </w:tcMar>
            <w:vAlign w:val="center"/>
          </w:tcPr>
          <w:p>
            <w:pPr>
              <w:spacing w:after="0"/>
            </w:pPr>
            <w:r/>
            <w:r>
              <w:rPr>
                <w:rFonts w:ascii="Calibri" w:hAnsi="Calibri"/>
                <w:b w:val="0"/>
                <w:i w:val="0"/>
                <w:color w:val="000000"/>
                <w:sz w:val="18"/>
              </w:rPr>
              <w:t>reports/stig_report_&lt;run&gt;.txt</w:t>
            </w:r>
          </w:p>
        </w:tc>
        <w:tc>
          <w:tcPr>
            <w:tcW w:type="dxa" w:w="5910"/>
            <w:tcMar>
              <w:top w:w="80" w:type="dxa"/>
              <w:start w:w="120" w:type="dxa"/>
              <w:bottom w:w="80" w:type="dxa"/>
              <w:end w:w="120" w:type="dxa"/>
            </w:tcMar>
            <w:vAlign w:val="center"/>
          </w:tcPr>
          <w:p>
            <w:pPr>
              <w:spacing w:after="0"/>
            </w:pPr>
            <w:r/>
            <w:r>
              <w:rPr>
                <w:rFonts w:ascii="Calibri" w:hAnsi="Calibri"/>
                <w:b w:val="0"/>
                <w:i w:val="0"/>
                <w:color w:val="000000"/>
                <w:sz w:val="18"/>
              </w:rPr>
              <w:t>Human-readable result, residuals, and manual controls</w:t>
            </w:r>
          </w:p>
        </w:tc>
      </w:tr>
      <w:tr>
        <w:tc>
          <w:tcPr>
            <w:tcW w:type="dxa" w:w="3450"/>
            <w:tcMar>
              <w:top w:w="80" w:type="dxa"/>
              <w:start w:w="120" w:type="dxa"/>
              <w:bottom w:w="80" w:type="dxa"/>
              <w:end w:w="120" w:type="dxa"/>
            </w:tcMar>
            <w:vAlign w:val="center"/>
          </w:tcPr>
          <w:p>
            <w:pPr>
              <w:spacing w:after="0"/>
            </w:pPr>
            <w:r/>
            <w:r>
              <w:rPr>
                <w:rFonts w:ascii="Calibri" w:hAnsi="Calibri"/>
                <w:b w:val="0"/>
                <w:i w:val="0"/>
                <w:color w:val="000000"/>
                <w:sz w:val="18"/>
              </w:rPr>
              <w:t>reports/stig_report_&lt;run&gt;.json</w:t>
            </w:r>
          </w:p>
        </w:tc>
        <w:tc>
          <w:tcPr>
            <w:tcW w:type="dxa" w:w="5910"/>
            <w:tcMar>
              <w:top w:w="80" w:type="dxa"/>
              <w:start w:w="120" w:type="dxa"/>
              <w:bottom w:w="80" w:type="dxa"/>
              <w:end w:w="120" w:type="dxa"/>
            </w:tcMar>
            <w:vAlign w:val="center"/>
          </w:tcPr>
          <w:p>
            <w:pPr>
              <w:spacing w:after="0"/>
            </w:pPr>
            <w:r/>
            <w:r>
              <w:rPr>
                <w:rFonts w:ascii="Calibri" w:hAnsi="Calibri"/>
                <w:b w:val="0"/>
                <w:i w:val="0"/>
                <w:color w:val="000000"/>
                <w:sz w:val="18"/>
              </w:rPr>
              <w:t>Structured target, scope, verification, and approval data</w:t>
            </w:r>
          </w:p>
        </w:tc>
      </w:tr>
      <w:tr>
        <w:tc>
          <w:tcPr>
            <w:tcW w:type="dxa" w:w="3450"/>
            <w:tcMar>
              <w:top w:w="80" w:type="dxa"/>
              <w:start w:w="120" w:type="dxa"/>
              <w:bottom w:w="80" w:type="dxa"/>
              <w:end w:w="120" w:type="dxa"/>
            </w:tcMar>
            <w:vAlign w:val="center"/>
          </w:tcPr>
          <w:p>
            <w:pPr>
              <w:spacing w:after="0"/>
            </w:pPr>
            <w:r/>
            <w:r>
              <w:rPr>
                <w:rFonts w:ascii="Calibri" w:hAnsi="Calibri"/>
                <w:b w:val="0"/>
                <w:i w:val="0"/>
                <w:color w:val="000000"/>
                <w:sz w:val="18"/>
              </w:rPr>
              <w:t>logs/stig_run_&lt;run&gt;.csv</w:t>
            </w:r>
          </w:p>
        </w:tc>
        <w:tc>
          <w:tcPr>
            <w:tcW w:type="dxa" w:w="5910"/>
            <w:tcMar>
              <w:top w:w="80" w:type="dxa"/>
              <w:start w:w="120" w:type="dxa"/>
              <w:bottom w:w="80" w:type="dxa"/>
              <w:end w:w="120" w:type="dxa"/>
            </w:tcMar>
            <w:vAlign w:val="center"/>
          </w:tcPr>
          <w:p>
            <w:pPr>
              <w:spacing w:after="0"/>
            </w:pPr>
            <w:r/>
            <w:r>
              <w:rPr>
                <w:rFonts w:ascii="Calibri" w:hAnsi="Calibri"/>
                <w:b w:val="0"/>
                <w:i w:val="0"/>
                <w:color w:val="000000"/>
                <w:sz w:val="18"/>
              </w:rPr>
              <w:t>Command-level planned, skipped, failed, and verification records</w:t>
            </w:r>
          </w:p>
        </w:tc>
      </w:tr>
      <w:tr>
        <w:tc>
          <w:tcPr>
            <w:tcW w:type="dxa" w:w="3450"/>
            <w:tcMar>
              <w:top w:w="80" w:type="dxa"/>
              <w:start w:w="120" w:type="dxa"/>
              <w:bottom w:w="80" w:type="dxa"/>
              <w:end w:w="120" w:type="dxa"/>
            </w:tcMar>
            <w:vAlign w:val="center"/>
          </w:tcPr>
          <w:p>
            <w:pPr>
              <w:spacing w:after="0"/>
            </w:pPr>
            <w:r/>
            <w:r>
              <w:rPr>
                <w:rFonts w:ascii="Calibri" w:hAnsi="Calibri"/>
                <w:b w:val="0"/>
                <w:i w:val="0"/>
                <w:color w:val="000000"/>
                <w:sz w:val="18"/>
              </w:rPr>
              <w:t>backups/*_baseline_&lt;run&gt;.json</w:t>
            </w:r>
          </w:p>
        </w:tc>
        <w:tc>
          <w:tcPr>
            <w:tcW w:type="dxa" w:w="5910"/>
            <w:tcMar>
              <w:top w:w="80" w:type="dxa"/>
              <w:start w:w="120" w:type="dxa"/>
              <w:bottom w:w="80" w:type="dxa"/>
              <w:end w:w="120" w:type="dxa"/>
            </w:tcMar>
            <w:vAlign w:val="center"/>
          </w:tcPr>
          <w:p>
            <w:pPr>
              <w:spacing w:after="0"/>
            </w:pPr>
            <w:r/>
            <w:r>
              <w:rPr>
                <w:rFonts w:ascii="Calibri" w:hAnsi="Calibri"/>
                <w:b w:val="0"/>
                <w:i w:val="0"/>
                <w:color w:val="000000"/>
                <w:sz w:val="18"/>
              </w:rPr>
              <w:t>Raw and parsed pre-change state</w:t>
            </w:r>
          </w:p>
        </w:tc>
      </w:tr>
    </w:tbl>
    <w:p>
      <w:pPr>
        <w:pStyle w:val="ListBullet"/>
      </w:pPr>
      <w:r>
        <w:rPr>
          <w:rFonts w:ascii="Calibri" w:hAnsi="Calibri"/>
          <w:b w:val="0"/>
          <w:i w:val="0"/>
          <w:color w:val="000000"/>
          <w:sz w:val="22"/>
        </w:rPr>
        <w:t>Preflight must be PASS before an apply run.</w:t>
      </w:r>
    </w:p>
    <w:p>
      <w:pPr>
        <w:pStyle w:val="ListBullet"/>
      </w:pPr>
      <w:r>
        <w:rPr>
          <w:rFonts w:ascii="Calibri" w:hAnsi="Calibri"/>
          <w:b w:val="0"/>
          <w:i w:val="0"/>
          <w:color w:val="000000"/>
          <w:sz w:val="22"/>
        </w:rPr>
        <w:t>Every planned change must be expected and approved.</w:t>
      </w:r>
    </w:p>
    <w:p>
      <w:pPr>
        <w:pStyle w:val="ListBullet"/>
      </w:pPr>
      <w:r>
        <w:rPr>
          <w:rFonts w:ascii="Calibri" w:hAnsi="Calibri"/>
          <w:b w:val="0"/>
          <w:i w:val="0"/>
          <w:color w:val="000000"/>
          <w:sz w:val="22"/>
        </w:rPr>
        <w:t>Review every skipped parameter and decide whether it is not applicable, unsupported, or a remediation gap.</w:t>
      </w:r>
    </w:p>
    <w:p>
      <w:pPr>
        <w:pStyle w:val="ListBullet"/>
      </w:pPr>
      <w:r>
        <w:rPr>
          <w:rFonts w:ascii="Calibri" w:hAnsi="Calibri"/>
          <w:b w:val="0"/>
          <w:i w:val="0"/>
          <w:color w:val="000000"/>
          <w:sz w:val="22"/>
        </w:rPr>
        <w:t>Resolve baseline parse errors, unknown command output, DNS/NTP gaps, health findings, and host-key issues.</w:t>
      </w:r>
    </w:p>
    <w:p>
      <w:pPr>
        <w:pStyle w:val="ListBullet"/>
      </w:pPr>
      <w:r>
        <w:rPr>
          <w:rFonts w:ascii="Calibri" w:hAnsi="Calibri"/>
          <w:b w:val="0"/>
          <w:i w:val="0"/>
          <w:color w:val="000000"/>
          <w:sz w:val="22"/>
        </w:rPr>
        <w:t>Archive the dry-run evidence with the change record before approval.</w:t>
      </w:r>
    </w:p>
    <w:p>
      <w:pPr>
        <w:pStyle w:val="Heading2"/>
      </w:pPr>
      <w:r>
        <w:t>5.2 Approval gate</w:t>
      </w:r>
    </w:p>
    <w:p>
      <w:r>
        <w:rPr>
          <w:rFonts w:ascii="Calibri" w:hAnsi="Calibri"/>
          <w:b w:val="0"/>
          <w:i w:val="0"/>
          <w:color w:val="000000"/>
          <w:sz w:val="22"/>
        </w:rPr>
        <w:t>Attach the dry-run text/JSON report and baseline to the CAB record. Record the approved target addresses, scopes, profile, syslog intent, maintenance window, rollback approver, and the exact CAB/change identifier.</w:t>
      </w:r>
    </w:p>
    <w:p>
      <w:r>
        <w:br w:type="page"/>
      </w:r>
    </w:p>
    <w:p>
      <w:pPr>
        <w:pStyle w:val="Heading1"/>
      </w:pPr>
      <w:r>
        <w:t>6. Stage 2 - apply during the approved window</w:t>
      </w:r>
    </w:p>
    <w:p>
      <w:pPr>
        <w:pStyle w:val="Heading2"/>
      </w:pPr>
      <w:r>
        <w:t>6.1 Interactive apply (recommended)</w:t>
      </w:r>
    </w:p>
    <w:p>
      <w:pPr>
        <w:pStyle w:val="CodeBlock"/>
        <w:shd w:fill="F2F4F7"/>
      </w:pPr>
      <w:r>
        <w:rPr>
          <w:rFonts w:ascii="Consolas" w:hAnsi="Consolas"/>
          <w:b w:val="0"/>
          <w:i w:val="0"/>
          <w:color w:val="0B2545"/>
          <w:sz w:val="17"/>
        </w:rPr>
        <w:t>python nutanix_stig_harden.py --config production.ini \</w:t>
      </w:r>
      <w:r>
        <w:br/>
      </w:r>
      <w:r>
        <w:rPr>
          <w:rFonts w:ascii="Consolas" w:hAnsi="Consolas"/>
          <w:b w:val="0"/>
          <w:i w:val="0"/>
          <w:color w:val="0B2545"/>
          <w:sz w:val="17"/>
        </w:rPr>
        <w:t xml:space="preserve">  --profile STIG_STANDARD --apply --approval-id CHG0123456</w:t>
      </w:r>
      <w:r>
        <w:br/>
      </w:r>
      <w:r>
        <w:rPr>
          <w:rFonts w:ascii="Consolas" w:hAnsi="Consolas"/>
          <w:b w:val="0"/>
          <w:i w:val="0"/>
          <w:color w:val="0B2545"/>
          <w:sz w:val="17"/>
        </w:rPr>
      </w:r>
      <w:r>
        <w:br/>
      </w:r>
      <w:r>
        <w:rPr>
          <w:rFonts w:ascii="Consolas" w:hAnsi="Consolas"/>
          <w:b w:val="0"/>
          <w:i w:val="0"/>
          <w:color w:val="0B2545"/>
          <w:sz w:val="17"/>
        </w:rPr>
        <w:t># At the prompt, review the displayed targets and type:</w:t>
      </w:r>
      <w:r>
        <w:br/>
      </w:r>
      <w:r>
        <w:rPr>
          <w:rFonts w:ascii="Consolas" w:hAnsi="Consolas"/>
          <w:b w:val="0"/>
          <w:i w:val="0"/>
          <w:color w:val="0B2545"/>
          <w:sz w:val="17"/>
        </w:rPr>
        <w:t>APPLY</w:t>
      </w:r>
    </w:p>
    <w:p>
      <w:pPr>
        <w:spacing w:before="100" w:after="160"/>
        <w:ind w:left="173" w:right="173"/>
        <w:shd w:fill="FDE7E7"/>
      </w:pPr>
      <w:r>
        <w:rPr>
          <w:rFonts w:ascii="Calibri" w:hAnsi="Calibri"/>
          <w:b/>
          <w:i w:val="0"/>
          <w:color w:val="0B2545"/>
          <w:sz w:val="21"/>
        </w:rPr>
        <w:t xml:space="preserve">Stop condition: </w:t>
      </w:r>
      <w:r>
        <w:rPr>
          <w:rFonts w:ascii="Calibri" w:hAnsi="Calibri"/>
          <w:b w:val="0"/>
          <w:i w:val="0"/>
          <w:color w:val="000000"/>
          <w:sz w:val="21"/>
        </w:rPr>
        <w:t>If the displayed target, scope, profile, or CAB identifier is wrong, do not type APPLY. Exit, correct the input, and repeat the dry run.</w:t>
      </w:r>
    </w:p>
    <w:p>
      <w:pPr>
        <w:pStyle w:val="Heading2"/>
      </w:pPr>
      <w:r>
        <w:t>6.2 Unattended apply</w:t>
      </w:r>
    </w:p>
    <w:p>
      <w:pPr>
        <w:pStyle w:val="CodeBlock"/>
        <w:shd w:fill="F2F4F7"/>
      </w:pPr>
      <w:r>
        <w:rPr>
          <w:rFonts w:ascii="Consolas" w:hAnsi="Consolas"/>
          <w:b w:val="0"/>
          <w:i w:val="0"/>
          <w:color w:val="0B2545"/>
          <w:sz w:val="17"/>
        </w:rPr>
        <w:t>python nutanix_stig_harden.py --config production.ini \</w:t>
      </w:r>
      <w:r>
        <w:br/>
      </w:r>
      <w:r>
        <w:rPr>
          <w:rFonts w:ascii="Consolas" w:hAnsi="Consolas"/>
          <w:b w:val="0"/>
          <w:i w:val="0"/>
          <w:color w:val="0B2545"/>
          <w:sz w:val="17"/>
        </w:rPr>
        <w:t xml:space="preserve">  --profile STIG_STANDARD --apply --non-interactive \</w:t>
      </w:r>
      <w:r>
        <w:br/>
      </w:r>
      <w:r>
        <w:rPr>
          <w:rFonts w:ascii="Consolas" w:hAnsi="Consolas"/>
          <w:b w:val="0"/>
          <w:i w:val="0"/>
          <w:color w:val="0B2545"/>
          <w:sz w:val="17"/>
        </w:rPr>
        <w:t xml:space="preserve">  --approval-id CHG0123456 --quiet</w:t>
      </w:r>
    </w:p>
    <w:p>
      <w:r>
        <w:rPr>
          <w:rFonts w:ascii="Calibri" w:hAnsi="Calibri"/>
          <w:b w:val="0"/>
          <w:i w:val="0"/>
          <w:color w:val="000000"/>
          <w:sz w:val="22"/>
        </w:rPr>
        <w:t>Use unattended apply only when the organization's automation control, credential protection, console recovery, and approval requirements permit it. A scheduled compliance job should normally remain dry-run only.</w:t>
      </w:r>
    </w:p>
    <w:p>
      <w:pPr>
        <w:pStyle w:val="Heading2"/>
      </w:pPr>
      <w:r>
        <w:t>6.3 What the script does</w:t>
      </w:r>
    </w:p>
    <w:p>
      <w:pPr>
        <w:pStyle w:val="ListBullet"/>
      </w:pPr>
      <w:r>
        <w:rPr>
          <w:rFonts w:ascii="Calibri" w:hAnsi="Calibri"/>
          <w:b w:val="0"/>
          <w:i w:val="0"/>
          <w:color w:val="000000"/>
          <w:sz w:val="22"/>
        </w:rPr>
        <w:t>Opens an SSH session to the cluster target and, when configured, a separate PCVM session.</w:t>
      </w:r>
    </w:p>
    <w:p>
      <w:pPr>
        <w:pStyle w:val="ListBullet"/>
      </w:pPr>
      <w:r>
        <w:rPr>
          <w:rFonts w:ascii="Calibri" w:hAnsi="Calibri"/>
          <w:b w:val="0"/>
          <w:i w:val="0"/>
          <w:color w:val="000000"/>
          <w:sz w:val="22"/>
        </w:rPr>
        <w:t>Runs version, service, resiliency, DNS/NTP, and optional full NCC preflight checks.</w:t>
      </w:r>
    </w:p>
    <w:p>
      <w:pPr>
        <w:pStyle w:val="ListBullet"/>
      </w:pPr>
      <w:r>
        <w:rPr>
          <w:rFonts w:ascii="Calibri" w:hAnsi="Calibri"/>
          <w:b w:val="0"/>
          <w:i w:val="0"/>
          <w:color w:val="000000"/>
          <w:sz w:val="22"/>
        </w:rPr>
        <w:t>Captures a baseline and supporting cluster, syslog, directory, and certificate output.</w:t>
      </w:r>
    </w:p>
    <w:p>
      <w:pPr>
        <w:pStyle w:val="ListBullet"/>
      </w:pPr>
      <w:r>
        <w:rPr>
          <w:rFonts w:ascii="Calibri" w:hAnsi="Calibri"/>
          <w:b w:val="0"/>
          <w:i w:val="0"/>
          <w:color w:val="000000"/>
          <w:sz w:val="22"/>
        </w:rPr>
        <w:t>Discovers accepted parameter names from the target's ncli help.</w:t>
      </w:r>
    </w:p>
    <w:p>
      <w:pPr>
        <w:pStyle w:val="ListBullet"/>
      </w:pPr>
      <w:r>
        <w:rPr>
          <w:rFonts w:ascii="Calibri" w:hAnsi="Calibri"/>
          <w:b w:val="0"/>
          <w:i w:val="0"/>
          <w:color w:val="000000"/>
          <w:sz w:val="22"/>
        </w:rPr>
        <w:t>Calculates only the values that differ from the selected profile.</w:t>
      </w:r>
    </w:p>
    <w:p>
      <w:pPr>
        <w:pStyle w:val="ListBullet"/>
      </w:pPr>
      <w:r>
        <w:rPr>
          <w:rFonts w:ascii="Calibri" w:hAnsi="Calibri"/>
          <w:b w:val="0"/>
          <w:i w:val="0"/>
          <w:color w:val="000000"/>
          <w:sz w:val="22"/>
        </w:rPr>
        <w:t>Applies one parameter at a time and records the exact result.</w:t>
      </w:r>
    </w:p>
    <w:p>
      <w:pPr>
        <w:pStyle w:val="ListBullet"/>
      </w:pPr>
      <w:r>
        <w:rPr>
          <w:rFonts w:ascii="Calibri" w:hAnsi="Calibri"/>
          <w:b w:val="0"/>
          <w:i w:val="0"/>
          <w:color w:val="000000"/>
          <w:sz w:val="22"/>
        </w:rPr>
        <w:t>Re-reads the scope until every applied value is confirmed or the verification window expires.</w:t>
      </w:r>
    </w:p>
    <w:p>
      <w:pPr>
        <w:pStyle w:val="ListBullet"/>
      </w:pPr>
      <w:r>
        <w:rPr>
          <w:rFonts w:ascii="Calibri" w:hAnsi="Calibri"/>
          <w:b w:val="0"/>
          <w:i w:val="0"/>
          <w:color w:val="000000"/>
          <w:sz w:val="22"/>
        </w:rPr>
        <w:t>Creates a rollback manifest for successfully issued security-parameter changes.</w:t>
      </w:r>
    </w:p>
    <w:p>
      <w:pPr>
        <w:pStyle w:val="ListBullet"/>
      </w:pPr>
      <w:r>
        <w:rPr>
          <w:rFonts w:ascii="Calibri" w:hAnsi="Calibri"/>
          <w:b w:val="0"/>
          <w:i w:val="0"/>
          <w:color w:val="000000"/>
          <w:sz w:val="22"/>
        </w:rPr>
        <w:t>Captures a post-change snapshot and writes text, JSON, and CSV reports.</w:t>
      </w:r>
    </w:p>
    <w:p>
      <w:pPr>
        <w:pStyle w:val="Heading2"/>
      </w:pPr>
      <w:r>
        <w:t>6.4 Acceptance criteria for the automated portion</w:t>
      </w:r>
    </w:p>
    <w:p>
      <w:pPr>
        <w:pStyle w:val="ListBullet"/>
      </w:pPr>
      <w:r>
        <w:rPr>
          <w:rFonts w:ascii="Calibri" w:hAnsi="Calibri"/>
          <w:b w:val="0"/>
          <w:i w:val="0"/>
          <w:color w:val="000000"/>
          <w:sz w:val="22"/>
        </w:rPr>
        <w:t>Exit code is 0.</w:t>
      </w:r>
    </w:p>
    <w:p>
      <w:pPr>
        <w:pStyle w:val="ListBullet"/>
      </w:pPr>
      <w:r>
        <w:rPr>
          <w:rFonts w:ascii="Calibri" w:hAnsi="Calibri"/>
          <w:b w:val="0"/>
          <w:i w:val="0"/>
          <w:color w:val="000000"/>
          <w:sz w:val="22"/>
        </w:rPr>
        <w:t>Preflight is PASS for every modified target.</w:t>
      </w:r>
    </w:p>
    <w:p>
      <w:pPr>
        <w:pStyle w:val="ListBullet"/>
      </w:pPr>
      <w:r>
        <w:rPr>
          <w:rFonts w:ascii="Calibri" w:hAnsi="Calibri"/>
          <w:b w:val="0"/>
          <w:i w:val="0"/>
          <w:color w:val="000000"/>
          <w:sz w:val="22"/>
        </w:rPr>
        <w:t>Applied count equals verified count for each modified scope.</w:t>
      </w:r>
    </w:p>
    <w:p>
      <w:pPr>
        <w:pStyle w:val="ListBullet"/>
      </w:pPr>
      <w:r>
        <w:rPr>
          <w:rFonts w:ascii="Calibri" w:hAnsi="Calibri"/>
          <w:b w:val="0"/>
          <w:i w:val="0"/>
          <w:color w:val="000000"/>
          <w:sz w:val="22"/>
        </w:rPr>
        <w:t>Failed verification count is zero.</w:t>
      </w:r>
    </w:p>
    <w:p>
      <w:pPr>
        <w:pStyle w:val="ListBullet"/>
      </w:pPr>
      <w:r>
        <w:rPr>
          <w:rFonts w:ascii="Calibri" w:hAnsi="Calibri"/>
          <w:b w:val="0"/>
          <w:i w:val="0"/>
          <w:color w:val="000000"/>
          <w:sz w:val="22"/>
        </w:rPr>
        <w:t>Any skipped item has a documented not-applicable or follow-up disposition.</w:t>
      </w:r>
    </w:p>
    <w:p>
      <w:pPr>
        <w:pStyle w:val="ListBullet"/>
      </w:pPr>
      <w:r>
        <w:rPr>
          <w:rFonts w:ascii="Calibri" w:hAnsi="Calibri"/>
          <w:b w:val="0"/>
          <w:i w:val="0"/>
          <w:color w:val="000000"/>
          <w:sz w:val="22"/>
        </w:rPr>
        <w:t>Baseline, post-change snapshot, CSV log, text report, JSON report, and rollback manifest are archived.</w:t>
      </w:r>
    </w:p>
    <w:p>
      <w:r>
        <w:br w:type="page"/>
      </w:r>
    </w:p>
    <w:p>
      <w:pPr>
        <w:pStyle w:val="Heading1"/>
      </w:pPr>
      <w:r>
        <w:t>7. Post-change validation</w:t>
      </w:r>
    </w:p>
    <w:p>
      <w:pPr>
        <w:pStyle w:val="Heading2"/>
      </w:pPr>
      <w:r>
        <w:t>7.1 Platform validation</w:t>
      </w:r>
    </w:p>
    <w:p>
      <w:pPr>
        <w:pStyle w:val="CodeBlock"/>
        <w:shd w:fill="F2F4F7"/>
      </w:pPr>
      <w:r>
        <w:rPr>
          <w:rFonts w:ascii="Consolas" w:hAnsi="Consolas"/>
          <w:b w:val="0"/>
          <w:i w:val="0"/>
          <w:color w:val="0B2545"/>
          <w:sz w:val="17"/>
        </w:rPr>
        <w:t>ncc health_checks run_all</w:t>
      </w:r>
      <w:r>
        <w:br/>
      </w:r>
      <w:r>
        <w:rPr>
          <w:rFonts w:ascii="Consolas" w:hAnsi="Consolas"/>
          <w:b w:val="0"/>
          <w:i w:val="0"/>
          <w:color w:val="0B2545"/>
          <w:sz w:val="17"/>
        </w:rPr>
        <w:t>ncli cluster get-cvm-security-config</w:t>
      </w:r>
      <w:r>
        <w:br/>
      </w:r>
      <w:r>
        <w:rPr>
          <w:rFonts w:ascii="Consolas" w:hAnsi="Consolas"/>
          <w:b w:val="0"/>
          <w:i w:val="0"/>
          <w:color w:val="0B2545"/>
          <w:sz w:val="17"/>
        </w:rPr>
        <w:t>ncli cluster get-hypervisor-security-config</w:t>
      </w:r>
      <w:r>
        <w:br/>
      </w:r>
      <w:r>
        <w:rPr>
          <w:rFonts w:ascii="Consolas" w:hAnsi="Consolas"/>
          <w:b w:val="0"/>
          <w:i w:val="0"/>
          <w:color w:val="0B2545"/>
          <w:sz w:val="17"/>
        </w:rPr>
        <w:t>ncli cluster get-params</w:t>
      </w:r>
      <w:r>
        <w:br/>
      </w:r>
      <w:r>
        <w:rPr>
          <w:rFonts w:ascii="Consolas" w:hAnsi="Consolas"/>
          <w:b w:val="0"/>
          <w:i w:val="0"/>
          <w:color w:val="0B2545"/>
          <w:sz w:val="17"/>
        </w:rPr>
        <w:t>ncli cluster get-domain-fault-tolerance-status type=node</w:t>
      </w:r>
      <w:r>
        <w:br/>
      </w:r>
      <w:r>
        <w:rPr>
          <w:rFonts w:ascii="Consolas" w:hAnsi="Consolas"/>
          <w:b w:val="0"/>
          <w:i w:val="0"/>
          <w:color w:val="0B2545"/>
          <w:sz w:val="17"/>
        </w:rPr>
        <w:t># On PCVM:</w:t>
      </w:r>
      <w:r>
        <w:br/>
      </w:r>
      <w:r>
        <w:rPr>
          <w:rFonts w:ascii="Consolas" w:hAnsi="Consolas"/>
          <w:b w:val="0"/>
          <w:i w:val="0"/>
          <w:color w:val="0B2545"/>
          <w:sz w:val="17"/>
        </w:rPr>
        <w:t>ncli cluster get-pcvm-security-config</w:t>
      </w:r>
    </w:p>
    <w:p>
      <w:pPr>
        <w:pStyle w:val="Heading2"/>
      </w:pPr>
      <w:r>
        <w:t>7.2 Functional and compliance validation</w:t>
      </w:r>
    </w:p>
    <w:p>
      <w:pPr>
        <w:pStyle w:val="ListBullet"/>
      </w:pPr>
      <w:r>
        <w:rPr>
          <w:rFonts w:ascii="Calibri" w:hAnsi="Calibri"/>
          <w:b w:val="0"/>
          <w:i w:val="0"/>
          <w:color w:val="000000"/>
          <w:sz w:val="22"/>
        </w:rPr>
        <w:t>Run SCC against the current DISA Nutanix benchmarks and import results into STIG Viewer.</w:t>
      </w:r>
    </w:p>
    <w:p>
      <w:pPr>
        <w:pStyle w:val="ListBullet"/>
      </w:pPr>
      <w:r>
        <w:rPr>
          <w:rFonts w:ascii="Calibri" w:hAnsi="Calibri"/>
          <w:b w:val="0"/>
          <w:i w:val="0"/>
          <w:color w:val="000000"/>
          <w:sz w:val="22"/>
        </w:rPr>
        <w:t>Test Prism Element and Prism Central login through the approved authentication path.</w:t>
      </w:r>
    </w:p>
    <w:p>
      <w:pPr>
        <w:pStyle w:val="ListBullet"/>
      </w:pPr>
      <w:r>
        <w:rPr>
          <w:rFonts w:ascii="Calibri" w:hAnsi="Calibri"/>
          <w:b w:val="0"/>
          <w:i w:val="0"/>
          <w:color w:val="000000"/>
          <w:sz w:val="22"/>
        </w:rPr>
        <w:t>Validate key-based SSH to every required CVM, host, and PCVM.</w:t>
      </w:r>
    </w:p>
    <w:p>
      <w:pPr>
        <w:pStyle w:val="ListBullet"/>
      </w:pPr>
      <w:r>
        <w:rPr>
          <w:rFonts w:ascii="Calibri" w:hAnsi="Calibri"/>
          <w:b w:val="0"/>
          <w:i w:val="0"/>
          <w:color w:val="000000"/>
          <w:sz w:val="22"/>
        </w:rPr>
        <w:t>Test VM power operations, migration, snapshot, storage, backup, monitoring, DR, and LCM inventory.</w:t>
      </w:r>
    </w:p>
    <w:p>
      <w:pPr>
        <w:pStyle w:val="ListBullet"/>
      </w:pPr>
      <w:r>
        <w:rPr>
          <w:rFonts w:ascii="Calibri" w:hAnsi="Calibri"/>
          <w:b w:val="0"/>
          <w:i w:val="0"/>
          <w:color w:val="000000"/>
          <w:sz w:val="22"/>
        </w:rPr>
        <w:t>Validate the Prism web banner, certificate chains, CAC/PIV and revocation behavior.</w:t>
      </w:r>
    </w:p>
    <w:p>
      <w:pPr>
        <w:pStyle w:val="ListBullet"/>
      </w:pPr>
      <w:r>
        <w:rPr>
          <w:rFonts w:ascii="Calibri" w:hAnsi="Calibri"/>
          <w:b w:val="0"/>
          <w:i w:val="0"/>
          <w:color w:val="000000"/>
          <w:sz w:val="22"/>
        </w:rPr>
        <w:t>Generate a test security event and confirm its arrival, timestamp, severity, and retention in the SIEM.</w:t>
      </w:r>
    </w:p>
    <w:p>
      <w:pPr>
        <w:pStyle w:val="ListBullet"/>
      </w:pPr>
      <w:r>
        <w:rPr>
          <w:rFonts w:ascii="Calibri" w:hAnsi="Calibri"/>
          <w:b w:val="0"/>
          <w:i w:val="0"/>
          <w:color w:val="000000"/>
          <w:sz w:val="22"/>
        </w:rPr>
        <w:t>Record every remaining finding in the POA&amp;M or accepted-risk process.</w:t>
      </w:r>
    </w:p>
    <w:p>
      <w:pPr>
        <w:pStyle w:val="Heading2"/>
      </w:pPr>
      <w:r>
        <w:t>7.3 Controls the script deliberately leaves manual</w:t>
      </w:r>
    </w:p>
    <w:p>
      <w:pPr>
        <w:pStyle w:val="ListBullet"/>
      </w:pPr>
      <w:r>
        <w:rPr>
          <w:rFonts w:ascii="Calibri" w:hAnsi="Calibri"/>
          <w:b w:val="0"/>
          <w:i w:val="0"/>
          <w:color w:val="000000"/>
          <w:sz w:val="22"/>
        </w:rPr>
        <w:t>Cluster lockdown and password-login removal</w:t>
      </w:r>
    </w:p>
    <w:p>
      <w:pPr>
        <w:pStyle w:val="ListBullet"/>
      </w:pPr>
      <w:r>
        <w:rPr>
          <w:rFonts w:ascii="Calibri" w:hAnsi="Calibri"/>
          <w:b w:val="0"/>
          <w:i w:val="0"/>
          <w:color w:val="000000"/>
          <w:sz w:val="22"/>
        </w:rPr>
        <w:t>SSH allowlists and SSH security-level restriction</w:t>
      </w:r>
    </w:p>
    <w:p>
      <w:pPr>
        <w:pStyle w:val="ListBullet"/>
      </w:pPr>
      <w:r>
        <w:rPr>
          <w:rFonts w:ascii="Calibri" w:hAnsi="Calibri"/>
          <w:b w:val="0"/>
          <w:i w:val="0"/>
          <w:color w:val="000000"/>
          <w:sz w:val="22"/>
        </w:rPr>
        <w:t>Default credential rotation and break-glass validation</w:t>
      </w:r>
    </w:p>
    <w:p>
      <w:pPr>
        <w:pStyle w:val="ListBullet"/>
      </w:pPr>
      <w:r>
        <w:rPr>
          <w:rFonts w:ascii="Calibri" w:hAnsi="Calibri"/>
          <w:b w:val="0"/>
          <w:i w:val="0"/>
          <w:color w:val="000000"/>
          <w:sz w:val="22"/>
        </w:rPr>
        <w:t>LDAPS, RBAC, CAC/PIV, session timeout, OCSP, and CRL configuration</w:t>
      </w:r>
    </w:p>
    <w:p>
      <w:pPr>
        <w:pStyle w:val="ListBullet"/>
      </w:pPr>
      <w:r>
        <w:rPr>
          <w:rFonts w:ascii="Calibri" w:hAnsi="Calibri"/>
          <w:b w:val="0"/>
          <w:i w:val="0"/>
          <w:color w:val="000000"/>
          <w:sz w:val="22"/>
        </w:rPr>
        <w:t>DoD PKI certificate replacement</w:t>
      </w:r>
    </w:p>
    <w:p>
      <w:pPr>
        <w:pStyle w:val="ListBullet"/>
      </w:pPr>
      <w:r>
        <w:rPr>
          <w:rFonts w:ascii="Calibri" w:hAnsi="Calibri"/>
          <w:b w:val="0"/>
          <w:i w:val="0"/>
          <w:color w:val="000000"/>
          <w:sz w:val="22"/>
        </w:rPr>
        <w:t>Data-at-rest encryption, KMS, and key escrow</w:t>
      </w:r>
    </w:p>
    <w:p>
      <w:pPr>
        <w:pStyle w:val="ListBullet"/>
      </w:pPr>
      <w:r>
        <w:rPr>
          <w:rFonts w:ascii="Calibri" w:hAnsi="Calibri"/>
          <w:b w:val="0"/>
          <w:i w:val="0"/>
          <w:color w:val="000000"/>
          <w:sz w:val="22"/>
        </w:rPr>
        <w:t>Network segmentation, upstream ACLs, and Flow enforcement</w:t>
      </w:r>
    </w:p>
    <w:p>
      <w:pPr>
        <w:pStyle w:val="ListBullet"/>
      </w:pPr>
      <w:r>
        <w:rPr>
          <w:rFonts w:ascii="Calibri" w:hAnsi="Calibri"/>
          <w:b w:val="0"/>
          <w:i w:val="0"/>
          <w:color w:val="000000"/>
          <w:sz w:val="22"/>
        </w:rPr>
        <w:t>External SCC/SCAP scan, STIG Viewer checklist, POA&amp;M, and ISSO sign-off</w:t>
      </w:r>
    </w:p>
    <w:p>
      <w:pPr>
        <w:pStyle w:val="Heading1"/>
      </w:pPr>
      <w:r>
        <w:t>8. Optional syslog configuration</w:t>
      </w:r>
    </w:p>
    <w:p>
      <w:r>
        <w:rPr>
          <w:rFonts w:ascii="Calibri" w:hAnsi="Calibri"/>
          <w:b w:val="0"/>
          <w:i w:val="0"/>
          <w:color w:val="000000"/>
          <w:sz w:val="22"/>
        </w:rPr>
        <w:t>When [syslog] enabled=true, the cluster-target run can add the configured server and modules and enable forwarding. The script re-reads the server and module lists, but the SIEM delivery test remains manual.</w:t>
      </w:r>
    </w:p>
    <w:p>
      <w:pPr>
        <w:pStyle w:val="ListBullet"/>
      </w:pPr>
      <w:r>
        <w:rPr>
          <w:rFonts w:ascii="Calibri" w:hAnsi="Calibri"/>
          <w:b w:val="0"/>
          <w:i w:val="0"/>
          <w:color w:val="000000"/>
          <w:sz w:val="22"/>
        </w:rPr>
        <w:t>Use RELP only with TCP and confirm the collector has RELP support.</w:t>
      </w:r>
    </w:p>
    <w:p>
      <w:pPr>
        <w:pStyle w:val="ListBullet"/>
      </w:pPr>
      <w:r>
        <w:rPr>
          <w:rFonts w:ascii="Calibri" w:hAnsi="Calibri"/>
          <w:b w:val="0"/>
          <w:i w:val="0"/>
          <w:color w:val="000000"/>
          <w:sz w:val="22"/>
        </w:rPr>
        <w:t>Run ncli rsyslog-config add-module help on the target and confirm every module name.</w:t>
      </w:r>
    </w:p>
    <w:p>
      <w:pPr>
        <w:pStyle w:val="ListBullet"/>
      </w:pPr>
      <w:r>
        <w:rPr>
          <w:rFonts w:ascii="Calibri" w:hAnsi="Calibri"/>
          <w:b w:val="0"/>
          <w:i w:val="0"/>
          <w:color w:val="000000"/>
          <w:sz w:val="22"/>
        </w:rPr>
        <w:t>Configure Prism Central's separate logging domain according to the approved design.</w:t>
      </w:r>
    </w:p>
    <w:p>
      <w:pPr>
        <w:pStyle w:val="ListBullet"/>
      </w:pPr>
      <w:r>
        <w:rPr>
          <w:rFonts w:ascii="Calibri" w:hAnsi="Calibri"/>
          <w:b w:val="0"/>
          <w:i w:val="0"/>
          <w:color w:val="000000"/>
          <w:sz w:val="22"/>
        </w:rPr>
        <w:t>The security-parameter rollback manifest does not remove syslog configuration; document the release-specific manual rollback command before apply.</w:t>
      </w:r>
    </w:p>
    <w:p>
      <w:r>
        <w:br w:type="page"/>
      </w:r>
    </w:p>
    <w:p>
      <w:pPr>
        <w:pStyle w:val="Heading1"/>
      </w:pPr>
      <w:r>
        <w:t>9. Rollback</w:t>
      </w:r>
    </w:p>
    <w:p>
      <w:pPr>
        <w:pStyle w:val="Heading2"/>
      </w:pPr>
      <w:r>
        <w:t>9.1 Rehearse the rollback as a dry run</w:t>
      </w:r>
    </w:p>
    <w:p>
      <w:pPr>
        <w:pStyle w:val="CodeBlock"/>
        <w:shd w:fill="F2F4F7"/>
      </w:pPr>
      <w:r>
        <w:rPr>
          <w:rFonts w:ascii="Consolas" w:hAnsi="Consolas"/>
          <w:b w:val="0"/>
          <w:i w:val="0"/>
          <w:color w:val="0B2545"/>
          <w:sz w:val="17"/>
        </w:rPr>
        <w:t>python nutanix_stig_harden.py --config production.ini \</w:t>
      </w:r>
      <w:r>
        <w:br/>
      </w:r>
      <w:r>
        <w:rPr>
          <w:rFonts w:ascii="Consolas" w:hAnsi="Consolas"/>
          <w:b w:val="0"/>
          <w:i w:val="0"/>
          <w:color w:val="0B2545"/>
          <w:sz w:val="17"/>
        </w:rPr>
        <w:t xml:space="preserve">  --rollback rollback/&lt;manifest&gt;.json</w:t>
      </w:r>
    </w:p>
    <w:p>
      <w:pPr>
        <w:pStyle w:val="Heading2"/>
      </w:pPr>
      <w:r>
        <w:t>9.2 Execute rollback with approval</w:t>
      </w:r>
    </w:p>
    <w:p>
      <w:pPr>
        <w:pStyle w:val="CodeBlock"/>
        <w:shd w:fill="F2F4F7"/>
      </w:pPr>
      <w:r>
        <w:rPr>
          <w:rFonts w:ascii="Consolas" w:hAnsi="Consolas"/>
          <w:b w:val="0"/>
          <w:i w:val="0"/>
          <w:color w:val="0B2545"/>
          <w:sz w:val="17"/>
        </w:rPr>
        <w:t>python nutanix_stig_harden.py --config production.ini \</w:t>
      </w:r>
      <w:r>
        <w:br/>
      </w:r>
      <w:r>
        <w:rPr>
          <w:rFonts w:ascii="Consolas" w:hAnsi="Consolas"/>
          <w:b w:val="0"/>
          <w:i w:val="0"/>
          <w:color w:val="0B2545"/>
          <w:sz w:val="17"/>
        </w:rPr>
        <w:t xml:space="preserve">  --rollback rollback/&lt;manifest&gt;.json --apply \</w:t>
      </w:r>
      <w:r>
        <w:br/>
      </w:r>
      <w:r>
        <w:rPr>
          <w:rFonts w:ascii="Consolas" w:hAnsi="Consolas"/>
          <w:b w:val="0"/>
          <w:i w:val="0"/>
          <w:color w:val="0B2545"/>
          <w:sz w:val="17"/>
        </w:rPr>
        <w:t xml:space="preserve">  --approval-id CHG0123456-RB</w:t>
      </w:r>
      <w:r>
        <w:br/>
      </w:r>
      <w:r>
        <w:rPr>
          <w:rFonts w:ascii="Consolas" w:hAnsi="Consolas"/>
          <w:b w:val="0"/>
          <w:i w:val="0"/>
          <w:color w:val="0B2545"/>
          <w:sz w:val="17"/>
        </w:rPr>
      </w:r>
      <w:r>
        <w:br/>
      </w:r>
      <w:r>
        <w:rPr>
          <w:rFonts w:ascii="Consolas" w:hAnsi="Consolas"/>
          <w:b w:val="0"/>
          <w:i w:val="0"/>
          <w:color w:val="0B2545"/>
          <w:sz w:val="17"/>
        </w:rPr>
        <w:t># Review the manifest path, then type APPLY when prompted.</w:t>
      </w:r>
    </w:p>
    <w:p>
      <w:pPr>
        <w:pStyle w:val="ListBullet"/>
      </w:pPr>
      <w:r>
        <w:rPr>
          <w:rFonts w:ascii="Calibri" w:hAnsi="Calibri"/>
          <w:b w:val="0"/>
          <w:i w:val="0"/>
          <w:color w:val="000000"/>
          <w:sz w:val="22"/>
        </w:rPr>
        <w:t>The manifest restores only security parameters successfully changed by that run.</w:t>
      </w:r>
    </w:p>
    <w:p>
      <w:pPr>
        <w:pStyle w:val="ListBullet"/>
      </w:pPr>
      <w:r>
        <w:rPr>
          <w:rFonts w:ascii="Calibri" w:hAnsi="Calibri"/>
          <w:b w:val="0"/>
          <w:i w:val="0"/>
          <w:color w:val="000000"/>
          <w:sz w:val="22"/>
        </w:rPr>
        <w:t>Release-specific CLI aliases in the manifest are accepted only if they are on the script's allowlist.</w:t>
      </w:r>
    </w:p>
    <w:p>
      <w:pPr>
        <w:pStyle w:val="ListBullet"/>
      </w:pPr>
      <w:r>
        <w:rPr>
          <w:rFonts w:ascii="Calibri" w:hAnsi="Calibri"/>
          <w:b w:val="0"/>
          <w:i w:val="0"/>
          <w:color w:val="000000"/>
          <w:sz w:val="22"/>
        </w:rPr>
        <w:t>Each reverted value is read back and verified.</w:t>
      </w:r>
    </w:p>
    <w:p>
      <w:pPr>
        <w:pStyle w:val="ListBullet"/>
      </w:pPr>
      <w:r>
        <w:rPr>
          <w:rFonts w:ascii="Calibri" w:hAnsi="Calibri"/>
          <w:b w:val="0"/>
          <w:i w:val="0"/>
          <w:color w:val="000000"/>
          <w:sz w:val="22"/>
        </w:rPr>
        <w:t>A missing prior value is skipped rather than guessed.</w:t>
      </w:r>
    </w:p>
    <w:p>
      <w:pPr>
        <w:pStyle w:val="ListBullet"/>
      </w:pPr>
      <w:r>
        <w:rPr>
          <w:rFonts w:ascii="Calibri" w:hAnsi="Calibri"/>
          <w:b w:val="0"/>
          <w:i w:val="0"/>
          <w:color w:val="000000"/>
          <w:sz w:val="22"/>
        </w:rPr>
        <w:t>Perform syslog, authentication, certificate, network, or other manual rollback using the approved runbook.</w:t>
      </w:r>
    </w:p>
    <w:p>
      <w:pPr>
        <w:spacing w:before="100" w:after="160"/>
        <w:ind w:left="173" w:right="173"/>
        <w:shd w:fill="FDE7E7"/>
      </w:pPr>
      <w:r>
        <w:rPr>
          <w:rFonts w:ascii="Calibri" w:hAnsi="Calibri"/>
          <w:b/>
          <w:i w:val="0"/>
          <w:color w:val="0B2545"/>
          <w:sz w:val="21"/>
        </w:rPr>
        <w:t xml:space="preserve">Encryption: </w:t>
      </w:r>
      <w:r>
        <w:rPr>
          <w:rFonts w:ascii="Calibri" w:hAnsi="Calibri"/>
          <w:b w:val="0"/>
          <w:i w:val="0"/>
          <w:color w:val="000000"/>
          <w:sz w:val="21"/>
        </w:rPr>
        <w:t>Data-at-rest encryption is not automated and is not assumed reversible. Loss of key material can cause permanent data loss.</w:t>
      </w:r>
    </w:p>
    <w:p>
      <w:pPr>
        <w:pStyle w:val="Heading1"/>
      </w:pPr>
      <w:r>
        <w:t>10. Exit codes and response</w:t>
      </w:r>
    </w:p>
    <w:tbl>
      <w:tblPr>
        <w:tblStyle w:val="TableGrid"/>
        <w:tblW w:type="dxa" w:w="9360"/>
        <w:jc w:val="left"/>
        <w:tblLayout w:type="fixed"/>
        <w:tblLook w:firstColumn="1" w:firstRow="1" w:lastColumn="0" w:lastRow="0" w:noHBand="0" w:noVBand="1" w:val="04A0"/>
        <w:tblInd w:w="120" w:type="dxa"/>
      </w:tblPr>
      <w:tblGrid>
        <w:gridCol w:w="700"/>
        <w:gridCol w:w="3300"/>
        <w:gridCol w:w="5360"/>
      </w:tblGrid>
      <w:tr>
        <w:trPr>
          <w:tblHeader w:val="true"/>
        </w:trPr>
        <w:tc>
          <w:tcPr>
            <w:tcW w:type="dxa" w:w="700"/>
            <w:tcMar>
              <w:top w:w="80" w:type="dxa"/>
              <w:start w:w="120" w:type="dxa"/>
              <w:bottom w:w="80" w:type="dxa"/>
              <w:end w:w="120" w:type="dxa"/>
            </w:tcMar>
            <w:vAlign w:val="center"/>
            <w:shd w:fill="E8EEF5"/>
          </w:tcPr>
          <w:p>
            <w:pPr>
              <w:spacing w:after="0"/>
            </w:pPr>
            <w:r/>
            <w:r>
              <w:rPr>
                <w:rFonts w:ascii="Calibri" w:hAnsi="Calibri"/>
                <w:b/>
                <w:i w:val="0"/>
                <w:color w:val="0B2545"/>
                <w:sz w:val="19"/>
              </w:rPr>
              <w:t>Code</w:t>
            </w:r>
          </w:p>
        </w:tc>
        <w:tc>
          <w:tcPr>
            <w:tcW w:type="dxa" w:w="3300"/>
            <w:tcMar>
              <w:top w:w="80" w:type="dxa"/>
              <w:start w:w="120" w:type="dxa"/>
              <w:bottom w:w="80" w:type="dxa"/>
              <w:end w:w="120" w:type="dxa"/>
            </w:tcMar>
            <w:vAlign w:val="center"/>
            <w:shd w:fill="E8EEF5"/>
          </w:tcPr>
          <w:p>
            <w:pPr>
              <w:spacing w:after="0"/>
            </w:pPr>
            <w:r/>
            <w:r>
              <w:rPr>
                <w:rFonts w:ascii="Calibri" w:hAnsi="Calibri"/>
                <w:b/>
                <w:i w:val="0"/>
                <w:color w:val="0B2545"/>
                <w:sz w:val="19"/>
              </w:rPr>
              <w:t>Meaning</w:t>
            </w:r>
          </w:p>
        </w:tc>
        <w:tc>
          <w:tcPr>
            <w:tcW w:type="dxa" w:w="5360"/>
            <w:tcMar>
              <w:top w:w="80" w:type="dxa"/>
              <w:start w:w="120" w:type="dxa"/>
              <w:bottom w:w="80" w:type="dxa"/>
              <w:end w:w="120" w:type="dxa"/>
            </w:tcMar>
            <w:vAlign w:val="center"/>
            <w:shd w:fill="E8EEF5"/>
          </w:tcPr>
          <w:p>
            <w:pPr>
              <w:spacing w:after="0"/>
            </w:pPr>
            <w:r/>
            <w:r>
              <w:rPr>
                <w:rFonts w:ascii="Calibri" w:hAnsi="Calibri"/>
                <w:b/>
                <w:i w:val="0"/>
                <w:color w:val="0B2545"/>
                <w:sz w:val="19"/>
              </w:rPr>
              <w:t>Operator response</w:t>
            </w:r>
          </w:p>
        </w:tc>
      </w:tr>
      <w:tr>
        <w:tc>
          <w:tcPr>
            <w:tcW w:type="dxa" w:w="700"/>
            <w:tcMar>
              <w:top w:w="80" w:type="dxa"/>
              <w:start w:w="120" w:type="dxa"/>
              <w:bottom w:w="80" w:type="dxa"/>
              <w:end w:w="120" w:type="dxa"/>
            </w:tcMar>
            <w:vAlign w:val="center"/>
          </w:tcPr>
          <w:p>
            <w:pPr>
              <w:spacing w:after="0"/>
            </w:pPr>
            <w:r/>
            <w:r>
              <w:rPr>
                <w:rFonts w:ascii="Calibri" w:hAnsi="Calibri"/>
                <w:b w:val="0"/>
                <w:i w:val="0"/>
                <w:color w:val="000000"/>
                <w:sz w:val="18"/>
              </w:rPr>
              <w:t>0</w:t>
            </w:r>
          </w:p>
        </w:tc>
        <w:tc>
          <w:tcPr>
            <w:tcW w:type="dxa" w:w="3300"/>
            <w:tcMar>
              <w:top w:w="80" w:type="dxa"/>
              <w:start w:w="120" w:type="dxa"/>
              <w:bottom w:w="80" w:type="dxa"/>
              <w:end w:w="120" w:type="dxa"/>
            </w:tcMar>
            <w:vAlign w:val="center"/>
          </w:tcPr>
          <w:p>
            <w:pPr>
              <w:spacing w:after="0"/>
            </w:pPr>
            <w:r/>
            <w:r>
              <w:rPr>
                <w:rFonts w:ascii="Calibri" w:hAnsi="Calibri"/>
                <w:b w:val="0"/>
                <w:i w:val="0"/>
                <w:color w:val="000000"/>
                <w:sz w:val="18"/>
              </w:rPr>
              <w:t>Completed without operational failures</w:t>
            </w:r>
          </w:p>
        </w:tc>
        <w:tc>
          <w:tcPr>
            <w:tcW w:type="dxa" w:w="5360"/>
            <w:tcMar>
              <w:top w:w="80" w:type="dxa"/>
              <w:start w:w="120" w:type="dxa"/>
              <w:bottom w:w="80" w:type="dxa"/>
              <w:end w:w="120" w:type="dxa"/>
            </w:tcMar>
            <w:vAlign w:val="center"/>
          </w:tcPr>
          <w:p>
            <w:pPr>
              <w:spacing w:after="0"/>
            </w:pPr>
            <w:r/>
            <w:r>
              <w:rPr>
                <w:rFonts w:ascii="Calibri" w:hAnsi="Calibri"/>
                <w:b w:val="0"/>
                <w:i w:val="0"/>
                <w:color w:val="000000"/>
                <w:sz w:val="18"/>
              </w:rPr>
              <w:t>Review skipped/manual items; archive evidence</w:t>
            </w:r>
          </w:p>
        </w:tc>
      </w:tr>
      <w:tr>
        <w:tc>
          <w:tcPr>
            <w:tcW w:type="dxa" w:w="700"/>
            <w:tcMar>
              <w:top w:w="80" w:type="dxa"/>
              <w:start w:w="120" w:type="dxa"/>
              <w:bottom w:w="80" w:type="dxa"/>
              <w:end w:w="120" w:type="dxa"/>
            </w:tcMar>
            <w:vAlign w:val="center"/>
          </w:tcPr>
          <w:p>
            <w:pPr>
              <w:spacing w:after="0"/>
            </w:pPr>
            <w:r/>
            <w:r>
              <w:rPr>
                <w:rFonts w:ascii="Calibri" w:hAnsi="Calibri"/>
                <w:b w:val="0"/>
                <w:i w:val="0"/>
                <w:color w:val="000000"/>
                <w:sz w:val="18"/>
              </w:rPr>
              <w:t>1</w:t>
            </w:r>
          </w:p>
        </w:tc>
        <w:tc>
          <w:tcPr>
            <w:tcW w:type="dxa" w:w="3300"/>
            <w:tcMar>
              <w:top w:w="80" w:type="dxa"/>
              <w:start w:w="120" w:type="dxa"/>
              <w:bottom w:w="80" w:type="dxa"/>
              <w:end w:w="120" w:type="dxa"/>
            </w:tcMar>
            <w:vAlign w:val="center"/>
          </w:tcPr>
          <w:p>
            <w:pPr>
              <w:spacing w:after="0"/>
            </w:pPr>
            <w:r/>
            <w:r>
              <w:rPr>
                <w:rFonts w:ascii="Calibri" w:hAnsi="Calibri"/>
                <w:b w:val="0"/>
                <w:i w:val="0"/>
                <w:color w:val="000000"/>
                <w:sz w:val="18"/>
              </w:rPr>
              <w:t>Preflight failed</w:t>
            </w:r>
          </w:p>
        </w:tc>
        <w:tc>
          <w:tcPr>
            <w:tcW w:type="dxa" w:w="5360"/>
            <w:tcMar>
              <w:top w:w="80" w:type="dxa"/>
              <w:start w:w="120" w:type="dxa"/>
              <w:bottom w:w="80" w:type="dxa"/>
              <w:end w:w="120" w:type="dxa"/>
            </w:tcMar>
            <w:vAlign w:val="center"/>
          </w:tcPr>
          <w:p>
            <w:pPr>
              <w:spacing w:after="0"/>
            </w:pPr>
            <w:r/>
            <w:r>
              <w:rPr>
                <w:rFonts w:ascii="Calibri" w:hAnsi="Calibri"/>
                <w:b w:val="0"/>
                <w:i w:val="0"/>
                <w:color w:val="000000"/>
                <w:sz w:val="18"/>
              </w:rPr>
              <w:t>Do not apply; resolve health/readiness finding</w:t>
            </w:r>
          </w:p>
        </w:tc>
      </w:tr>
      <w:tr>
        <w:tc>
          <w:tcPr>
            <w:tcW w:type="dxa" w:w="700"/>
            <w:tcMar>
              <w:top w:w="80" w:type="dxa"/>
              <w:start w:w="120" w:type="dxa"/>
              <w:bottom w:w="80" w:type="dxa"/>
              <w:end w:w="120" w:type="dxa"/>
            </w:tcMar>
            <w:vAlign w:val="center"/>
          </w:tcPr>
          <w:p>
            <w:pPr>
              <w:spacing w:after="0"/>
            </w:pPr>
            <w:r/>
            <w:r>
              <w:rPr>
                <w:rFonts w:ascii="Calibri" w:hAnsi="Calibri"/>
                <w:b w:val="0"/>
                <w:i w:val="0"/>
                <w:color w:val="000000"/>
                <w:sz w:val="18"/>
              </w:rPr>
              <w:t>2</w:t>
            </w:r>
          </w:p>
        </w:tc>
        <w:tc>
          <w:tcPr>
            <w:tcW w:type="dxa" w:w="3300"/>
            <w:tcMar>
              <w:top w:w="80" w:type="dxa"/>
              <w:start w:w="120" w:type="dxa"/>
              <w:bottom w:w="80" w:type="dxa"/>
              <w:end w:w="120" w:type="dxa"/>
            </w:tcMar>
            <w:vAlign w:val="center"/>
          </w:tcPr>
          <w:p>
            <w:pPr>
              <w:spacing w:after="0"/>
            </w:pPr>
            <w:r/>
            <w:r>
              <w:rPr>
                <w:rFonts w:ascii="Calibri" w:hAnsi="Calibri"/>
                <w:b w:val="0"/>
                <w:i w:val="0"/>
                <w:color w:val="000000"/>
                <w:sz w:val="18"/>
              </w:rPr>
              <w:t>One or more apply, verification, discovery, or collection failures</w:t>
            </w:r>
          </w:p>
        </w:tc>
        <w:tc>
          <w:tcPr>
            <w:tcW w:type="dxa" w:w="5360"/>
            <w:tcMar>
              <w:top w:w="80" w:type="dxa"/>
              <w:start w:w="120" w:type="dxa"/>
              <w:bottom w:w="80" w:type="dxa"/>
              <w:end w:w="120" w:type="dxa"/>
            </w:tcMar>
            <w:vAlign w:val="center"/>
          </w:tcPr>
          <w:p>
            <w:pPr>
              <w:spacing w:after="0"/>
            </w:pPr>
            <w:r/>
            <w:r>
              <w:rPr>
                <w:rFonts w:ascii="Calibri" w:hAnsi="Calibri"/>
                <w:b w:val="0"/>
                <w:i w:val="0"/>
                <w:color w:val="000000"/>
                <w:sz w:val="18"/>
              </w:rPr>
              <w:t>Assess partial state and use rollback plan</w:t>
            </w:r>
          </w:p>
        </w:tc>
      </w:tr>
      <w:tr>
        <w:tc>
          <w:tcPr>
            <w:tcW w:type="dxa" w:w="700"/>
            <w:tcMar>
              <w:top w:w="80" w:type="dxa"/>
              <w:start w:w="120" w:type="dxa"/>
              <w:bottom w:w="80" w:type="dxa"/>
              <w:end w:w="120" w:type="dxa"/>
            </w:tcMar>
            <w:vAlign w:val="center"/>
          </w:tcPr>
          <w:p>
            <w:pPr>
              <w:spacing w:after="0"/>
            </w:pPr>
            <w:r/>
            <w:r>
              <w:rPr>
                <w:rFonts w:ascii="Calibri" w:hAnsi="Calibri"/>
                <w:b w:val="0"/>
                <w:i w:val="0"/>
                <w:color w:val="000000"/>
                <w:sz w:val="18"/>
              </w:rPr>
              <w:t>3</w:t>
            </w:r>
          </w:p>
        </w:tc>
        <w:tc>
          <w:tcPr>
            <w:tcW w:type="dxa" w:w="3300"/>
            <w:tcMar>
              <w:top w:w="80" w:type="dxa"/>
              <w:start w:w="120" w:type="dxa"/>
              <w:bottom w:w="80" w:type="dxa"/>
              <w:end w:w="120" w:type="dxa"/>
            </w:tcMar>
            <w:vAlign w:val="center"/>
          </w:tcPr>
          <w:p>
            <w:pPr>
              <w:spacing w:after="0"/>
            </w:pPr>
            <w:r/>
            <w:r>
              <w:rPr>
                <w:rFonts w:ascii="Calibri" w:hAnsi="Calibri"/>
                <w:b w:val="0"/>
                <w:i w:val="0"/>
                <w:color w:val="000000"/>
                <w:sz w:val="18"/>
              </w:rPr>
              <w:t>Connection, authentication, or remote execution error</w:t>
            </w:r>
          </w:p>
        </w:tc>
        <w:tc>
          <w:tcPr>
            <w:tcW w:type="dxa" w:w="5360"/>
            <w:tcMar>
              <w:top w:w="80" w:type="dxa"/>
              <w:start w:w="120" w:type="dxa"/>
              <w:bottom w:w="80" w:type="dxa"/>
              <w:end w:w="120" w:type="dxa"/>
            </w:tcMar>
            <w:vAlign w:val="center"/>
          </w:tcPr>
          <w:p>
            <w:pPr>
              <w:spacing w:after="0"/>
            </w:pPr>
            <w:r/>
            <w:r>
              <w:rPr>
                <w:rFonts w:ascii="Calibri" w:hAnsi="Calibri"/>
                <w:b w:val="0"/>
                <w:i w:val="0"/>
                <w:color w:val="000000"/>
                <w:sz w:val="18"/>
              </w:rPr>
              <w:t>Verify route, host key, account, SSH, and target</w:t>
            </w:r>
          </w:p>
        </w:tc>
      </w:tr>
      <w:tr>
        <w:tc>
          <w:tcPr>
            <w:tcW w:type="dxa" w:w="700"/>
            <w:tcMar>
              <w:top w:w="80" w:type="dxa"/>
              <w:start w:w="120" w:type="dxa"/>
              <w:bottom w:w="80" w:type="dxa"/>
              <w:end w:w="120" w:type="dxa"/>
            </w:tcMar>
            <w:vAlign w:val="center"/>
          </w:tcPr>
          <w:p>
            <w:pPr>
              <w:spacing w:after="0"/>
            </w:pPr>
            <w:r/>
            <w:r>
              <w:rPr>
                <w:rFonts w:ascii="Calibri" w:hAnsi="Calibri"/>
                <w:b w:val="0"/>
                <w:i w:val="0"/>
                <w:color w:val="000000"/>
                <w:sz w:val="18"/>
              </w:rPr>
              <w:t>4</w:t>
            </w:r>
          </w:p>
        </w:tc>
        <w:tc>
          <w:tcPr>
            <w:tcW w:type="dxa" w:w="3300"/>
            <w:tcMar>
              <w:top w:w="80" w:type="dxa"/>
              <w:start w:w="120" w:type="dxa"/>
              <w:bottom w:w="80" w:type="dxa"/>
              <w:end w:w="120" w:type="dxa"/>
            </w:tcMar>
            <w:vAlign w:val="center"/>
          </w:tcPr>
          <w:p>
            <w:pPr>
              <w:spacing w:after="0"/>
            </w:pPr>
            <w:r/>
            <w:r>
              <w:rPr>
                <w:rFonts w:ascii="Calibri" w:hAnsi="Calibri"/>
                <w:b w:val="0"/>
                <w:i w:val="0"/>
                <w:color w:val="000000"/>
                <w:sz w:val="18"/>
              </w:rPr>
              <w:t>Configuration or dependency error</w:t>
            </w:r>
          </w:p>
        </w:tc>
        <w:tc>
          <w:tcPr>
            <w:tcW w:type="dxa" w:w="5360"/>
            <w:tcMar>
              <w:top w:w="80" w:type="dxa"/>
              <w:start w:w="120" w:type="dxa"/>
              <w:bottom w:w="80" w:type="dxa"/>
              <w:end w:w="120" w:type="dxa"/>
            </w:tcMar>
            <w:vAlign w:val="center"/>
          </w:tcPr>
          <w:p>
            <w:pPr>
              <w:spacing w:after="0"/>
            </w:pPr>
            <w:r/>
            <w:r>
              <w:rPr>
                <w:rFonts w:ascii="Calibri" w:hAnsi="Calibri"/>
                <w:b w:val="0"/>
                <w:i w:val="0"/>
                <w:color w:val="000000"/>
                <w:sz w:val="18"/>
              </w:rPr>
              <w:t>Correct INI, arguments, Python, or Paramiko</w:t>
            </w:r>
          </w:p>
        </w:tc>
      </w:tr>
      <w:tr>
        <w:tc>
          <w:tcPr>
            <w:tcW w:type="dxa" w:w="700"/>
            <w:tcMar>
              <w:top w:w="80" w:type="dxa"/>
              <w:start w:w="120" w:type="dxa"/>
              <w:bottom w:w="80" w:type="dxa"/>
              <w:end w:w="120" w:type="dxa"/>
            </w:tcMar>
            <w:vAlign w:val="center"/>
          </w:tcPr>
          <w:p>
            <w:pPr>
              <w:spacing w:after="0"/>
            </w:pPr>
            <w:r/>
            <w:r>
              <w:rPr>
                <w:rFonts w:ascii="Calibri" w:hAnsi="Calibri"/>
                <w:b w:val="0"/>
                <w:i w:val="0"/>
                <w:color w:val="000000"/>
                <w:sz w:val="18"/>
              </w:rPr>
              <w:t>5</w:t>
            </w:r>
          </w:p>
        </w:tc>
        <w:tc>
          <w:tcPr>
            <w:tcW w:type="dxa" w:w="3300"/>
            <w:tcMar>
              <w:top w:w="80" w:type="dxa"/>
              <w:start w:w="120" w:type="dxa"/>
              <w:bottom w:w="80" w:type="dxa"/>
              <w:end w:w="120" w:type="dxa"/>
            </w:tcMar>
            <w:vAlign w:val="center"/>
          </w:tcPr>
          <w:p>
            <w:pPr>
              <w:spacing w:after="0"/>
            </w:pPr>
            <w:r/>
            <w:r>
              <w:rPr>
                <w:rFonts w:ascii="Calibri" w:hAnsi="Calibri"/>
                <w:b w:val="0"/>
                <w:i w:val="0"/>
                <w:color w:val="000000"/>
                <w:sz w:val="18"/>
              </w:rPr>
              <w:t>Operator abort or interruption</w:t>
            </w:r>
          </w:p>
        </w:tc>
        <w:tc>
          <w:tcPr>
            <w:tcW w:type="dxa" w:w="5360"/>
            <w:tcMar>
              <w:top w:w="80" w:type="dxa"/>
              <w:start w:w="120" w:type="dxa"/>
              <w:bottom w:w="80" w:type="dxa"/>
              <w:end w:w="120" w:type="dxa"/>
            </w:tcMar>
            <w:vAlign w:val="center"/>
          </w:tcPr>
          <w:p>
            <w:pPr>
              <w:spacing w:after="0"/>
            </w:pPr>
            <w:r/>
            <w:r>
              <w:rPr>
                <w:rFonts w:ascii="Calibri" w:hAnsi="Calibri"/>
                <w:b w:val="0"/>
                <w:i w:val="0"/>
                <w:color w:val="000000"/>
                <w:sz w:val="18"/>
              </w:rPr>
              <w:t>Confirm no change was in progress; review CSV</w:t>
            </w:r>
          </w:p>
        </w:tc>
      </w:tr>
    </w:tbl>
    <w:p>
      <w:pPr>
        <w:spacing w:before="100" w:after="160"/>
        <w:ind w:left="173" w:right="173"/>
        <w:shd w:fill="FFF4CE"/>
      </w:pPr>
      <w:r>
        <w:rPr>
          <w:rFonts w:ascii="Calibri" w:hAnsi="Calibri"/>
          <w:b/>
          <w:i w:val="0"/>
          <w:color w:val="0B2545"/>
          <w:sz w:val="21"/>
        </w:rPr>
        <w:t xml:space="preserve">Interpretation: </w:t>
      </w:r>
      <w:r>
        <w:rPr>
          <w:rFonts w:ascii="Calibri" w:hAnsi="Calibri"/>
          <w:b w:val="0"/>
          <w:i w:val="0"/>
          <w:color w:val="000000"/>
          <w:sz w:val="21"/>
        </w:rPr>
        <w:t>Exit code 0 is not a STIG certification. Review skipped parameters, the manual-control list, external scan results, and ISSO disposition.</w:t>
      </w:r>
    </w:p>
    <w:p>
      <w:r>
        <w:br w:type="page"/>
      </w:r>
    </w:p>
    <w:p>
      <w:pPr>
        <w:pStyle w:val="Heading1"/>
      </w:pPr>
      <w:r>
        <w:t>11. Troubleshooting</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vAlign w:val="center"/>
            <w:shd w:fill="E8EEF5"/>
          </w:tcPr>
          <w:p>
            <w:pPr>
              <w:spacing w:after="0"/>
            </w:pPr>
            <w:r/>
            <w:r>
              <w:rPr>
                <w:rFonts w:ascii="Calibri" w:hAnsi="Calibri"/>
                <w:b/>
                <w:i w:val="0"/>
                <w:color w:val="0B2545"/>
                <w:sz w:val="19"/>
              </w:rPr>
              <w:t>Symptom</w:t>
            </w:r>
          </w:p>
        </w:tc>
        <w:tc>
          <w:tcPr>
            <w:tcW w:type="dxa" w:w="6560"/>
            <w:tcMar>
              <w:top w:w="80" w:type="dxa"/>
              <w:start w:w="120" w:type="dxa"/>
              <w:bottom w:w="80" w:type="dxa"/>
              <w:end w:w="120" w:type="dxa"/>
            </w:tcMar>
            <w:vAlign w:val="center"/>
            <w:shd w:fill="E8EEF5"/>
          </w:tcPr>
          <w:p>
            <w:pPr>
              <w:spacing w:after="0"/>
            </w:pPr>
            <w:r/>
            <w:r>
              <w:rPr>
                <w:rFonts w:ascii="Calibri" w:hAnsi="Calibri"/>
                <w:b/>
                <w:i w:val="0"/>
                <w:color w:val="0B2545"/>
                <w:sz w:val="19"/>
              </w:rPr>
              <w:t>Likely cause / action</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paramiko is required</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Activate the intended virtual environment and install Paramiko</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Server not found in known_hosts</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Verify and add the correct host key; do not bypass without authorization</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Authentication failed</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Check username, key type/passphrase, password policy, and lockdown state</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ncli not found</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Confirm the target is a CVM/PCVM; set ncli_path only when required</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Preflight version unknown</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Run ncli cluster info manually and preserve output; do not apply</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Discovery returned no flags</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Run the scope's edit-... help command; retain output and update only after review</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Baseline current value missing</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Capture the get-...-security-config output; do not guess a rollback value</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Verification failed</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Allow for SCMA convergence, inspect the post-change value, and decide rollback</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PCVM skipped</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Provide [prism_central] host and include pcvm in scopes</w:t>
            </w:r>
          </w:p>
        </w:tc>
      </w:tr>
      <w:tr>
        <w:tc>
          <w:tcPr>
            <w:tcW w:type="dxa" w:w="2800"/>
            <w:tcMar>
              <w:top w:w="80" w:type="dxa"/>
              <w:start w:w="120" w:type="dxa"/>
              <w:bottom w:w="80" w:type="dxa"/>
              <w:end w:w="120" w:type="dxa"/>
            </w:tcMar>
            <w:vAlign w:val="center"/>
          </w:tcPr>
          <w:p>
            <w:pPr>
              <w:spacing w:after="0"/>
            </w:pPr>
            <w:r/>
            <w:r>
              <w:rPr>
                <w:rFonts w:ascii="Calibri" w:hAnsi="Calibri"/>
                <w:b w:val="0"/>
                <w:i w:val="0"/>
                <w:color w:val="000000"/>
                <w:sz w:val="18"/>
              </w:rPr>
              <w:t>Syslog verification failed</w:t>
            </w:r>
          </w:p>
        </w:tc>
        <w:tc>
          <w:tcPr>
            <w:tcW w:type="dxa" w:w="6560"/>
            <w:tcMar>
              <w:top w:w="80" w:type="dxa"/>
              <w:start w:w="120" w:type="dxa"/>
              <w:bottom w:w="80" w:type="dxa"/>
              <w:end w:w="120" w:type="dxa"/>
            </w:tcMar>
            <w:vAlign w:val="center"/>
          </w:tcPr>
          <w:p>
            <w:pPr>
              <w:spacing w:after="0"/>
            </w:pPr>
            <w:r/>
            <w:r>
              <w:rPr>
                <w:rFonts w:ascii="Calibri" w:hAnsi="Calibri"/>
                <w:b w:val="0"/>
                <w:i w:val="0"/>
                <w:color w:val="000000"/>
                <w:sz w:val="18"/>
              </w:rPr>
              <w:t>Check server/module names, release support, and SIEM reachability</w:t>
            </w:r>
          </w:p>
        </w:tc>
      </w:tr>
    </w:tbl>
    <w:p>
      <w:pPr>
        <w:pStyle w:val="Heading1"/>
      </w:pPr>
      <w:r>
        <w:t>12. Client execution record</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
              <w:rPr>
                <w:rFonts w:ascii="Calibri" w:hAnsi="Calibri"/>
                <w:b/>
                <w:i w:val="0"/>
                <w:color w:val="0B2545"/>
                <w:sz w:val="19"/>
              </w:rPr>
              <w:t>Field</w:t>
            </w:r>
          </w:p>
        </w:tc>
        <w:tc>
          <w:tcPr>
            <w:tcW w:type="dxa" w:w="6360"/>
            <w:tcMar>
              <w:top w:w="80" w:type="dxa"/>
              <w:start w:w="120" w:type="dxa"/>
              <w:bottom w:w="80" w:type="dxa"/>
              <w:end w:w="120" w:type="dxa"/>
            </w:tcMar>
            <w:vAlign w:val="center"/>
            <w:shd w:fill="E8EEF5"/>
          </w:tcPr>
          <w:p>
            <w:pPr>
              <w:spacing w:after="0"/>
            </w:pPr>
            <w:r/>
            <w:r>
              <w:rPr>
                <w:rFonts w:ascii="Calibri" w:hAnsi="Calibri"/>
                <w:b/>
                <w:i w:val="0"/>
                <w:color w:val="0B2545"/>
                <w:sz w:val="19"/>
              </w:rPr>
              <w:t>Record</w:t>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CAB / change ID</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Maintenance window</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Operator and witness</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Cluster VIP / CVM</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Prism Central / PCVM</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Profile and scopes</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Dry-run report ID</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Apply report ID</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Applied / verified counts</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Rollback manifest</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SCAP / STIG Viewer artifact</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Residual findings / POA&amp;M</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r>
        <w:tc>
          <w:tcPr>
            <w:tcW w:type="dxa" w:w="3000"/>
            <w:tcMar>
              <w:top w:w="80" w:type="dxa"/>
              <w:start w:w="120" w:type="dxa"/>
              <w:bottom w:w="80" w:type="dxa"/>
              <w:end w:w="120" w:type="dxa"/>
            </w:tcMar>
            <w:vAlign w:val="center"/>
          </w:tcPr>
          <w:p>
            <w:pPr>
              <w:spacing w:after="0"/>
            </w:pPr>
            <w:r/>
            <w:r>
              <w:rPr>
                <w:rFonts w:ascii="Calibri" w:hAnsi="Calibri"/>
                <w:b w:val="0"/>
                <w:i w:val="0"/>
                <w:color w:val="000000"/>
                <w:sz w:val="18"/>
              </w:rPr>
              <w:t>ISSO acceptance</w:t>
            </w:r>
          </w:p>
        </w:tc>
        <w:tc>
          <w:tcPr>
            <w:tcW w:type="dxa" w:w="6360"/>
            <w:tcMar>
              <w:top w:w="80" w:type="dxa"/>
              <w:start w:w="120" w:type="dxa"/>
              <w:bottom w:w="80" w:type="dxa"/>
              <w:end w:w="120" w:type="dxa"/>
            </w:tcMar>
            <w:vAlign w:val="center"/>
          </w:tcPr>
          <w:p>
            <w:pPr>
              <w:spacing w:after="0"/>
            </w:pPr>
            <w:r/>
            <w:r>
              <w:rPr>
                <w:rFonts w:ascii="Calibri" w:hAnsi="Calibri"/>
                <w:b w:val="0"/>
                <w:i w:val="0"/>
                <w:color w:val="000000"/>
                <w:sz w:val="18"/>
              </w:rPr>
            </w:r>
          </w:p>
        </w:tc>
      </w:tr>
    </w:tbl>
    <w:p>
      <w:pPr>
        <w:pStyle w:val="Heading1"/>
      </w:pPr>
      <w:r>
        <w:t>13. Reference sources</w:t>
      </w:r>
    </w:p>
    <w:p>
      <w:pPr>
        <w:pStyle w:val="ListBullet"/>
      </w:pPr>
      <w:r>
        <w:rPr>
          <w:rFonts w:ascii="Calibri" w:hAnsi="Calibri"/>
          <w:b w:val="0"/>
          <w:i w:val="0"/>
          <w:color w:val="000000"/>
          <w:sz w:val="22"/>
        </w:rPr>
        <w:t>STIG Hardening Runbook for Nutanix Cloud Infrastructure, version 1.0, July 23, 2026.</w:t>
      </w:r>
    </w:p>
    <w:p>
      <w:pPr>
        <w:pStyle w:val="ListBullet"/>
      </w:pPr>
      <w:r>
        <w:rPr>
          <w:rFonts w:ascii="Calibri" w:hAnsi="Calibri"/>
          <w:b w:val="0"/>
          <w:i w:val="0"/>
          <w:color w:val="000000"/>
          <w:sz w:val="22"/>
        </w:rPr>
        <w:t>Nutanix Security Guide: https://www.nutanix.com/content/dam/nutanix/documents/certifications/nutanix-security.pdf</w:t>
      </w:r>
    </w:p>
    <w:p>
      <w:pPr>
        <w:pStyle w:val="ListBullet"/>
      </w:pPr>
      <w:r>
        <w:rPr>
          <w:rFonts w:ascii="Calibri" w:hAnsi="Calibri"/>
          <w:b w:val="0"/>
          <w:i w:val="0"/>
          <w:color w:val="000000"/>
          <w:sz w:val="22"/>
        </w:rPr>
        <w:t>Nutanix Acropolis Advanced Administration Guide: https://www.nutanix.com/content/dam/nutanix/documents/certifications/advanced-admin-aos.pdf</w:t>
      </w:r>
    </w:p>
    <w:p>
      <w:pPr>
        <w:pStyle w:val="ListBullet"/>
      </w:pPr>
      <w:r>
        <w:rPr>
          <w:rFonts w:ascii="Calibri" w:hAnsi="Calibri"/>
          <w:b w:val="0"/>
          <w:i w:val="0"/>
          <w:color w:val="000000"/>
          <w:sz w:val="22"/>
        </w:rPr>
        <w:t>Current DISA Nutanix benchmarks and tools from the DoD Cyber Exchange.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Controlled copy  |  Page </w:t>
    </w:r>
    <w:r>
      <w:rPr>
        <w:rFonts w:ascii="Calibri" w:hAnsi="Calibri"/>
        <w:b w:val="0"/>
        <w:i w:val="0"/>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1" w:color="D7DBE2"/>
      </w:pBdr>
    </w:pPr>
    <w:r>
      <w:rPr>
        <w:rFonts w:ascii="Calibri" w:hAnsi="Calibri"/>
        <w:b/>
        <w:i w:val="0"/>
        <w:color w:val="5B6573"/>
        <w:sz w:val="17"/>
      </w:rPr>
      <w:t>NUTANIX STIG HARDENING  |  CLIENT EXECUTION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LICENSE" TargetMode="External"/><Relationship Id="rId12" Type="http://schemas.openxmlformats.org/officeDocument/2006/relationships/hyperlink" Target="https://www.nutanix.com" TargetMode="External"/><Relationship Id="rId13" Type="http://schemas.openxmlformats.org/officeDocument/2006/relationships/hyperlink" Target="https://portal.nutani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Nutanix STIG Hardening Client Execution Guide</dc:title>
  <dc:subject>Safe operation of nutanix_stig_harden.py</dc:subject>
  <dc:creator>Prepared for client delivery</dc:creator>
  <cp:keywords>Nutanix, STIG, AOS, AHV, Prism Central, hardening</cp:keywords>
  <dc:description>generated by python-docx</dc:description>
  <cp:lastModifiedBy/>
  <cp:revision>1</cp:revision>
  <dcterms:created xsi:type="dcterms:W3CDTF">2013-12-23T23:15:00Z</dcterms:created>
  <dcterms:modified xsi:type="dcterms:W3CDTF">2013-12-23T23:15:00Z</dcterms:modified>
  <cp:category/>
</cp:coreProperties>
</file>